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D45" w:rsidRDefault="00655767">
      <w:pPr>
        <w:pBdr>
          <w:top w:val="single" w:sz="48" w:space="1" w:color="000000"/>
          <w:bottom w:val="single" w:sz="4" w:space="1" w:color="000000"/>
        </w:pBd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5788978</wp:posOffset>
                </wp:positionH>
                <wp:positionV relativeFrom="paragraph">
                  <wp:posOffset>-256856</wp:posOffset>
                </wp:positionV>
                <wp:extent cx="1059815" cy="24701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0855" y="3661255"/>
                          <a:ext cx="105029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72D45" w:rsidRDefault="00655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001 | Página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5788978</wp:posOffset>
                </wp:positionH>
                <wp:positionV relativeFrom="paragraph">
                  <wp:posOffset>-256856</wp:posOffset>
                </wp:positionV>
                <wp:extent cx="1059815" cy="24701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9815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72D45" w:rsidRDefault="00F72D45">
      <w:pPr>
        <w:pBdr>
          <w:top w:val="nil"/>
          <w:left w:val="nil"/>
          <w:bottom w:val="nil"/>
          <w:right w:val="nil"/>
          <w:between w:val="nil"/>
        </w:pBdr>
        <w:ind w:right="284"/>
        <w:rPr>
          <w:rFonts w:ascii="Arial" w:eastAsia="Arial" w:hAnsi="Arial" w:cs="Arial"/>
          <w:b/>
          <w:bCs/>
          <w:smallCaps/>
          <w:color w:val="000000"/>
          <w:sz w:val="28"/>
          <w:szCs w:val="28"/>
        </w:rPr>
      </w:pP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ind w:left="284" w:right="284"/>
        <w:jc w:val="center"/>
        <w:rPr>
          <w:rFonts w:ascii="Arial" w:eastAsia="Arial" w:hAnsi="Arial" w:cs="Arial"/>
          <w:b/>
          <w:bCs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smallCaps/>
          <w:sz w:val="28"/>
          <w:szCs w:val="28"/>
        </w:rPr>
        <w:t>Desenvolvimento de um Sistema Interativo para Apoio à Reabilitação Motora da Mão</w:t>
      </w:r>
    </w:p>
    <w:p w:rsidR="00F72D45" w:rsidRDefault="00655767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6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Ana Clara Gomes da Silva</w:t>
      </w:r>
      <w:r>
        <w:rPr>
          <w:b/>
          <w:bCs/>
          <w:color w:val="000000"/>
          <w:sz w:val="24"/>
          <w:szCs w:val="24"/>
          <w:vertAlign w:val="superscript"/>
        </w:rPr>
        <w:t>1</w:t>
      </w:r>
      <w:r>
        <w:rPr>
          <w:b/>
          <w:bCs/>
          <w:color w:val="000000"/>
          <w:sz w:val="24"/>
          <w:szCs w:val="24"/>
        </w:rPr>
        <w:t>, Matheus Henrique de Melo Araujo</w:t>
      </w:r>
      <w:r>
        <w:rPr>
          <w:b/>
          <w:bCs/>
          <w:color w:val="000000"/>
          <w:sz w:val="24"/>
          <w:szCs w:val="24"/>
          <w:vertAlign w:val="superscript"/>
        </w:rPr>
        <w:t>1</w:t>
      </w:r>
      <w:r>
        <w:rPr>
          <w:b/>
          <w:bCs/>
          <w:color w:val="000000"/>
          <w:sz w:val="24"/>
          <w:szCs w:val="24"/>
        </w:rPr>
        <w:t>, Paulo Henrique Rosado Fernandes</w:t>
      </w:r>
      <w:r>
        <w:rPr>
          <w:b/>
          <w:bCs/>
          <w:color w:val="000000"/>
          <w:sz w:val="24"/>
          <w:szCs w:val="24"/>
          <w:vertAlign w:val="superscript"/>
        </w:rPr>
        <w:t>1</w:t>
      </w:r>
      <w:r>
        <w:rPr>
          <w:b/>
          <w:bCs/>
          <w:color w:val="000000"/>
          <w:sz w:val="24"/>
          <w:szCs w:val="24"/>
        </w:rPr>
        <w:t>, Sophia de Araújo Galindo Pinto</w:t>
      </w:r>
      <w:r>
        <w:rPr>
          <w:b/>
          <w:bCs/>
          <w:color w:val="000000"/>
          <w:sz w:val="24"/>
          <w:szCs w:val="24"/>
          <w:vertAlign w:val="superscript"/>
        </w:rPr>
        <w:t>1</w:t>
      </w:r>
      <w:r>
        <w:rPr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Izabella</w:t>
      </w:r>
      <w:proofErr w:type="spellEnd"/>
      <w:r>
        <w:rPr>
          <w:b/>
          <w:bCs/>
          <w:color w:val="000000"/>
          <w:sz w:val="24"/>
          <w:szCs w:val="24"/>
        </w:rPr>
        <w:t xml:space="preserve"> Nunes de Vasconcelos</w:t>
      </w:r>
      <w:r>
        <w:rPr>
          <w:b/>
          <w:bCs/>
          <w:color w:val="000000"/>
          <w:sz w:val="24"/>
          <w:szCs w:val="24"/>
          <w:vertAlign w:val="superscript"/>
        </w:rPr>
        <w:t>1</w:t>
      </w:r>
      <w:r>
        <w:rPr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Jymmy</w:t>
      </w:r>
      <w:proofErr w:type="spellEnd"/>
      <w:r>
        <w:rPr>
          <w:b/>
          <w:bCs/>
          <w:color w:val="000000"/>
          <w:sz w:val="24"/>
          <w:szCs w:val="24"/>
        </w:rPr>
        <w:t xml:space="preserve"> Paul Souza Barreto</w:t>
      </w:r>
      <w:r>
        <w:rPr>
          <w:b/>
          <w:bCs/>
          <w:color w:val="000000"/>
          <w:sz w:val="24"/>
          <w:szCs w:val="24"/>
          <w:vertAlign w:val="superscript"/>
        </w:rPr>
        <w:t>1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acgs@cesar.school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mhma@cesar.school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phrf@cesar.school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sagp@cesar.school</w:t>
      </w:r>
      <w:proofErr w:type="spellEnd"/>
      <w:r w:rsidR="001B7F48">
        <w:rPr>
          <w:color w:val="000000"/>
        </w:rPr>
        <w:t xml:space="preserve">, </w:t>
      </w:r>
      <w:proofErr w:type="spellStart"/>
      <w:r w:rsidR="001B7F48">
        <w:rPr>
          <w:color w:val="000000"/>
        </w:rPr>
        <w:t>inv@cesar.school</w:t>
      </w:r>
      <w:proofErr w:type="spellEnd"/>
      <w:r w:rsidR="001B7F48">
        <w:rPr>
          <w:color w:val="000000"/>
        </w:rPr>
        <w:t xml:space="preserve">, </w:t>
      </w:r>
      <w:proofErr w:type="spellStart"/>
      <w:r w:rsidR="001B7F48">
        <w:rPr>
          <w:color w:val="000000"/>
        </w:rPr>
        <w:t>jpsb@cesar.school</w:t>
      </w:r>
      <w:proofErr w:type="spellEnd"/>
    </w:p>
    <w:p w:rsidR="00F72D45" w:rsidRDefault="00F72D4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  <w:vertAlign w:val="superscript"/>
        </w:rPr>
        <w:t xml:space="preserve">1 </w:t>
      </w:r>
      <w:r>
        <w:rPr>
          <w:color w:val="000000"/>
        </w:rPr>
        <w:t>CESAR SCHOOL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Recife - PE</w:t>
      </w:r>
    </w:p>
    <w:p w:rsidR="00F72D45" w:rsidRDefault="00F72D4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Categoria: ARTIGO SUPERIOR / TECNOLOGIAS ASSISTIVAS</w:t>
      </w:r>
    </w:p>
    <w:p w:rsidR="00F72D45" w:rsidRDefault="00F72D45">
      <w:pPr>
        <w:pBdr>
          <w:top w:val="single" w:sz="48" w:space="1" w:color="000000"/>
          <w:bottom w:val="single" w:sz="4" w:space="1" w:color="000000"/>
        </w:pBdr>
      </w:pPr>
    </w:p>
    <w:p w:rsidR="00F72D45" w:rsidRDefault="00F72D45">
      <w:pPr>
        <w:sectPr w:rsidR="00F72D45">
          <w:headerReference w:type="default" r:id="rId8"/>
          <w:footerReference w:type="even" r:id="rId9"/>
          <w:footerReference w:type="default" r:id="rId10"/>
          <w:pgSz w:w="11906" w:h="16838"/>
          <w:pgMar w:top="737" w:right="567" w:bottom="760" w:left="567" w:header="567" w:footer="567" w:gutter="0"/>
          <w:pgNumType w:start="1"/>
          <w:cols w:space="720"/>
        </w:sectPr>
      </w:pP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b/>
          <w:bCs/>
          <w:color w:val="000000"/>
        </w:rPr>
        <w:lastRenderedPageBreak/>
        <w:t xml:space="preserve">Resumo: </w:t>
      </w:r>
      <w:r>
        <w:rPr>
          <w:color w:val="000000"/>
        </w:rPr>
        <w:t xml:space="preserve">Este trabalho apresenta 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 xml:space="preserve">, um protótipo de sistema 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 voltado ao apoio de atividades de reabilitação das mãos por meio de um jogo de ritmo integrado a hardware embarcado. A proposta utiliza uma ESP32, quatro botões físicos e um sensor d</w:t>
      </w:r>
      <w:r>
        <w:rPr>
          <w:color w:val="000000"/>
        </w:rPr>
        <w:t>e pressão MPS20N0040D acoplado a um módulo HX710B em sistema fechado de ar, permitindo registrar eventos motores digitais e variações de pressão durante sessões de uso. A arquitetura foi organizada em dois fluxos: um fluxo de tempo real, no qual os eventos</w:t>
      </w:r>
      <w:r>
        <w:rPr>
          <w:color w:val="000000"/>
        </w:rPr>
        <w:t xml:space="preserve"> da ESP32 são encaminhados por MQTT ao Node-RED e ao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, e um fluxo de persistência, no qual dados são agrupados e enviados ao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para armazenamento em </w:t>
      </w:r>
      <w:proofErr w:type="spellStart"/>
      <w:r>
        <w:rPr>
          <w:color w:val="000000"/>
        </w:rPr>
        <w:t>Postgres</w:t>
      </w:r>
      <w:proofErr w:type="spellEnd"/>
      <w:r>
        <w:rPr>
          <w:color w:val="000000"/>
        </w:rPr>
        <w:t>. A interface web permite configurar usuário, mão utilizada e modo de jogo, a</w:t>
      </w:r>
      <w:r>
        <w:rPr>
          <w:color w:val="000000"/>
        </w:rPr>
        <w:t xml:space="preserve">lém de apresentar métricas de desempenho após as sessões. A validação </w:t>
      </w:r>
      <w:proofErr w:type="spellStart"/>
      <w:r>
        <w:rPr>
          <w:color w:val="000000"/>
        </w:rPr>
        <w:t>end-to-end</w:t>
      </w:r>
      <w:proofErr w:type="spellEnd"/>
      <w:r>
        <w:rPr>
          <w:color w:val="000000"/>
        </w:rPr>
        <w:t xml:space="preserve"> confirmou o funcionamento integrado entre firmware, </w:t>
      </w:r>
      <w:proofErr w:type="spellStart"/>
      <w:r>
        <w:rPr>
          <w:color w:val="000000"/>
        </w:rPr>
        <w:t>broker</w:t>
      </w:r>
      <w:proofErr w:type="spellEnd"/>
      <w:r>
        <w:rPr>
          <w:color w:val="000000"/>
        </w:rPr>
        <w:t xml:space="preserve"> MQTT, Node-RED,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, banco de dados e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. Nos registros avaliados, foram persistidas quatro sessões de bot</w:t>
      </w:r>
      <w:r>
        <w:rPr>
          <w:color w:val="000000"/>
        </w:rPr>
        <w:t xml:space="preserve">ões, com 112 eventos e 23 lotes, e duas sessões válidas de pressão, com 258 leituras e 54 lotes. Os resultados indicam que o protótipo é capaz de coletar, transmitir e persistir dados relevantes para acompanhamento longitudinal, embora ainda não constitua </w:t>
      </w:r>
      <w:r>
        <w:rPr>
          <w:color w:val="000000"/>
        </w:rPr>
        <w:t>instrumento clínico validado nem substitua a prescrição de profissionais de saúde.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b/>
          <w:bCs/>
          <w:color w:val="000000"/>
        </w:rPr>
        <w:t>Palavras Chaves:</w:t>
      </w:r>
      <w:r>
        <w:rPr>
          <w:color w:val="000000"/>
        </w:rPr>
        <w:t xml:space="preserve"> Reabilitação da mão; Tecnologias </w:t>
      </w:r>
      <w:proofErr w:type="spellStart"/>
      <w:r>
        <w:rPr>
          <w:color w:val="000000"/>
        </w:rPr>
        <w:t>Assistivas</w:t>
      </w:r>
      <w:proofErr w:type="spellEnd"/>
      <w:r>
        <w:rPr>
          <w:color w:val="000000"/>
        </w:rPr>
        <w:t>; Internet das Coisas; ESP32; Sensor de pressão; Jogo sério.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b/>
          <w:bCs/>
          <w:i/>
          <w:iCs/>
          <w:color w:val="000000"/>
        </w:rPr>
        <w:t>Abstract:</w:t>
      </w:r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This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paper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presents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Hand-Rehab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IoT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prototype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designed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support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rehabilitation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activities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through</w:t>
      </w:r>
      <w:proofErr w:type="spellEnd"/>
      <w:r>
        <w:rPr>
          <w:i/>
          <w:iCs/>
          <w:color w:val="000000"/>
        </w:rPr>
        <w:t xml:space="preserve"> a </w:t>
      </w:r>
      <w:proofErr w:type="spellStart"/>
      <w:r>
        <w:rPr>
          <w:i/>
          <w:iCs/>
          <w:color w:val="000000"/>
        </w:rPr>
        <w:t>rhythm</w:t>
      </w:r>
      <w:proofErr w:type="spellEnd"/>
      <w:r>
        <w:rPr>
          <w:i/>
          <w:iCs/>
          <w:color w:val="000000"/>
        </w:rPr>
        <w:t xml:space="preserve"> game </w:t>
      </w:r>
      <w:proofErr w:type="spellStart"/>
      <w:r>
        <w:rPr>
          <w:i/>
          <w:iCs/>
          <w:color w:val="000000"/>
        </w:rPr>
        <w:t>integrated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with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embedded</w:t>
      </w:r>
      <w:proofErr w:type="spellEnd"/>
      <w:r>
        <w:rPr>
          <w:i/>
          <w:iCs/>
          <w:color w:val="000000"/>
        </w:rPr>
        <w:t xml:space="preserve"> hardware. The </w:t>
      </w:r>
      <w:proofErr w:type="spellStart"/>
      <w:r>
        <w:rPr>
          <w:i/>
          <w:iCs/>
          <w:color w:val="000000"/>
        </w:rPr>
        <w:t>proposed</w:t>
      </w:r>
      <w:proofErr w:type="spellEnd"/>
      <w:r>
        <w:rPr>
          <w:i/>
          <w:iCs/>
          <w:color w:val="000000"/>
        </w:rPr>
        <w:t xml:space="preserve"> system uses </w:t>
      </w:r>
      <w:proofErr w:type="spellStart"/>
      <w:r>
        <w:rPr>
          <w:i/>
          <w:iCs/>
          <w:color w:val="000000"/>
        </w:rPr>
        <w:t>an</w:t>
      </w:r>
      <w:proofErr w:type="spellEnd"/>
      <w:r>
        <w:rPr>
          <w:i/>
          <w:iCs/>
          <w:color w:val="000000"/>
        </w:rPr>
        <w:t xml:space="preserve"> ESP32, four </w:t>
      </w:r>
      <w:proofErr w:type="spellStart"/>
      <w:r>
        <w:rPr>
          <w:i/>
          <w:iCs/>
          <w:color w:val="000000"/>
        </w:rPr>
        <w:t>physical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buttons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</w:t>
      </w:r>
      <w:proofErr w:type="spellEnd"/>
      <w:r>
        <w:rPr>
          <w:i/>
          <w:iCs/>
          <w:color w:val="000000"/>
        </w:rPr>
        <w:t xml:space="preserve"> MPS20N0040D </w:t>
      </w:r>
      <w:proofErr w:type="spellStart"/>
      <w:r>
        <w:rPr>
          <w:i/>
          <w:iCs/>
          <w:color w:val="000000"/>
        </w:rPr>
        <w:t>pressure</w:t>
      </w:r>
      <w:proofErr w:type="spellEnd"/>
      <w:r>
        <w:rPr>
          <w:i/>
          <w:iCs/>
          <w:color w:val="000000"/>
        </w:rPr>
        <w:t xml:space="preserve"> sensor </w:t>
      </w:r>
      <w:proofErr w:type="spellStart"/>
      <w:r>
        <w:rPr>
          <w:i/>
          <w:iCs/>
          <w:color w:val="000000"/>
        </w:rPr>
        <w:t>coupl</w:t>
      </w:r>
      <w:r>
        <w:rPr>
          <w:i/>
          <w:iCs/>
          <w:color w:val="000000"/>
        </w:rPr>
        <w:t>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</w:t>
      </w:r>
      <w:proofErr w:type="spellEnd"/>
      <w:r>
        <w:rPr>
          <w:i/>
          <w:iCs/>
          <w:color w:val="000000"/>
        </w:rPr>
        <w:t xml:space="preserve"> HX710B module in a </w:t>
      </w:r>
      <w:proofErr w:type="spellStart"/>
      <w:r>
        <w:rPr>
          <w:i/>
          <w:iCs/>
          <w:color w:val="000000"/>
        </w:rPr>
        <w:t>closed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air</w:t>
      </w:r>
      <w:proofErr w:type="spellEnd"/>
      <w:r>
        <w:rPr>
          <w:i/>
          <w:iCs/>
          <w:color w:val="000000"/>
        </w:rPr>
        <w:t xml:space="preserve"> system, </w:t>
      </w:r>
      <w:proofErr w:type="spellStart"/>
      <w:r>
        <w:rPr>
          <w:i/>
          <w:iCs/>
          <w:color w:val="000000"/>
        </w:rPr>
        <w:t>allowing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registration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of</w:t>
      </w:r>
      <w:proofErr w:type="spellEnd"/>
      <w:r>
        <w:rPr>
          <w:i/>
          <w:iCs/>
          <w:color w:val="000000"/>
        </w:rPr>
        <w:t xml:space="preserve"> digital motor </w:t>
      </w:r>
      <w:proofErr w:type="spellStart"/>
      <w:r>
        <w:rPr>
          <w:i/>
          <w:iCs/>
          <w:color w:val="000000"/>
        </w:rPr>
        <w:t>events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pressure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variations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during</w:t>
      </w:r>
      <w:proofErr w:type="spellEnd"/>
      <w:r>
        <w:rPr>
          <w:i/>
          <w:iCs/>
          <w:color w:val="000000"/>
        </w:rPr>
        <w:t xml:space="preserve"> use </w:t>
      </w:r>
      <w:proofErr w:type="spellStart"/>
      <w:r>
        <w:rPr>
          <w:i/>
          <w:iCs/>
          <w:color w:val="000000"/>
        </w:rPr>
        <w:t>sessions</w:t>
      </w:r>
      <w:proofErr w:type="spellEnd"/>
      <w:r>
        <w:rPr>
          <w:i/>
          <w:iCs/>
          <w:color w:val="000000"/>
        </w:rPr>
        <w:t xml:space="preserve">. The </w:t>
      </w:r>
      <w:proofErr w:type="spellStart"/>
      <w:r>
        <w:rPr>
          <w:i/>
          <w:iCs/>
          <w:color w:val="000000"/>
        </w:rPr>
        <w:t>architecture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was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organized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into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two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flows</w:t>
      </w:r>
      <w:proofErr w:type="spellEnd"/>
      <w:r>
        <w:rPr>
          <w:i/>
          <w:iCs/>
          <w:color w:val="000000"/>
        </w:rPr>
        <w:t xml:space="preserve">: a real-time </w:t>
      </w:r>
      <w:proofErr w:type="spellStart"/>
      <w:r>
        <w:rPr>
          <w:i/>
          <w:iCs/>
          <w:color w:val="000000"/>
        </w:rPr>
        <w:t>flow</w:t>
      </w:r>
      <w:proofErr w:type="spellEnd"/>
      <w:r>
        <w:rPr>
          <w:i/>
          <w:iCs/>
          <w:color w:val="000000"/>
        </w:rPr>
        <w:t xml:space="preserve">, in </w:t>
      </w:r>
      <w:proofErr w:type="spellStart"/>
      <w:r>
        <w:rPr>
          <w:i/>
          <w:iCs/>
          <w:color w:val="000000"/>
        </w:rPr>
        <w:t>which</w:t>
      </w:r>
      <w:proofErr w:type="spellEnd"/>
      <w:r>
        <w:rPr>
          <w:i/>
          <w:iCs/>
          <w:color w:val="000000"/>
        </w:rPr>
        <w:t xml:space="preserve"> ESP32 </w:t>
      </w:r>
      <w:proofErr w:type="spellStart"/>
      <w:r>
        <w:rPr>
          <w:i/>
          <w:iCs/>
          <w:color w:val="000000"/>
        </w:rPr>
        <w:t>events</w:t>
      </w:r>
      <w:proofErr w:type="spellEnd"/>
      <w:r>
        <w:rPr>
          <w:i/>
          <w:iCs/>
          <w:color w:val="000000"/>
        </w:rPr>
        <w:t xml:space="preserve"> are </w:t>
      </w:r>
      <w:proofErr w:type="spellStart"/>
      <w:r>
        <w:rPr>
          <w:i/>
          <w:iCs/>
          <w:color w:val="000000"/>
        </w:rPr>
        <w:t>forwarded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through</w:t>
      </w:r>
      <w:proofErr w:type="spellEnd"/>
      <w:r>
        <w:rPr>
          <w:i/>
          <w:iCs/>
          <w:color w:val="000000"/>
        </w:rPr>
        <w:t xml:space="preserve"> MQTT </w:t>
      </w:r>
      <w:proofErr w:type="spellStart"/>
      <w:r>
        <w:rPr>
          <w:i/>
          <w:iCs/>
          <w:color w:val="000000"/>
        </w:rPr>
        <w:t>to</w:t>
      </w:r>
      <w:proofErr w:type="spellEnd"/>
      <w:r>
        <w:rPr>
          <w:i/>
          <w:iCs/>
          <w:color w:val="000000"/>
        </w:rPr>
        <w:t xml:space="preserve"> Node-RED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frontend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a </w:t>
      </w:r>
      <w:proofErr w:type="spellStart"/>
      <w:r>
        <w:rPr>
          <w:i/>
          <w:iCs/>
          <w:color w:val="000000"/>
        </w:rPr>
        <w:t>persistence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flow</w:t>
      </w:r>
      <w:proofErr w:type="spellEnd"/>
      <w:r>
        <w:rPr>
          <w:i/>
          <w:iCs/>
          <w:color w:val="000000"/>
        </w:rPr>
        <w:t xml:space="preserve">, in </w:t>
      </w:r>
      <w:proofErr w:type="spellStart"/>
      <w:r>
        <w:rPr>
          <w:i/>
          <w:iCs/>
          <w:color w:val="000000"/>
        </w:rPr>
        <w:t>which</w:t>
      </w:r>
      <w:proofErr w:type="spellEnd"/>
      <w:r>
        <w:rPr>
          <w:i/>
          <w:iCs/>
          <w:color w:val="000000"/>
        </w:rPr>
        <w:t xml:space="preserve"> data are </w:t>
      </w:r>
      <w:proofErr w:type="spellStart"/>
      <w:r>
        <w:rPr>
          <w:i/>
          <w:iCs/>
          <w:color w:val="000000"/>
        </w:rPr>
        <w:t>grouped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sent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to</w:t>
      </w:r>
      <w:proofErr w:type="spellEnd"/>
      <w:r>
        <w:rPr>
          <w:i/>
          <w:iCs/>
          <w:color w:val="000000"/>
        </w:rPr>
        <w:t xml:space="preserve"> a </w:t>
      </w:r>
      <w:proofErr w:type="spellStart"/>
      <w:r>
        <w:rPr>
          <w:i/>
          <w:iCs/>
          <w:color w:val="000000"/>
        </w:rPr>
        <w:t>FastAPI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backend</w:t>
      </w:r>
      <w:proofErr w:type="spellEnd"/>
      <w:r>
        <w:rPr>
          <w:i/>
          <w:iCs/>
          <w:color w:val="000000"/>
        </w:rPr>
        <w:t xml:space="preserve"> for </w:t>
      </w:r>
      <w:proofErr w:type="spellStart"/>
      <w:r>
        <w:rPr>
          <w:i/>
          <w:iCs/>
          <w:color w:val="000000"/>
        </w:rPr>
        <w:t>storage</w:t>
      </w:r>
      <w:proofErr w:type="spellEnd"/>
      <w:r>
        <w:rPr>
          <w:i/>
          <w:iCs/>
          <w:color w:val="000000"/>
        </w:rPr>
        <w:t xml:space="preserve"> in </w:t>
      </w:r>
      <w:proofErr w:type="spellStart"/>
      <w:r>
        <w:rPr>
          <w:i/>
          <w:iCs/>
          <w:color w:val="000000"/>
        </w:rPr>
        <w:t>PostgreSQL</w:t>
      </w:r>
      <w:proofErr w:type="spellEnd"/>
      <w:r>
        <w:rPr>
          <w:i/>
          <w:iCs/>
          <w:color w:val="000000"/>
        </w:rPr>
        <w:t xml:space="preserve">. The web interface </w:t>
      </w:r>
      <w:proofErr w:type="spellStart"/>
      <w:r>
        <w:rPr>
          <w:i/>
          <w:iCs/>
          <w:color w:val="000000"/>
        </w:rPr>
        <w:t>allows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user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hand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game </w:t>
      </w:r>
      <w:proofErr w:type="spellStart"/>
      <w:r>
        <w:rPr>
          <w:i/>
          <w:iCs/>
          <w:color w:val="000000"/>
        </w:rPr>
        <w:t>mode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configuration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displays performance </w:t>
      </w:r>
      <w:proofErr w:type="spellStart"/>
      <w:r>
        <w:rPr>
          <w:i/>
          <w:iCs/>
          <w:color w:val="000000"/>
        </w:rPr>
        <w:t>metrics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after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sessions</w:t>
      </w:r>
      <w:proofErr w:type="spellEnd"/>
      <w:r>
        <w:rPr>
          <w:i/>
          <w:iCs/>
          <w:color w:val="000000"/>
        </w:rPr>
        <w:t xml:space="preserve">. </w:t>
      </w:r>
      <w:proofErr w:type="spellStart"/>
      <w:r>
        <w:rPr>
          <w:i/>
          <w:iCs/>
          <w:color w:val="000000"/>
        </w:rPr>
        <w:t>End-</w:t>
      </w:r>
      <w:r>
        <w:rPr>
          <w:i/>
          <w:iCs/>
          <w:color w:val="000000"/>
        </w:rPr>
        <w:t>to-end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validation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confirmed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integrated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operation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among</w:t>
      </w:r>
      <w:proofErr w:type="spellEnd"/>
      <w:r>
        <w:rPr>
          <w:i/>
          <w:iCs/>
          <w:color w:val="000000"/>
        </w:rPr>
        <w:t xml:space="preserve"> firmware, MQTT </w:t>
      </w:r>
      <w:proofErr w:type="spellStart"/>
      <w:r>
        <w:rPr>
          <w:i/>
          <w:iCs/>
          <w:color w:val="000000"/>
        </w:rPr>
        <w:t>broker</w:t>
      </w:r>
      <w:proofErr w:type="spellEnd"/>
      <w:r>
        <w:rPr>
          <w:i/>
          <w:iCs/>
          <w:color w:val="000000"/>
        </w:rPr>
        <w:t xml:space="preserve">, Node-RED, </w:t>
      </w:r>
      <w:proofErr w:type="spellStart"/>
      <w:r>
        <w:rPr>
          <w:i/>
          <w:iCs/>
          <w:color w:val="000000"/>
        </w:rPr>
        <w:t>backend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database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frontend</w:t>
      </w:r>
      <w:proofErr w:type="spellEnd"/>
      <w:r>
        <w:rPr>
          <w:i/>
          <w:iCs/>
          <w:color w:val="000000"/>
        </w:rPr>
        <w:t xml:space="preserve">. In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evaluated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records</w:t>
      </w:r>
      <w:proofErr w:type="spellEnd"/>
      <w:r>
        <w:rPr>
          <w:i/>
          <w:iCs/>
          <w:color w:val="000000"/>
        </w:rPr>
        <w:t xml:space="preserve">, four </w:t>
      </w:r>
      <w:proofErr w:type="spellStart"/>
      <w:r>
        <w:rPr>
          <w:i/>
          <w:iCs/>
          <w:color w:val="000000"/>
        </w:rPr>
        <w:t>button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sessions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were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persisted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with</w:t>
      </w:r>
      <w:proofErr w:type="spellEnd"/>
      <w:r>
        <w:rPr>
          <w:i/>
          <w:iCs/>
          <w:color w:val="000000"/>
        </w:rPr>
        <w:t xml:space="preserve"> 112 </w:t>
      </w:r>
      <w:proofErr w:type="spellStart"/>
      <w:r>
        <w:rPr>
          <w:i/>
          <w:iCs/>
          <w:color w:val="000000"/>
        </w:rPr>
        <w:t>events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23 batches,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two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valid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pressure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sessions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wit</w:t>
      </w:r>
      <w:r>
        <w:rPr>
          <w:i/>
          <w:iCs/>
          <w:color w:val="000000"/>
        </w:rPr>
        <w:t>h</w:t>
      </w:r>
      <w:proofErr w:type="spellEnd"/>
      <w:r>
        <w:rPr>
          <w:i/>
          <w:iCs/>
          <w:color w:val="000000"/>
        </w:rPr>
        <w:t xml:space="preserve"> 258 </w:t>
      </w:r>
      <w:proofErr w:type="spellStart"/>
      <w:r>
        <w:rPr>
          <w:i/>
          <w:iCs/>
          <w:color w:val="000000"/>
        </w:rPr>
        <w:t>readings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54 batches. The </w:t>
      </w:r>
      <w:proofErr w:type="spellStart"/>
      <w:r>
        <w:rPr>
          <w:i/>
          <w:iCs/>
          <w:color w:val="000000"/>
        </w:rPr>
        <w:t>results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indicate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that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prototype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collect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transmit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persist</w:t>
      </w:r>
      <w:proofErr w:type="spellEnd"/>
      <w:r>
        <w:rPr>
          <w:i/>
          <w:iCs/>
          <w:color w:val="000000"/>
        </w:rPr>
        <w:t xml:space="preserve"> data </w:t>
      </w:r>
      <w:proofErr w:type="spellStart"/>
      <w:r>
        <w:rPr>
          <w:i/>
          <w:iCs/>
          <w:color w:val="000000"/>
        </w:rPr>
        <w:t>relevant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to</w:t>
      </w:r>
      <w:proofErr w:type="spellEnd"/>
      <w:r>
        <w:rPr>
          <w:i/>
          <w:iCs/>
          <w:color w:val="000000"/>
        </w:rPr>
        <w:t xml:space="preserve"> longitudinal </w:t>
      </w:r>
      <w:proofErr w:type="spellStart"/>
      <w:r>
        <w:rPr>
          <w:i/>
          <w:iCs/>
          <w:color w:val="000000"/>
        </w:rPr>
        <w:t>monitoring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although</w:t>
      </w:r>
      <w:proofErr w:type="spellEnd"/>
      <w:r>
        <w:rPr>
          <w:i/>
          <w:iCs/>
          <w:color w:val="000000"/>
        </w:rPr>
        <w:t xml:space="preserve"> it </w:t>
      </w:r>
      <w:proofErr w:type="spellStart"/>
      <w:r>
        <w:rPr>
          <w:i/>
          <w:iCs/>
          <w:color w:val="000000"/>
        </w:rPr>
        <w:t>is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not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yet</w:t>
      </w:r>
      <w:proofErr w:type="spellEnd"/>
      <w:r>
        <w:rPr>
          <w:i/>
          <w:iCs/>
          <w:color w:val="000000"/>
        </w:rPr>
        <w:t xml:space="preserve"> a </w:t>
      </w:r>
      <w:proofErr w:type="spellStart"/>
      <w:r>
        <w:rPr>
          <w:i/>
          <w:iCs/>
          <w:color w:val="000000"/>
        </w:rPr>
        <w:t>clinically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validated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instrument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and</w:t>
      </w:r>
      <w:proofErr w:type="spellEnd"/>
      <w:r>
        <w:rPr>
          <w:i/>
          <w:iCs/>
          <w:color w:val="000000"/>
        </w:rPr>
        <w:t xml:space="preserve"> does </w:t>
      </w:r>
      <w:proofErr w:type="spellStart"/>
      <w:r>
        <w:rPr>
          <w:i/>
          <w:iCs/>
          <w:color w:val="000000"/>
        </w:rPr>
        <w:t>not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replace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healthcare</w:t>
      </w:r>
      <w:proofErr w:type="spellEnd"/>
      <w:r>
        <w:rPr>
          <w:i/>
          <w:iCs/>
          <w:color w:val="000000"/>
        </w:rPr>
        <w:t xml:space="preserve"> professional </w:t>
      </w:r>
      <w:proofErr w:type="spellStart"/>
      <w:r>
        <w:rPr>
          <w:i/>
          <w:iCs/>
          <w:color w:val="000000"/>
        </w:rPr>
        <w:t>prescr</w:t>
      </w:r>
      <w:r>
        <w:rPr>
          <w:i/>
          <w:iCs/>
          <w:color w:val="000000"/>
        </w:rPr>
        <w:t>iption</w:t>
      </w:r>
      <w:proofErr w:type="spellEnd"/>
      <w:r>
        <w:rPr>
          <w:i/>
          <w:iCs/>
          <w:color w:val="000000"/>
        </w:rPr>
        <w:t>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proofErr w:type="spellStart"/>
      <w:r>
        <w:rPr>
          <w:b/>
          <w:bCs/>
          <w:i/>
          <w:iCs/>
          <w:color w:val="000000"/>
        </w:rPr>
        <w:lastRenderedPageBreak/>
        <w:t>Keywords</w:t>
      </w:r>
      <w:proofErr w:type="spellEnd"/>
      <w:r>
        <w:rPr>
          <w:b/>
          <w:bCs/>
          <w:i/>
          <w:iCs/>
          <w:color w:val="000000"/>
        </w:rPr>
        <w:t>:</w:t>
      </w:r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Hand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rehabilitation</w:t>
      </w:r>
      <w:proofErr w:type="spellEnd"/>
      <w:r>
        <w:rPr>
          <w:i/>
          <w:iCs/>
          <w:color w:val="000000"/>
        </w:rPr>
        <w:t xml:space="preserve">; </w:t>
      </w:r>
      <w:proofErr w:type="spellStart"/>
      <w:r>
        <w:rPr>
          <w:i/>
          <w:iCs/>
          <w:color w:val="000000"/>
        </w:rPr>
        <w:t>Assistive</w:t>
      </w:r>
      <w:proofErr w:type="spellEnd"/>
      <w:r>
        <w:rPr>
          <w:i/>
          <w:iCs/>
          <w:color w:val="000000"/>
        </w:rPr>
        <w:t xml:space="preserve"> Technologies; Internet </w:t>
      </w:r>
      <w:proofErr w:type="spellStart"/>
      <w:r>
        <w:rPr>
          <w:i/>
          <w:iCs/>
          <w:color w:val="000000"/>
        </w:rPr>
        <w:t>of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Things</w:t>
      </w:r>
      <w:proofErr w:type="spellEnd"/>
      <w:r>
        <w:rPr>
          <w:i/>
          <w:iCs/>
          <w:color w:val="000000"/>
        </w:rPr>
        <w:t xml:space="preserve">; ESP32; </w:t>
      </w:r>
      <w:proofErr w:type="spellStart"/>
      <w:r>
        <w:rPr>
          <w:i/>
          <w:iCs/>
          <w:color w:val="000000"/>
        </w:rPr>
        <w:t>Pressure</w:t>
      </w:r>
      <w:proofErr w:type="spellEnd"/>
      <w:r>
        <w:rPr>
          <w:i/>
          <w:iCs/>
          <w:color w:val="000000"/>
        </w:rPr>
        <w:t xml:space="preserve"> sensor; </w:t>
      </w:r>
      <w:proofErr w:type="spellStart"/>
      <w:r>
        <w:rPr>
          <w:i/>
          <w:iCs/>
          <w:color w:val="000000"/>
        </w:rPr>
        <w:t>Serious</w:t>
      </w:r>
      <w:proofErr w:type="spellEnd"/>
      <w:r>
        <w:rPr>
          <w:i/>
          <w:iCs/>
          <w:color w:val="000000"/>
        </w:rPr>
        <w:t xml:space="preserve"> game.</w:t>
      </w:r>
    </w:p>
    <w:p w:rsidR="00F72D45" w:rsidRDefault="00655767">
      <w:pPr>
        <w:pStyle w:val="Ttulo1"/>
        <w:numPr>
          <w:ilvl w:val="0"/>
          <w:numId w:val="1"/>
        </w:numPr>
      </w:pPr>
      <w:r>
        <w:t>Introdução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A mão humana exerce papel central nas atividades de vida diária, pois ações como segurar objetos, alimentar-se, vestir-se, h</w:t>
      </w:r>
      <w:r>
        <w:rPr>
          <w:color w:val="000000"/>
        </w:rPr>
        <w:t>igienizar-se e manipular ferramentas dependem de coordenação fina, força de preensão, sensibilidade e controle motor. Li et al. (2024) destacam que a disfunção de preensão compromete a independência funcional e a qualidade de vida, especialmente quando lim</w:t>
      </w:r>
      <w:r>
        <w:rPr>
          <w:color w:val="000000"/>
        </w:rPr>
        <w:t xml:space="preserve">ita o uso do membro superior em tarefas cotidianas. </w:t>
      </w:r>
      <w:proofErr w:type="spellStart"/>
      <w:r>
        <w:rPr>
          <w:color w:val="000000"/>
        </w:rPr>
        <w:t>Bergeron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Kajganic</w:t>
      </w:r>
      <w:proofErr w:type="spellEnd"/>
      <w:r>
        <w:rPr>
          <w:color w:val="000000"/>
        </w:rPr>
        <w:t xml:space="preserve"> (2024) também apontam que testes de força de preensão e pinça são empregados em reabilitação, ergonomia, medicina esportiva e saúde ocupacional para acompanhar função manual.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Intervenç</w:t>
      </w:r>
      <w:r>
        <w:rPr>
          <w:color w:val="000000"/>
        </w:rPr>
        <w:t xml:space="preserve">ões de reabilitação da mão precisam conciliar repetição, engajamento, feedback e segurança. Em contextos pós-cirúrgicos, </w:t>
      </w:r>
      <w:proofErr w:type="spellStart"/>
      <w:r>
        <w:rPr>
          <w:color w:val="000000"/>
        </w:rPr>
        <w:t>Peters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Jha</w:t>
      </w:r>
      <w:proofErr w:type="spellEnd"/>
      <w:r>
        <w:rPr>
          <w:color w:val="000000"/>
        </w:rPr>
        <w:t xml:space="preserve"> e Ross (2021) mostram que a </w:t>
      </w:r>
      <w:proofErr w:type="gramStart"/>
      <w:r>
        <w:rPr>
          <w:color w:val="000000"/>
        </w:rPr>
        <w:t>reabilitação</w:t>
      </w:r>
      <w:proofErr w:type="gramEnd"/>
      <w:r>
        <w:rPr>
          <w:color w:val="000000"/>
        </w:rPr>
        <w:t xml:space="preserve"> após reparo de tendões flexores envolve diferentes regimes de mobilização e exercí</w:t>
      </w:r>
      <w:r>
        <w:rPr>
          <w:color w:val="000000"/>
        </w:rPr>
        <w:t xml:space="preserve">cios, mas a evidência disponível ainda é limitada e deve ser interpretada com cautela. Em fraturas de metacarpos não relacionadas ao polegar, </w:t>
      </w:r>
      <w:proofErr w:type="spellStart"/>
      <w:r>
        <w:rPr>
          <w:color w:val="000000"/>
        </w:rPr>
        <w:t>Hakami</w:t>
      </w:r>
      <w:proofErr w:type="spellEnd"/>
      <w:r>
        <w:rPr>
          <w:color w:val="000000"/>
        </w:rPr>
        <w:t xml:space="preserve"> et al. (2026) identificaram melhora de função da mão, força de preensão e amplitude de movimento em program</w:t>
      </w:r>
      <w:r>
        <w:rPr>
          <w:color w:val="000000"/>
        </w:rPr>
        <w:t xml:space="preserve">as estruturados de reabilitação, com destaque para estratégias de mobilização precoce e </w:t>
      </w:r>
      <w:proofErr w:type="spellStart"/>
      <w:r>
        <w:rPr>
          <w:color w:val="000000"/>
        </w:rPr>
        <w:t>gamificação</w:t>
      </w:r>
      <w:proofErr w:type="spellEnd"/>
      <w:r>
        <w:rPr>
          <w:color w:val="000000"/>
        </w:rPr>
        <w:t xml:space="preserve"> como recursos associados à adesão.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Nesse cenário, tecnologias </w:t>
      </w:r>
      <w:proofErr w:type="spellStart"/>
      <w:r>
        <w:rPr>
          <w:color w:val="000000"/>
        </w:rPr>
        <w:t>assistivas</w:t>
      </w:r>
      <w:proofErr w:type="spellEnd"/>
      <w:r>
        <w:rPr>
          <w:color w:val="000000"/>
        </w:rPr>
        <w:t xml:space="preserve"> baseadas em sensores e jogos sérios podem apoiar a prática de exercícios prescritos</w:t>
      </w:r>
      <w:r>
        <w:rPr>
          <w:color w:val="000000"/>
        </w:rPr>
        <w:t xml:space="preserve">, tornar a atividade mais motivadora e registrar dados para acompanhamento longitudinal. 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 xml:space="preserve"> foi desenvolvido com essa finalidade: criar um protótipo embarcado e conectado que captura eventos de botões e pressão, entrega estímulos em tempo real ao</w:t>
      </w:r>
      <w:r>
        <w:rPr>
          <w:color w:val="000000"/>
        </w:rPr>
        <w:t xml:space="preserve"> jogo e persiste dados históricos para consulta posterior. O sistema não tem como objetivo diagnosticar, prescrever tratamento ou validar clinicamente uma intervenção, mas oferecer uma base técnica para coleta, feedback e análise de desempenho.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Este artigo</w:t>
      </w:r>
      <w:r>
        <w:rPr>
          <w:color w:val="000000"/>
        </w:rPr>
        <w:t xml:space="preserve"> encontra-se organizado da seguinte forma: a Seção 2 apresenta a fundamentação sobre reabilitação da mão, sensores de pressão, feedback e </w:t>
      </w:r>
      <w:proofErr w:type="spellStart"/>
      <w:r>
        <w:rPr>
          <w:color w:val="000000"/>
        </w:rPr>
        <w:t>gamificação</w:t>
      </w:r>
      <w:proofErr w:type="spellEnd"/>
      <w:r>
        <w:rPr>
          <w:color w:val="000000"/>
        </w:rPr>
        <w:t>; a Seção 3 descreve o trabalho proposto; a Seção 4 apresenta materiais e métodos; a Seção 5 discute os res</w:t>
      </w:r>
      <w:r>
        <w:rPr>
          <w:color w:val="000000"/>
        </w:rPr>
        <w:t>ultados obtidos; e a Seção 6 apresenta as conclusões e trabalhos futuros.</w:t>
      </w:r>
    </w:p>
    <w:p w:rsidR="00F72D45" w:rsidRDefault="00655767">
      <w:pPr>
        <w:pStyle w:val="Ttulo1"/>
        <w:numPr>
          <w:ilvl w:val="0"/>
          <w:numId w:val="1"/>
        </w:numPr>
      </w:pPr>
      <w:r>
        <w:lastRenderedPageBreak/>
        <w:t>Fundamentação</w:t>
      </w:r>
    </w:p>
    <w:p w:rsidR="00F72D45" w:rsidRDefault="00655767">
      <w:pPr>
        <w:pStyle w:val="Ttulo2"/>
        <w:numPr>
          <w:ilvl w:val="1"/>
          <w:numId w:val="1"/>
        </w:numPr>
      </w:pPr>
      <w:r>
        <w:t>Reabilitação da mão e acompanhamento funcional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A reabilitação da mão pode ocorrer em diferentes contextos clínicos, incluindo lesões </w:t>
      </w:r>
      <w:proofErr w:type="spellStart"/>
      <w:r>
        <w:rPr>
          <w:color w:val="000000"/>
        </w:rPr>
        <w:t>tendíneas</w:t>
      </w:r>
      <w:proofErr w:type="spellEnd"/>
      <w:r>
        <w:rPr>
          <w:color w:val="000000"/>
        </w:rPr>
        <w:t>, fraturas, sequelas neuro</w:t>
      </w:r>
      <w:r>
        <w:rPr>
          <w:color w:val="000000"/>
        </w:rPr>
        <w:t xml:space="preserve">lógicas e perda de força. A revisão Cochrane de </w:t>
      </w:r>
      <w:proofErr w:type="spellStart"/>
      <w:r>
        <w:rPr>
          <w:color w:val="000000"/>
        </w:rPr>
        <w:t>Peters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Jha</w:t>
      </w:r>
      <w:proofErr w:type="spellEnd"/>
      <w:r>
        <w:rPr>
          <w:color w:val="000000"/>
        </w:rPr>
        <w:t xml:space="preserve"> e Ross (2021) avaliou intervenções após cirurgia de tendões flexores da mão e evidencia que os protocolos de exercício, mobilização e uso de dispositivos variam bastante entre estudos. A revisão t</w:t>
      </w:r>
      <w:r>
        <w:rPr>
          <w:color w:val="000000"/>
        </w:rPr>
        <w:t xml:space="preserve">ambém ressalta que desfechos como função </w:t>
      </w:r>
      <w:proofErr w:type="spellStart"/>
      <w:r>
        <w:rPr>
          <w:color w:val="000000"/>
        </w:rPr>
        <w:t>autorrelatada</w:t>
      </w:r>
      <w:proofErr w:type="spellEnd"/>
      <w:r>
        <w:rPr>
          <w:color w:val="000000"/>
        </w:rPr>
        <w:t>, amplitude ativa dos dedos, força e eventos adversos são importantes para avaliar a evolução, reforçando a necessidade de cuidado ao propor qualquer atividade para pacientes em recuperação.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Em fraturas</w:t>
      </w:r>
      <w:r>
        <w:rPr>
          <w:color w:val="000000"/>
        </w:rPr>
        <w:t xml:space="preserve"> dos metacarpos II a V, </w:t>
      </w:r>
      <w:proofErr w:type="spellStart"/>
      <w:r>
        <w:rPr>
          <w:color w:val="000000"/>
        </w:rPr>
        <w:t>Hakami</w:t>
      </w:r>
      <w:proofErr w:type="spellEnd"/>
      <w:r>
        <w:rPr>
          <w:color w:val="000000"/>
        </w:rPr>
        <w:t xml:space="preserve"> et al. (2026) observaram que programas de reabilitação podem melhorar função da mão, força de preensão e amplitude de movimento. Embora esse contexto não seja idêntico a todos os possíveis usuários do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>, o estudo sus</w:t>
      </w:r>
      <w:r>
        <w:rPr>
          <w:color w:val="000000"/>
        </w:rPr>
        <w:t xml:space="preserve">tenta a escolha de métricas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desempenho motor, adesão, evolução por sessão e força/pressão como indicadores úteis para acompanhamento. Os autores também discutem estratégias </w:t>
      </w:r>
      <w:proofErr w:type="spellStart"/>
      <w:r>
        <w:rPr>
          <w:color w:val="000000"/>
        </w:rPr>
        <w:t>gamificadas</w:t>
      </w:r>
      <w:proofErr w:type="spellEnd"/>
      <w:r>
        <w:rPr>
          <w:color w:val="000000"/>
        </w:rPr>
        <w:t>, que podem contribuir para engajamento em exercícios repetitivos.</w:t>
      </w:r>
    </w:p>
    <w:p w:rsidR="00F72D45" w:rsidRDefault="00655767">
      <w:pPr>
        <w:pStyle w:val="Ttulo2"/>
        <w:numPr>
          <w:ilvl w:val="1"/>
          <w:numId w:val="1"/>
        </w:numPr>
      </w:pPr>
      <w:r>
        <w:t xml:space="preserve">Sensores de </w:t>
      </w:r>
      <w:bookmarkStart w:id="0" w:name="_GoBack"/>
      <w:r>
        <w:t>pressão</w:t>
      </w:r>
      <w:bookmarkEnd w:id="0"/>
      <w:r>
        <w:t>, feedback e tarefas orientadas a objetivo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proofErr w:type="spellStart"/>
      <w:r>
        <w:rPr>
          <w:color w:val="000000"/>
        </w:rPr>
        <w:t>Bergeron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Kajganic</w:t>
      </w:r>
      <w:proofErr w:type="spellEnd"/>
      <w:r>
        <w:rPr>
          <w:color w:val="000000"/>
        </w:rPr>
        <w:t xml:space="preserve"> (2024) discutem a importância de instrumentos sensíveis para avaliar preensão e pinça, especialmente em indivíduos com baixa força manual. O estudo apresenta uma solução de m</w:t>
      </w:r>
      <w:r>
        <w:rPr>
          <w:color w:val="000000"/>
        </w:rPr>
        <w:t xml:space="preserve">edição de pressão com câmara flexível e reforça que dispositivos capazes de detectar variações pequenas podem ampliar a avaliação de pessoas com limitações severas. Essa fundamentação justifica o uso de um sistema fechado de ar com sensor de pressão no </w:t>
      </w:r>
      <w:proofErr w:type="spellStart"/>
      <w:r>
        <w:rPr>
          <w:color w:val="000000"/>
        </w:rPr>
        <w:t>Han</w:t>
      </w:r>
      <w:r>
        <w:rPr>
          <w:color w:val="000000"/>
        </w:rPr>
        <w:t>d-Rehab</w:t>
      </w:r>
      <w:proofErr w:type="spellEnd"/>
      <w:r>
        <w:rPr>
          <w:color w:val="000000"/>
        </w:rPr>
        <w:t>, desde que seus dados sejam tratados como medidas técnicas relativas enquanto não houver calibração clínica contra instrumento validado.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Além da medição, o feedback em tempo real é um elemento relevante. Li et al. (2024) avaliaram treinamento orien</w:t>
      </w:r>
      <w:r>
        <w:rPr>
          <w:color w:val="000000"/>
        </w:rPr>
        <w:t xml:space="preserve">tado a tarefas com robô de reabilitação da mão com feedback de força e observaram ganhos em desempenho da mão após quatro semanas em pacientes pós-AVC. 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 xml:space="preserve"> não possui assistência robótica nem pretende reproduzir a intervenção clínica desse estudo,</w:t>
      </w:r>
      <w:r>
        <w:rPr>
          <w:color w:val="000000"/>
        </w:rPr>
        <w:t xml:space="preserve"> mas utiliza conceitos compatíveis: repetição de tarefas, estímulos objetivos, resposta imediata ao usuário e registro de métricas como acerto, erro, tempo de reação e pressão.</w:t>
      </w:r>
    </w:p>
    <w:p w:rsidR="00F72D45" w:rsidRDefault="00655767">
      <w:pPr>
        <w:pStyle w:val="Ttulo1"/>
        <w:numPr>
          <w:ilvl w:val="0"/>
          <w:numId w:val="1"/>
        </w:numPr>
      </w:pPr>
      <w:r>
        <w:t>O trabalho proposto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 xml:space="preserve"> é um protótipo de tecnologia </w:t>
      </w:r>
      <w:proofErr w:type="spellStart"/>
      <w:r>
        <w:rPr>
          <w:color w:val="000000"/>
        </w:rPr>
        <w:t>assistiva</w:t>
      </w:r>
      <w:proofErr w:type="spellEnd"/>
      <w:r>
        <w:rPr>
          <w:color w:val="000000"/>
        </w:rPr>
        <w:t xml:space="preserve"> para ap</w:t>
      </w:r>
      <w:r>
        <w:rPr>
          <w:color w:val="000000"/>
        </w:rPr>
        <w:t>oio a exercícios de reabilitação da mão por meio de jogo de ritmo. O sistema possui dois modos principais. No modo de botões, quatro botões físicos conectados à ESP32 representam faixas do jogo, permitindo registrar precisão por dedo ou faixa, acertos, err</w:t>
      </w:r>
      <w:r>
        <w:rPr>
          <w:color w:val="000000"/>
        </w:rPr>
        <w:t>os, estímulos perdidos, tempo de reação, combo e pontuação. No modo de pressão, o usuário interage com um sistema fechado de ar conectado ao sensor MPS20N0040D e ao módulo HX710B, permitindo registrar variações de pressão associadas a tentativas de preensã</w:t>
      </w:r>
      <w:r>
        <w:rPr>
          <w:color w:val="000000"/>
        </w:rPr>
        <w:t>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lastRenderedPageBreak/>
        <w:t xml:space="preserve">A arquitetura foi dividida em quatro camadas. A primeira é o firmware embarcado na ESP32, desenvolvido com </w:t>
      </w:r>
      <w:proofErr w:type="spellStart"/>
      <w:r>
        <w:rPr>
          <w:color w:val="000000"/>
        </w:rPr>
        <w:t>PlatformIO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Arduino</w:t>
      </w:r>
      <w:proofErr w:type="spellEnd"/>
      <w:r>
        <w:rPr>
          <w:color w:val="000000"/>
        </w:rPr>
        <w:t xml:space="preserve"> Framework e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, responsável por ler botões e pressão, controlar sessão ativa, publicar eventos individuais e preparar lo</w:t>
      </w:r>
      <w:r>
        <w:rPr>
          <w:color w:val="000000"/>
        </w:rPr>
        <w:t xml:space="preserve">tes para persistência. A segunda é a camada de integração com Node-RED e </w:t>
      </w:r>
      <w:proofErr w:type="spellStart"/>
      <w:r>
        <w:rPr>
          <w:color w:val="000000"/>
        </w:rPr>
        <w:t>broker</w:t>
      </w:r>
      <w:proofErr w:type="spellEnd"/>
      <w:r>
        <w:rPr>
          <w:color w:val="000000"/>
        </w:rPr>
        <w:t xml:space="preserve"> Aedes, responsável por receber mensagens MQTT, normalizar </w:t>
      </w:r>
      <w:proofErr w:type="spellStart"/>
      <w:r>
        <w:rPr>
          <w:color w:val="000000"/>
        </w:rPr>
        <w:t>payloads</w:t>
      </w:r>
      <w:proofErr w:type="spellEnd"/>
      <w:r>
        <w:rPr>
          <w:color w:val="000000"/>
        </w:rPr>
        <w:t xml:space="preserve">, encaminhar eventos em tempo real ao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por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e enviar lotes ao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por HTTP. A terceira é </w:t>
      </w:r>
      <w:r>
        <w:rPr>
          <w:color w:val="000000"/>
        </w:rPr>
        <w:t xml:space="preserve">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, que valida os dados, controla usuários e sessões e persiste registros no </w:t>
      </w:r>
      <w:proofErr w:type="spellStart"/>
      <w:r>
        <w:rPr>
          <w:color w:val="000000"/>
        </w:rPr>
        <w:t>Postgres</w:t>
      </w:r>
      <w:proofErr w:type="spellEnd"/>
      <w:r>
        <w:rPr>
          <w:color w:val="000000"/>
        </w:rPr>
        <w:t xml:space="preserve">. A quarta é 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, que apresenta a interface do jogo, configuração de sessão e visualização inicial de métricas.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O diferencial do trabalho está </w:t>
      </w:r>
      <w:r>
        <w:rPr>
          <w:color w:val="000000"/>
        </w:rPr>
        <w:t>na separação entre o fluxo de tempo real e o fluxo histórico. Os eventos usados no jogo seguem um caminho curto, sem passar pelo banco de dados, priorizando resposta imediata. Em paralelo, os mesmos eventos são agrupados e enviados para persistência histór</w:t>
      </w:r>
      <w:r>
        <w:rPr>
          <w:color w:val="000000"/>
        </w:rPr>
        <w:t>ica, permitindo que futuras telas de acompanhamento consultem dados de sessões passadas.</w:t>
      </w:r>
    </w:p>
    <w:p w:rsidR="00F72D45" w:rsidRDefault="00655767">
      <w:pPr>
        <w:pStyle w:val="Ttulo1"/>
        <w:numPr>
          <w:ilvl w:val="0"/>
          <w:numId w:val="1"/>
        </w:numPr>
      </w:pPr>
      <w:r>
        <w:t>Materiais e métodos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O protótipo físico foi composto por uma placa ESP32, quatro botões físicos e um sensor de pressão MPS20N0040D acoplado ao módulo HX710B em um siste</w:t>
      </w:r>
      <w:r>
        <w:rPr>
          <w:color w:val="000000"/>
        </w:rPr>
        <w:t xml:space="preserve">ma fechado de ar. Os botões foram conectados a entradas digitais da ESP32 e configurados com interrupções e tratamento de </w:t>
      </w:r>
      <w:proofErr w:type="spellStart"/>
      <w:r>
        <w:rPr>
          <w:color w:val="000000"/>
        </w:rPr>
        <w:t>debounce</w:t>
      </w:r>
      <w:proofErr w:type="spellEnd"/>
      <w:r>
        <w:rPr>
          <w:color w:val="000000"/>
        </w:rPr>
        <w:t xml:space="preserve">. O sensor de pressão foi lido pelo firmware por meio de rotina de aquisição do conversor HX710B, com registro do valor bruto </w:t>
      </w:r>
      <w:r>
        <w:rPr>
          <w:color w:val="000000"/>
        </w:rPr>
        <w:t>e conversão relativa para kPa a partir de parâmetros de calibração do firmware.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O firmware foi estruturado em tarefas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. Uma tarefa trata conectividade Wi-Fi e MQTT; outra processa eventos de botões; uma terceira realiza leituras periódicas de press</w:t>
      </w:r>
      <w:r>
        <w:rPr>
          <w:color w:val="000000"/>
        </w:rPr>
        <w:t xml:space="preserve">ão; e tarefas adicionais publicam eventos em tempo real e lotes de persistência. A ESP32 inicia em estado ocioso e passa a publicar dados de jogo somente após receber comando de início de sessão. Ao finalizar a sessão, os dados restantes são enviados para </w:t>
      </w:r>
      <w:r>
        <w:rPr>
          <w:color w:val="000000"/>
        </w:rPr>
        <w:t>persistência.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A infraestrutura foi executada com </w:t>
      </w:r>
      <w:proofErr w:type="spellStart"/>
      <w:r>
        <w:rPr>
          <w:color w:val="000000"/>
        </w:rPr>
        <w:t>Postgres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, Node-RED com Aedes e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. A comunicação ESP32-Node-RED ocorreu por MQTT. O Node-RED encaminhou eventos de tempo real por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ao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e enviou lotes de botões e</w:t>
      </w:r>
      <w:r>
        <w:rPr>
          <w:color w:val="000000"/>
        </w:rPr>
        <w:t xml:space="preserve"> pressão ao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por requisições HTTP. 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persistiu usuários, dispositivos, sessões, eventos de botões, leituras de pressão, lotes e métricas de </w:t>
      </w:r>
      <w:proofErr w:type="spellStart"/>
      <w:r>
        <w:rPr>
          <w:color w:val="000000"/>
        </w:rPr>
        <w:t>gameplay</w:t>
      </w:r>
      <w:proofErr w:type="spellEnd"/>
      <w:r>
        <w:rPr>
          <w:color w:val="000000"/>
        </w:rPr>
        <w:t>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A validação foi realizada de forma </w:t>
      </w:r>
      <w:proofErr w:type="spellStart"/>
      <w:r>
        <w:rPr>
          <w:color w:val="000000"/>
        </w:rPr>
        <w:t>end-to-end</w:t>
      </w:r>
      <w:proofErr w:type="spellEnd"/>
      <w:r>
        <w:rPr>
          <w:color w:val="000000"/>
        </w:rPr>
        <w:t>, considerando o caminho completo entre aciona</w:t>
      </w:r>
      <w:r>
        <w:rPr>
          <w:color w:val="000000"/>
        </w:rPr>
        <w:t xml:space="preserve">mento físico, comunicação sem fio, integração MQTT, interface web,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e banco de dados. Para os resultados de botões e </w:t>
      </w:r>
      <w:proofErr w:type="spellStart"/>
      <w:r>
        <w:rPr>
          <w:color w:val="000000"/>
        </w:rPr>
        <w:t>gameplay</w:t>
      </w:r>
      <w:proofErr w:type="spellEnd"/>
      <w:r>
        <w:rPr>
          <w:color w:val="000000"/>
        </w:rPr>
        <w:t>, foram considerados apenas registros persistidos na base de validação extraída para a entrega. Para o módulo de pressão, fo</w:t>
      </w:r>
      <w:r>
        <w:rPr>
          <w:color w:val="000000"/>
        </w:rPr>
        <w:t>ram incluídas duas sessões locais autorizadas posteriormente, por serem as únicas com leituras de pressão persistidas. Os testes tiveram caráter técnico e não envolveram avaliação clínica de pacientes.</w:t>
      </w:r>
    </w:p>
    <w:p w:rsidR="00F72D45" w:rsidRDefault="00655767">
      <w:pPr>
        <w:pStyle w:val="Ttulo1"/>
        <w:numPr>
          <w:ilvl w:val="0"/>
          <w:numId w:val="1"/>
        </w:numPr>
      </w:pPr>
      <w:r>
        <w:t>Resultados e discussão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A validação </w:t>
      </w:r>
      <w:proofErr w:type="spellStart"/>
      <w:r>
        <w:rPr>
          <w:color w:val="000000"/>
        </w:rPr>
        <w:t>end-to-end</w:t>
      </w:r>
      <w:proofErr w:type="spellEnd"/>
      <w:r>
        <w:rPr>
          <w:color w:val="000000"/>
        </w:rPr>
        <w:t xml:space="preserve"> confirmo</w:t>
      </w:r>
      <w:r>
        <w:rPr>
          <w:color w:val="000000"/>
        </w:rPr>
        <w:t xml:space="preserve">u que o protótipo foi capaz de criar sessões, receber comandos, publicar eventos pela ESP32, encaminhar dados pelo Node-RED, persistir registros no </w:t>
      </w:r>
      <w:proofErr w:type="spellStart"/>
      <w:r>
        <w:rPr>
          <w:color w:val="000000"/>
        </w:rPr>
        <w:lastRenderedPageBreak/>
        <w:t>backend</w:t>
      </w:r>
      <w:proofErr w:type="spellEnd"/>
      <w:r>
        <w:rPr>
          <w:color w:val="000000"/>
        </w:rPr>
        <w:t xml:space="preserve"> e disponibilizar métricas no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. No modo de botões, foram registradas quatro sessões finalizad</w:t>
      </w:r>
      <w:r>
        <w:rPr>
          <w:color w:val="000000"/>
        </w:rPr>
        <w:t>as, todas com mão direita, totalizando 989 segundos de uso. Essas sessões geraram 23 lotes de botões e 112 eventos persistidos, sendo 56 eventos de pressionamento e 56 de liberação. A distribuição por botão foi de 42 eventos no botão 1, 26 no botão 2, 24 n</w:t>
      </w:r>
      <w:r>
        <w:rPr>
          <w:color w:val="000000"/>
        </w:rPr>
        <w:t>o botão 3 e 20 no botão 4.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Tabela 1 - Resultados técnicos do modo de botões.</w:t>
      </w:r>
    </w:p>
    <w:tbl>
      <w:tblPr>
        <w:tblStyle w:val="a"/>
        <w:tblW w:w="501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19"/>
      </w:tblGrid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Indicador do modo de botões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Resultado registrado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Sessões finalizadas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Duração total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989 s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Lotes persistidos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Eventos de botões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112, sendo 56 pressionamentos e 56 liberações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Perdas registradas nos lotes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:rsidR="00F72D45" w:rsidRDefault="00F72D45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As métricas de </w:t>
      </w:r>
      <w:proofErr w:type="spellStart"/>
      <w:r>
        <w:rPr>
          <w:color w:val="000000"/>
        </w:rPr>
        <w:t>gameplay</w:t>
      </w:r>
      <w:proofErr w:type="spellEnd"/>
      <w:r>
        <w:rPr>
          <w:color w:val="000000"/>
        </w:rPr>
        <w:t xml:space="preserve"> indicaram 2.646 estímulos gerados, 10 acertos, 46 erros e 2.596 estímulos perdidos, com pontuação total de 1.000 pontos e melhor pontuação individual de 520 pontos. O tempo médio de reação nas três sessões com respostas válidas foi </w:t>
      </w:r>
      <w:r>
        <w:rPr>
          <w:color w:val="000000"/>
        </w:rPr>
        <w:t xml:space="preserve">de 123,83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, com melhor reação de 16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e pior reação de 227 ms. Esses valores não devem ser interpretados como evolução terapêutica, pois a validação teve objetivo técnico e as sessões foram executadas em contexto exploratório. Ainda assim, os dados demo</w:t>
      </w:r>
      <w:r>
        <w:rPr>
          <w:color w:val="000000"/>
        </w:rPr>
        <w:t>nstram que o sistema já registra indicadores suficientes para análises futuras de precisão, tempo de resposta e adesão.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Tabela 2 - Métricas de desempenho registradas no jogo.</w:t>
      </w:r>
    </w:p>
    <w:tbl>
      <w:tblPr>
        <w:tblStyle w:val="a0"/>
        <w:tblW w:w="501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19"/>
      </w:tblGrid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 xml:space="preserve">Indicador de </w:t>
            </w:r>
            <w:proofErr w:type="spellStart"/>
            <w:r>
              <w:rPr>
                <w:color w:val="000000"/>
              </w:rPr>
              <w:t>gameplay</w:t>
            </w:r>
            <w:proofErr w:type="spellEnd"/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Resultado registrado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Estímulos gerados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2.646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Acertos, erros e estímulos perdidos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10 acertos, 46 erros e 2.596 estímulos perdidos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Pontuação total e melhor pontuação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1.000 pontos no total; melhor sessão com 520 pontos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Tempo de reação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 xml:space="preserve">Média de 123,83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 xml:space="preserve">; melhor 16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 xml:space="preserve">; pior 227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</w:tr>
    </w:tbl>
    <w:p w:rsidR="00F72D45" w:rsidRDefault="00F72D45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No modo de pressão, duas sessões locais válidas apresentaram dados persistidos. Juntas, elas totalizaram 269 segundos de uso, 54 lotes de pressão e 258 leituras persistidas. As sequências foram contínuas nas duas sessões, indo de 1 a 206 na primeira e de 1</w:t>
      </w:r>
      <w:r>
        <w:rPr>
          <w:color w:val="000000"/>
        </w:rPr>
        <w:t xml:space="preserve"> a 52 na segunda, sem perdas registradas. Esse resultado confirma a aquisição, transmissão e persistência do sinal de pressão em sessão real do sistema.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As leituras de pressão apresentaram 14 valores saturados, correspondentes a aproximadamente 5,4% do total. Removendo esses extremos de saturação, permaneceram 244 leituras, com mediana de -0,678 kPa, média de 41,776 kPa e faixa entre -22,044 kPa e 769,761 </w:t>
      </w:r>
      <w:r>
        <w:rPr>
          <w:color w:val="000000"/>
        </w:rPr>
        <w:t xml:space="preserve">kPa. Esses valores mostram variação </w:t>
      </w:r>
      <w:r>
        <w:rPr>
          <w:color w:val="000000"/>
        </w:rPr>
        <w:lastRenderedPageBreak/>
        <w:t xml:space="preserve">mensurável do sistema fechado de ar, mas também indicam necessidade de calibração mecânica e eletrônica antes de qualquer uso como medida clínica de força de preensão. O tempo médio de inserção registrado nos </w:t>
      </w:r>
      <w:proofErr w:type="spellStart"/>
      <w:r>
        <w:rPr>
          <w:color w:val="000000"/>
        </w:rPr>
        <w:t>metadados</w:t>
      </w:r>
      <w:proofErr w:type="spellEnd"/>
      <w:r>
        <w:rPr>
          <w:color w:val="000000"/>
        </w:rPr>
        <w:t xml:space="preserve"> d</w:t>
      </w:r>
      <w:r>
        <w:rPr>
          <w:color w:val="000000"/>
        </w:rPr>
        <w:t>os lotes de pressão foi de 3,07 microssegundos, com máximo de 11 microssegundos; o tempo médio de publicação MQTT não nulo foi de 3.802,23 microssegundos, com máximo de 5.931 microssegundos.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Tabela 3 - Resultados técnicos do modo de pressão.</w:t>
      </w:r>
    </w:p>
    <w:tbl>
      <w:tblPr>
        <w:tblStyle w:val="a1"/>
        <w:tblW w:w="501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19"/>
      </w:tblGrid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Indicador do modo de pressão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Resultado registrado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Sessões com leituras persistidas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Duração total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269 s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Lotes e leituras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54 lotes e 258 leituras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Sequência das leituras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Contínua nas duas sessões, sem perdas registradas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Leituras saturadas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14 leituras, aproximadamente 5,4% do total</w:t>
            </w:r>
          </w:p>
        </w:tc>
      </w:tr>
      <w:tr w:rsidR="00F72D45">
        <w:tc>
          <w:tcPr>
            <w:tcW w:w="2400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Faixa sem saturação</w:t>
            </w:r>
          </w:p>
        </w:tc>
        <w:tc>
          <w:tcPr>
            <w:tcW w:w="2619" w:type="dxa"/>
          </w:tcPr>
          <w:p w:rsidR="00F72D45" w:rsidRDefault="006557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-22,044 kPa a 769,761 kPa</w:t>
            </w:r>
          </w:p>
        </w:tc>
      </w:tr>
    </w:tbl>
    <w:p w:rsidR="00F72D45" w:rsidRDefault="00F72D45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Os resultados obtidos estão alinhados com a fundamentação do projeto. A persistência de eventos e métricas por sessão cria base para acompanhamento longitudinal, compatível com a importância de desfechos funcionais discutida por </w:t>
      </w:r>
      <w:proofErr w:type="spellStart"/>
      <w:r>
        <w:rPr>
          <w:color w:val="000000"/>
        </w:rPr>
        <w:t>Peters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Jha</w:t>
      </w:r>
      <w:proofErr w:type="spellEnd"/>
      <w:r>
        <w:rPr>
          <w:color w:val="000000"/>
        </w:rPr>
        <w:t xml:space="preserve"> e Ross (2021) 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Hakami</w:t>
      </w:r>
      <w:proofErr w:type="spellEnd"/>
      <w:r>
        <w:rPr>
          <w:color w:val="000000"/>
        </w:rPr>
        <w:t xml:space="preserve"> et al. (2026). O uso do sensor de pressão se relaciona à necessidade de instrumentos sensíveis para registrar variações de preensão discutida por </w:t>
      </w:r>
      <w:proofErr w:type="spellStart"/>
      <w:r>
        <w:rPr>
          <w:color w:val="000000"/>
        </w:rPr>
        <w:t>Bergeron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Kajganic</w:t>
      </w:r>
      <w:proofErr w:type="spellEnd"/>
      <w:r>
        <w:rPr>
          <w:color w:val="000000"/>
        </w:rPr>
        <w:t xml:space="preserve"> (2024). Já o jogo de ritmo com feedback imediato dialoga com a lógica de tarefas o</w:t>
      </w:r>
      <w:r>
        <w:rPr>
          <w:color w:val="000000"/>
        </w:rPr>
        <w:t>rientadas a objetivo e resposta sensório-motora apresentada por Li et al. (2024).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Como limitação, os dados de pressão ainda não devem ser considerados força de preensão clínica. A presença de saturações indica que a montagem física e os parâmetros de calib</w:t>
      </w:r>
      <w:r>
        <w:rPr>
          <w:color w:val="000000"/>
        </w:rPr>
        <w:t xml:space="preserve">ração precisam ser refinados. Além disso, os resultados de </w:t>
      </w:r>
      <w:proofErr w:type="spellStart"/>
      <w:r>
        <w:rPr>
          <w:color w:val="000000"/>
        </w:rPr>
        <w:t>gameplay</w:t>
      </w:r>
      <w:proofErr w:type="spellEnd"/>
      <w:r>
        <w:rPr>
          <w:color w:val="000000"/>
        </w:rPr>
        <w:t xml:space="preserve"> foram coletados em validação técnica, sem protocolo terapêutico controlado, sem amostra clínica e sem comparação antes/depois. Portanto, 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 xml:space="preserve"> deve ser entendido nesta etapa como pr</w:t>
      </w:r>
      <w:r>
        <w:rPr>
          <w:color w:val="000000"/>
        </w:rPr>
        <w:t>otótipo funcional de coleta, jogo e persistência de dados, não como intervenção clínica validada.</w:t>
      </w:r>
    </w:p>
    <w:p w:rsidR="00F72D45" w:rsidRDefault="00655767">
      <w:pPr>
        <w:pStyle w:val="Ttulo1"/>
        <w:numPr>
          <w:ilvl w:val="0"/>
          <w:numId w:val="1"/>
        </w:numPr>
      </w:pPr>
      <w:r>
        <w:t>Conclusões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 xml:space="preserve"> demonstrou viabilidade técnica como sistema 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 de apoio a exercícios de reabilitação da mão. A solução integrou ESP32, botões, sensor</w:t>
      </w:r>
      <w:r>
        <w:rPr>
          <w:color w:val="000000"/>
        </w:rPr>
        <w:t xml:space="preserve"> de pressão, MQTT, Node-RED,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Postgres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em um fluxo 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>-end. Os registros obtidos mostram que o sistema é capaz de capturar eventos físicos, enviar inputs em tempo real ao jogo e persistir dados históricos por sessão.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O m</w:t>
      </w:r>
      <w:r>
        <w:rPr>
          <w:color w:val="000000"/>
        </w:rPr>
        <w:t xml:space="preserve">odo de botões registrou sessões completas, lotes, eventos de pressionamento/liberação e métricas de </w:t>
      </w:r>
      <w:proofErr w:type="spellStart"/>
      <w:r>
        <w:rPr>
          <w:color w:val="000000"/>
        </w:rPr>
        <w:t>gameplay</w:t>
      </w:r>
      <w:proofErr w:type="spellEnd"/>
      <w:r>
        <w:rPr>
          <w:color w:val="000000"/>
        </w:rPr>
        <w:t>. O modo de pressão registrou duas sessões com leituras persistidas, sequência contínua e ausência de perdas, validando tecnicamente a aquisição e t</w:t>
      </w:r>
      <w:r>
        <w:rPr>
          <w:color w:val="000000"/>
        </w:rPr>
        <w:t xml:space="preserve">ransmissão do sinal. A presença de saturações no sensor, entretanto, reforça que a próxima etapa </w:t>
      </w:r>
      <w:r>
        <w:rPr>
          <w:color w:val="000000"/>
        </w:rPr>
        <w:lastRenderedPageBreak/>
        <w:t>deve priorizar calibração, melhoria da interface mecânica de preensão e comparação com instrumentos de referência.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color w:val="000000"/>
        </w:rPr>
      </w:pPr>
      <w:r>
        <w:rPr>
          <w:color w:val="000000"/>
        </w:rPr>
        <w:t>Como trabalhos futuros, recomenda-se adaptar</w:t>
      </w:r>
      <w:r>
        <w:rPr>
          <w:color w:val="000000"/>
        </w:rPr>
        <w:t xml:space="preserve"> o sistema fechado de ar para uma interface ergonômica semelhante a uma bola de preensão, calibrar o sensor contra equipamento validado, ampliar os modos de jogo, incluir protocolos configuráveis por profissional de saúde e realizar estudo com aprovação ét</w:t>
      </w:r>
      <w:r>
        <w:rPr>
          <w:color w:val="000000"/>
        </w:rPr>
        <w:t xml:space="preserve">ica quando houver participação de usuários reais em contexto terapêutico. Com esses avanços, o </w:t>
      </w:r>
      <w:proofErr w:type="spellStart"/>
      <w:r>
        <w:rPr>
          <w:color w:val="000000"/>
        </w:rPr>
        <w:t>Hand-Rehab</w:t>
      </w:r>
      <w:proofErr w:type="spellEnd"/>
      <w:r>
        <w:rPr>
          <w:color w:val="000000"/>
        </w:rPr>
        <w:t xml:space="preserve"> poderá evoluir de um protótipo técnico para uma ferramenta de apoio ao acompanhamento de exercícios sob orientação profissional.</w:t>
      </w:r>
    </w:p>
    <w:p w:rsidR="00F72D45" w:rsidRDefault="00655767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left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  <w:t>Referências Bibliográficas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="567" w:hanging="567"/>
        <w:rPr>
          <w:color w:val="000000"/>
        </w:rPr>
      </w:pPr>
      <w:r>
        <w:rPr>
          <w:color w:val="000000"/>
        </w:rPr>
        <w:t xml:space="preserve">BERGERON, </w:t>
      </w:r>
      <w:proofErr w:type="spellStart"/>
      <w:r>
        <w:rPr>
          <w:color w:val="000000"/>
        </w:rPr>
        <w:t>Vance</w:t>
      </w:r>
      <w:proofErr w:type="spellEnd"/>
      <w:r>
        <w:rPr>
          <w:color w:val="000000"/>
        </w:rPr>
        <w:t xml:space="preserve">; KAJGANIC, Petar. </w:t>
      </w:r>
      <w:proofErr w:type="spellStart"/>
      <w:r>
        <w:rPr>
          <w:color w:val="000000"/>
        </w:rPr>
        <w:t>Pressure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sensors</w:t>
      </w:r>
      <w:proofErr w:type="spellEnd"/>
      <w:r>
        <w:rPr>
          <w:color w:val="000000"/>
        </w:rPr>
        <w:t xml:space="preserve"> for </w:t>
      </w:r>
      <w:proofErr w:type="spellStart"/>
      <w:r>
        <w:rPr>
          <w:color w:val="000000"/>
        </w:rPr>
        <w:t>evaluating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grasp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pinch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Sensors</w:t>
      </w:r>
      <w:proofErr w:type="spellEnd"/>
      <w:r>
        <w:rPr>
          <w:color w:val="000000"/>
        </w:rPr>
        <w:t>, v. 24, n. 17, 5768, 2024. DOI: 10.3390/s24175768.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="567" w:hanging="567"/>
        <w:rPr>
          <w:color w:val="000000"/>
        </w:rPr>
      </w:pPr>
      <w:r>
        <w:rPr>
          <w:color w:val="000000"/>
        </w:rPr>
        <w:t xml:space="preserve">HAKAMI, </w:t>
      </w:r>
      <w:proofErr w:type="spellStart"/>
      <w:r>
        <w:rPr>
          <w:color w:val="000000"/>
        </w:rPr>
        <w:t>Alaa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Hamed</w:t>
      </w:r>
      <w:proofErr w:type="spellEnd"/>
      <w:r>
        <w:rPr>
          <w:color w:val="000000"/>
        </w:rPr>
        <w:t xml:space="preserve"> et al. </w:t>
      </w:r>
      <w:proofErr w:type="spellStart"/>
      <w:r>
        <w:rPr>
          <w:color w:val="000000"/>
        </w:rPr>
        <w:t>Effectiveness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rehabilitation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programs</w:t>
      </w:r>
      <w:proofErr w:type="spellEnd"/>
      <w:r>
        <w:rPr>
          <w:color w:val="000000"/>
        </w:rPr>
        <w:t xml:space="preserve"> for non-</w:t>
      </w:r>
      <w:proofErr w:type="spellStart"/>
      <w:r>
        <w:rPr>
          <w:color w:val="000000"/>
        </w:rPr>
        <w:t>th</w:t>
      </w:r>
      <w:r>
        <w:rPr>
          <w:color w:val="000000"/>
        </w:rPr>
        <w:t>umb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metacarpal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fractures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systematic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meta-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Clinica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Terapeutica</w:t>
      </w:r>
      <w:proofErr w:type="spellEnd"/>
      <w:r>
        <w:rPr>
          <w:color w:val="000000"/>
        </w:rPr>
        <w:t>, v. 177, n. 1, p. 174-181, 2026. DOI: 10.7417/CT.2026.1991.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="567" w:hanging="567"/>
        <w:rPr>
          <w:color w:val="000000"/>
        </w:rPr>
      </w:pPr>
      <w:r>
        <w:rPr>
          <w:color w:val="000000"/>
        </w:rPr>
        <w:t xml:space="preserve">LI, </w:t>
      </w:r>
      <w:proofErr w:type="spellStart"/>
      <w:r>
        <w:rPr>
          <w:color w:val="000000"/>
        </w:rPr>
        <w:t>Yinghua</w:t>
      </w:r>
      <w:proofErr w:type="spellEnd"/>
      <w:r>
        <w:rPr>
          <w:color w:val="000000"/>
        </w:rPr>
        <w:t xml:space="preserve"> et al. </w:t>
      </w:r>
      <w:proofErr w:type="spellStart"/>
      <w:r>
        <w:rPr>
          <w:color w:val="000000"/>
        </w:rPr>
        <w:t>Effect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task-oriented</w:t>
      </w:r>
      <w:proofErr w:type="spellEnd"/>
      <w:r>
        <w:rPr>
          <w:color w:val="000000"/>
        </w:rPr>
        <w:t xml:space="preserve"> training </w:t>
      </w:r>
      <w:proofErr w:type="spellStart"/>
      <w:r>
        <w:rPr>
          <w:color w:val="000000"/>
        </w:rPr>
        <w:t>assisted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force feedback </w:t>
      </w:r>
      <w:proofErr w:type="spellStart"/>
      <w:r>
        <w:rPr>
          <w:color w:val="000000"/>
        </w:rPr>
        <w:t>hand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rehabilitation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grasping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stroke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patients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hemiplegia: a </w:t>
      </w:r>
      <w:proofErr w:type="spellStart"/>
      <w:r>
        <w:rPr>
          <w:color w:val="000000"/>
        </w:rPr>
        <w:t>randomised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Journal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NeuroEngineering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Rehabilitation</w:t>
      </w:r>
      <w:proofErr w:type="spellEnd"/>
      <w:r>
        <w:rPr>
          <w:color w:val="000000"/>
        </w:rPr>
        <w:t>, v. 21, a</w:t>
      </w:r>
      <w:r>
        <w:rPr>
          <w:color w:val="000000"/>
        </w:rPr>
        <w:t>rt. 77, 2024. DOI: 10.1186/s12984-024-01372-3.</w:t>
      </w:r>
    </w:p>
    <w:p w:rsidR="00F72D45" w:rsidRDefault="00655767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="567" w:hanging="567"/>
        <w:rPr>
          <w:b/>
          <w:bCs/>
          <w:i/>
          <w:iCs/>
        </w:rPr>
      </w:pPr>
      <w:r>
        <w:rPr>
          <w:color w:val="000000"/>
        </w:rPr>
        <w:t xml:space="preserve">PETERS, Susan E.; JHA, </w:t>
      </w:r>
      <w:proofErr w:type="spellStart"/>
      <w:r>
        <w:rPr>
          <w:color w:val="000000"/>
        </w:rPr>
        <w:t>Bhavana</w:t>
      </w:r>
      <w:proofErr w:type="spellEnd"/>
      <w:r>
        <w:rPr>
          <w:color w:val="000000"/>
        </w:rPr>
        <w:t xml:space="preserve">; ROSS, Mark. </w:t>
      </w:r>
      <w:proofErr w:type="spellStart"/>
      <w:r>
        <w:rPr>
          <w:color w:val="000000"/>
        </w:rPr>
        <w:t>Rehabilitation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surgery</w:t>
      </w:r>
      <w:proofErr w:type="spellEnd"/>
      <w:r>
        <w:rPr>
          <w:color w:val="000000"/>
        </w:rPr>
        <w:t xml:space="preserve"> for flexor </w:t>
      </w:r>
      <w:proofErr w:type="spellStart"/>
      <w:r>
        <w:rPr>
          <w:color w:val="000000"/>
        </w:rPr>
        <w:t>tendon</w:t>
      </w:r>
      <w:proofErr w:type="spellEnd"/>
      <w:r>
        <w:rPr>
          <w:color w:val="000000"/>
        </w:rPr>
        <w:t xml:space="preserve"> injuries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</w:t>
      </w:r>
      <w:proofErr w:type="spellEnd"/>
      <w:r>
        <w:rPr>
          <w:color w:val="000000"/>
        </w:rPr>
        <w:t xml:space="preserve">. Cochrane </w:t>
      </w:r>
      <w:proofErr w:type="spellStart"/>
      <w:r>
        <w:rPr>
          <w:color w:val="000000"/>
        </w:rPr>
        <w:t>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Reviews</w:t>
      </w:r>
      <w:proofErr w:type="spellEnd"/>
      <w:r>
        <w:rPr>
          <w:color w:val="000000"/>
        </w:rPr>
        <w:t>, n. 1, art. CD012479, 2021. DOI: 10.1002/14651858.CD</w:t>
      </w:r>
      <w:r>
        <w:rPr>
          <w:color w:val="000000"/>
        </w:rPr>
        <w:t>012479.pub2.</w:t>
      </w:r>
    </w:p>
    <w:p w:rsidR="00F72D45" w:rsidRDefault="00F72D4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60" w:line="230" w:lineRule="auto"/>
        <w:rPr>
          <w:color w:val="000000"/>
        </w:rPr>
      </w:pPr>
    </w:p>
    <w:sectPr w:rsidR="00F72D45">
      <w:headerReference w:type="even" r:id="rId11"/>
      <w:type w:val="continuous"/>
      <w:pgSz w:w="11906" w:h="16838"/>
      <w:pgMar w:top="737" w:right="567" w:bottom="760" w:left="567" w:header="567" w:footer="567" w:gutter="0"/>
      <w:cols w:num="2" w:space="720" w:equalWidth="0">
        <w:col w:w="5102" w:space="567"/>
        <w:col w:w="5102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767" w:rsidRDefault="00655767">
      <w:r>
        <w:separator/>
      </w:r>
    </w:p>
  </w:endnote>
  <w:endnote w:type="continuationSeparator" w:id="0">
    <w:p w:rsidR="00655767" w:rsidRDefault="00655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5F2C2B3-031C-4AE8-A597-E1EA85D317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FBBD96-4DEE-4754-A454-CB8EF19FF7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8122ED-F43E-4BDE-8219-F809F6E744C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D45" w:rsidRDefault="0065576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-360044</wp:posOffset>
          </wp:positionH>
          <wp:positionV relativeFrom="paragraph">
            <wp:posOffset>-337184</wp:posOffset>
          </wp:positionV>
          <wp:extent cx="7562850" cy="86677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D45" w:rsidRDefault="0065576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-350519</wp:posOffset>
          </wp:positionH>
          <wp:positionV relativeFrom="paragraph">
            <wp:posOffset>-327659</wp:posOffset>
          </wp:positionV>
          <wp:extent cx="7562850" cy="866775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767" w:rsidRDefault="00655767">
      <w:r>
        <w:separator/>
      </w:r>
    </w:p>
  </w:footnote>
  <w:footnote w:type="continuationSeparator" w:id="0">
    <w:p w:rsidR="00655767" w:rsidRDefault="00655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D45" w:rsidRDefault="00655767">
    <w:pPr>
      <w:ind w:left="1440"/>
      <w:jc w:val="left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         Anais da Mostra Nacional de Robótica - MNR 2026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240029</wp:posOffset>
          </wp:positionH>
          <wp:positionV relativeFrom="paragraph">
            <wp:posOffset>-76834</wp:posOffset>
          </wp:positionV>
          <wp:extent cx="838200" cy="30670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306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72D45" w:rsidRDefault="00655767">
    <w:pPr>
      <w:pBdr>
        <w:bottom w:val="single" w:sz="4" w:space="1" w:color="000000"/>
      </w:pBdr>
      <w:jc w:val="left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                                         Ensino Médio, Técnico, Superior, Pós-graduação e Pesquisa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D45" w:rsidRDefault="00655767">
    <w:pPr>
      <w:ind w:left="1440"/>
      <w:jc w:val="left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         Anais da Mostra Nacional de Robótica - MNR 2026</w:t>
    </w:r>
    <w:r>
      <w:rPr>
        <w:noProof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228600</wp:posOffset>
          </wp:positionH>
          <wp:positionV relativeFrom="paragraph">
            <wp:posOffset>-74294</wp:posOffset>
          </wp:positionV>
          <wp:extent cx="838200" cy="30670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306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72D45" w:rsidRDefault="00655767">
    <w:pPr>
      <w:pBdr>
        <w:bottom w:val="single" w:sz="4" w:space="1" w:color="000000"/>
      </w:pBdr>
      <w:jc w:val="left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                                         Ensino Médio, Técnico, Superior, Pós-graduação e Pesquisa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65C20"/>
    <w:multiLevelType w:val="multilevel"/>
    <w:tmpl w:val="0B122C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D45"/>
    <w:rsid w:val="001B7F48"/>
    <w:rsid w:val="00655767"/>
    <w:rsid w:val="00ED3E14"/>
    <w:rsid w:val="00F7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768B8"/>
  <w15:docId w15:val="{1B14EDF5-E064-40B7-96E6-B31C3A8B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/>
      <w:ind w:left="432" w:hanging="432"/>
      <w:jc w:val="left"/>
      <w:outlineLvl w:val="0"/>
    </w:pPr>
    <w:rPr>
      <w:rFonts w:ascii="Arial" w:eastAsia="Arial" w:hAnsi="Arial" w:cs="Arial"/>
      <w:b/>
      <w:bCs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/>
      <w:ind w:left="576" w:hanging="576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/>
      <w:ind w:left="720" w:hanging="720"/>
      <w:jc w:val="left"/>
      <w:outlineLvl w:val="2"/>
    </w:pPr>
    <w:rPr>
      <w:rFonts w:ascii="Arial" w:eastAsia="Arial" w:hAnsi="Arial" w:cs="Arial"/>
      <w:b/>
      <w:bCs/>
      <w:color w:val="000000"/>
    </w:rPr>
  </w:style>
  <w:style w:type="paragraph" w:styleId="Ttulo4">
    <w:name w:val="heading 4"/>
    <w:basedOn w:val="Normal"/>
    <w:next w:val="Normal"/>
    <w:pPr>
      <w:keepNext/>
      <w:spacing w:before="240"/>
      <w:ind w:left="864" w:hanging="864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pPr>
      <w:spacing w:before="240"/>
      <w:ind w:left="1008" w:hanging="1008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/>
      <w:ind w:left="1152" w:hanging="1152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1B7F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2882</Words>
  <Characters>15564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Usuário</cp:lastModifiedBy>
  <cp:revision>2</cp:revision>
  <dcterms:created xsi:type="dcterms:W3CDTF">2026-06-11T12:25:00Z</dcterms:created>
  <dcterms:modified xsi:type="dcterms:W3CDTF">2026-06-11T13:04:00Z</dcterms:modified>
</cp:coreProperties>
</file>