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148971" w14:textId="77777777" w:rsidR="00F31C91" w:rsidRDefault="00271A1E">
      <w:pPr>
        <w:pStyle w:val="Ttulo"/>
      </w:pPr>
      <w:bookmarkStart w:id="0" w:name="_GoBack"/>
      <w:bookmarkEnd w:id="0"/>
      <w:r>
        <w:t>ANEXO TÉCNICO</w:t>
      </w:r>
    </w:p>
    <w:p w14:paraId="4A8C86E4" w14:textId="77777777" w:rsidR="00CD57FB" w:rsidRDefault="00271A1E">
      <w:pPr>
        <w:rPr>
          <w:rFonts w:hint="eastAsia"/>
        </w:rPr>
      </w:pPr>
      <w:r w:rsidRPr="00CD57FB">
        <w:rPr>
          <w:b/>
          <w:bCs/>
          <w:sz w:val="24"/>
          <w:szCs w:val="24"/>
        </w:rPr>
        <w:t xml:space="preserve">Vaca Muerta — </w:t>
      </w:r>
      <w:proofErr w:type="spellStart"/>
      <w:r w:rsidRPr="00CD57FB">
        <w:rPr>
          <w:b/>
          <w:bCs/>
          <w:sz w:val="24"/>
          <w:szCs w:val="24"/>
        </w:rPr>
        <w:t>Producción</w:t>
      </w:r>
      <w:proofErr w:type="spellEnd"/>
      <w:r w:rsidRPr="00CD57FB">
        <w:rPr>
          <w:b/>
          <w:bCs/>
          <w:sz w:val="24"/>
          <w:szCs w:val="24"/>
        </w:rPr>
        <w:t xml:space="preserve"> </w:t>
      </w:r>
      <w:proofErr w:type="spellStart"/>
      <w:r w:rsidRPr="00CD57FB">
        <w:rPr>
          <w:b/>
          <w:bCs/>
          <w:sz w:val="24"/>
          <w:szCs w:val="24"/>
        </w:rPr>
        <w:t>mensual</w:t>
      </w:r>
      <w:proofErr w:type="spellEnd"/>
      <w:r w:rsidRPr="00CD57FB">
        <w:rPr>
          <w:b/>
          <w:bCs/>
          <w:sz w:val="24"/>
          <w:szCs w:val="24"/>
        </w:rPr>
        <w:t xml:space="preserve"> de </w:t>
      </w:r>
      <w:proofErr w:type="spellStart"/>
      <w:r w:rsidRPr="00CD57FB">
        <w:rPr>
          <w:b/>
          <w:bCs/>
          <w:sz w:val="24"/>
          <w:szCs w:val="24"/>
        </w:rPr>
        <w:t>petróleo</w:t>
      </w:r>
      <w:proofErr w:type="spellEnd"/>
      <w:r w:rsidRPr="00CD57FB">
        <w:rPr>
          <w:b/>
          <w:bCs/>
          <w:sz w:val="24"/>
          <w:szCs w:val="24"/>
        </w:rPr>
        <w:t xml:space="preserve"> no </w:t>
      </w:r>
      <w:proofErr w:type="spellStart"/>
      <w:r w:rsidRPr="00CD57FB">
        <w:rPr>
          <w:b/>
          <w:bCs/>
          <w:sz w:val="24"/>
          <w:szCs w:val="24"/>
        </w:rPr>
        <w:t>convencional</w:t>
      </w:r>
      <w:proofErr w:type="spellEnd"/>
      <w:r w:rsidRPr="00CD57FB">
        <w:rPr>
          <w:b/>
          <w:bCs/>
          <w:sz w:val="24"/>
          <w:szCs w:val="24"/>
        </w:rPr>
        <w:t>, Neuquén</w:t>
      </w:r>
      <w:r>
        <w:t xml:space="preserve"> |</w:t>
      </w:r>
    </w:p>
    <w:p w14:paraId="5CE96BCC" w14:textId="5DB4C856" w:rsidR="00F31C91" w:rsidRPr="00AA0CE6" w:rsidRDefault="00CD57FB">
      <w:pPr>
        <w:rPr>
          <w:rFonts w:hint="eastAsia"/>
          <w:sz w:val="24"/>
          <w:szCs w:val="24"/>
        </w:rPr>
      </w:pPr>
      <w:proofErr w:type="spellStart"/>
      <w:r w:rsidRPr="00AA0CE6">
        <w:rPr>
          <w:sz w:val="24"/>
          <w:szCs w:val="24"/>
        </w:rPr>
        <w:t>Modelo</w:t>
      </w:r>
      <w:proofErr w:type="spellEnd"/>
      <w:r w:rsidRPr="00AA0CE6">
        <w:rPr>
          <w:sz w:val="24"/>
          <w:szCs w:val="24"/>
        </w:rPr>
        <w:t xml:space="preserve"> de </w:t>
      </w:r>
      <w:proofErr w:type="spellStart"/>
      <w:r w:rsidRPr="00AA0CE6">
        <w:rPr>
          <w:sz w:val="24"/>
          <w:szCs w:val="24"/>
        </w:rPr>
        <w:t>predicción</w:t>
      </w:r>
      <w:proofErr w:type="spellEnd"/>
      <w:r w:rsidRPr="00AA0CE6">
        <w:rPr>
          <w:sz w:val="24"/>
          <w:szCs w:val="24"/>
        </w:rPr>
        <w:t xml:space="preserve"> </w:t>
      </w:r>
      <w:r w:rsidR="00271A1E" w:rsidRPr="00AA0CE6">
        <w:rPr>
          <w:sz w:val="24"/>
          <w:szCs w:val="24"/>
        </w:rPr>
        <w:t>Prophet 2012–2026</w:t>
      </w:r>
    </w:p>
    <w:p w14:paraId="08EC14A4" w14:textId="77777777" w:rsidR="00F31C91" w:rsidRPr="00AA0CE6" w:rsidRDefault="00271A1E">
      <w:pPr>
        <w:rPr>
          <w:rFonts w:hint="eastAsia"/>
          <w:sz w:val="24"/>
          <w:szCs w:val="24"/>
        </w:rPr>
      </w:pPr>
      <w:proofErr w:type="spellStart"/>
      <w:r w:rsidRPr="00AA0CE6">
        <w:rPr>
          <w:b/>
          <w:bCs/>
          <w:sz w:val="24"/>
          <w:szCs w:val="24"/>
        </w:rPr>
        <w:t>Objeto</w:t>
      </w:r>
      <w:proofErr w:type="spellEnd"/>
      <w:r w:rsidRPr="00AA0CE6">
        <w:rPr>
          <w:b/>
          <w:bCs/>
          <w:sz w:val="24"/>
          <w:szCs w:val="24"/>
        </w:rPr>
        <w:t>:</w:t>
      </w:r>
      <w:r w:rsidRPr="00AA0CE6">
        <w:rPr>
          <w:sz w:val="24"/>
          <w:szCs w:val="24"/>
        </w:rPr>
        <w:t xml:space="preserve"> </w:t>
      </w:r>
      <w:proofErr w:type="spellStart"/>
      <w:r w:rsidRPr="00AA0CE6">
        <w:rPr>
          <w:sz w:val="24"/>
          <w:szCs w:val="24"/>
        </w:rPr>
        <w:t>documentar</w:t>
      </w:r>
      <w:proofErr w:type="spellEnd"/>
      <w:r w:rsidRPr="00AA0CE6">
        <w:rPr>
          <w:sz w:val="24"/>
          <w:szCs w:val="24"/>
        </w:rPr>
        <w:t xml:space="preserve"> </w:t>
      </w:r>
      <w:proofErr w:type="spellStart"/>
      <w:r w:rsidRPr="00AA0CE6">
        <w:rPr>
          <w:sz w:val="24"/>
          <w:szCs w:val="24"/>
        </w:rPr>
        <w:t>trazabilidad</w:t>
      </w:r>
      <w:proofErr w:type="spellEnd"/>
      <w:r w:rsidRPr="00AA0CE6">
        <w:rPr>
          <w:sz w:val="24"/>
          <w:szCs w:val="24"/>
        </w:rPr>
        <w:t xml:space="preserve"> de la serie, diseño de evaluación, ecuaciones, parámetros, métricas, diagnóstico de residuos y límites de reproducibilidad. El análisis interpretativo y las conclusiones principales se encuentran en el paper.</w:t>
      </w:r>
    </w:p>
    <w:p w14:paraId="63E094CC" w14:textId="77777777" w:rsidR="00F31C91" w:rsidRDefault="00271A1E">
      <w:pPr>
        <w:pStyle w:val="Ttulo1"/>
      </w:pPr>
      <w:r>
        <w:t>A. Procedencia y universo de datos</w:t>
      </w:r>
    </w:p>
    <w:p w14:paraId="39B92FF1" w14:textId="77777777" w:rsidR="00F31C91" w:rsidRPr="00AA0CE6" w:rsidRDefault="00271A1E">
      <w:pPr>
        <w:rPr>
          <w:rFonts w:hint="eastAsia"/>
          <w:sz w:val="24"/>
          <w:szCs w:val="24"/>
        </w:rPr>
      </w:pPr>
      <w:r w:rsidRPr="00AA0CE6">
        <w:rPr>
          <w:sz w:val="24"/>
          <w:szCs w:val="24"/>
        </w:rPr>
        <w:t>Fuente inicial: registros oficiales anuales de producción por pozo de petróleo y gas. Universo objetivo: Provincia del Neuquén + recurso no convencional + subtipo SHALE + formación Vaca Muerta + producción de petróleo (prod_pet), excluyendo Tight y otras formaciones. Horizonte enero de 2012 a diciembre de 2025.</w:t>
      </w:r>
    </w:p>
    <w:p w14:paraId="1070F2F1" w14:textId="77777777" w:rsidR="00F31C91" w:rsidRPr="00AA0CE6" w:rsidRDefault="00271A1E">
      <w:pPr>
        <w:rPr>
          <w:rFonts w:hint="eastAsia"/>
          <w:sz w:val="24"/>
          <w:szCs w:val="24"/>
        </w:rPr>
      </w:pPr>
      <w:r w:rsidRPr="00AA0CE6">
        <w:rPr>
          <w:sz w:val="24"/>
          <w:szCs w:val="24"/>
        </w:rPr>
        <w:t>La depuración trabaja con la clave (año, mes, idpozo). Después de verificar duplicaciones, se consolida la suma mensual de prod_pet en m³. No se descartan los meses de producción cero de un pozo por ese solo hecho: pueden representar paradas transitorias y forman parte de su historia productiva.</w:t>
      </w:r>
    </w:p>
    <w:tbl>
      <w:tblPr>
        <w:tblStyle w:val="Sombreadoclaro-nfasis1"/>
        <w:tblW w:w="0" w:type="auto"/>
        <w:jc w:val="center"/>
        <w:tblLook w:val="04A0" w:firstRow="1" w:lastRow="0" w:firstColumn="1" w:lastColumn="0" w:noHBand="0" w:noVBand="1"/>
      </w:tblPr>
      <w:tblGrid>
        <w:gridCol w:w="4816"/>
        <w:gridCol w:w="4816"/>
      </w:tblGrid>
      <w:tr w:rsidR="00F31C91" w14:paraId="309E8017"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824B87A" w14:textId="77777777" w:rsidR="00F31C91" w:rsidRPr="00AA0CE6" w:rsidRDefault="00271A1E">
            <w:pPr>
              <w:rPr>
                <w:rFonts w:hint="eastAsia"/>
                <w:sz w:val="22"/>
              </w:rPr>
            </w:pPr>
            <w:r w:rsidRPr="00AA0CE6">
              <w:rPr>
                <w:sz w:val="22"/>
              </w:rPr>
              <w:t>Nivel</w:t>
            </w:r>
          </w:p>
        </w:tc>
        <w:tc>
          <w:tcPr>
            <w:tcW w:w="4816" w:type="dxa"/>
          </w:tcPr>
          <w:p w14:paraId="13C6119D"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AA0CE6">
              <w:rPr>
                <w:sz w:val="22"/>
              </w:rPr>
              <w:t>Unidad / regla</w:t>
            </w:r>
          </w:p>
        </w:tc>
      </w:tr>
      <w:tr w:rsidR="00F31C91" w14:paraId="38E35BAB"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4BA4B3D8" w14:textId="77777777" w:rsidR="00F31C91" w:rsidRPr="00AA0CE6" w:rsidRDefault="00271A1E">
            <w:pPr>
              <w:rPr>
                <w:rFonts w:hint="eastAsia"/>
                <w:sz w:val="22"/>
              </w:rPr>
            </w:pPr>
            <w:r w:rsidRPr="00AA0CE6">
              <w:rPr>
                <w:sz w:val="22"/>
              </w:rPr>
              <w:t>Registro original</w:t>
            </w:r>
          </w:p>
        </w:tc>
        <w:tc>
          <w:tcPr>
            <w:tcW w:w="4816" w:type="dxa"/>
          </w:tcPr>
          <w:p w14:paraId="089435DF"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Pozo–mes (con atributos de empresa, área y clasificación)</w:t>
            </w:r>
          </w:p>
        </w:tc>
      </w:tr>
      <w:tr w:rsidR="00F31C91" w14:paraId="7D0AC6B2"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054076AE" w14:textId="77777777" w:rsidR="00F31C91" w:rsidRPr="00AA0CE6" w:rsidRDefault="00271A1E">
            <w:pPr>
              <w:rPr>
                <w:rFonts w:hint="eastAsia"/>
                <w:sz w:val="22"/>
              </w:rPr>
            </w:pPr>
            <w:r w:rsidRPr="00AA0CE6">
              <w:rPr>
                <w:sz w:val="22"/>
              </w:rPr>
              <w:t>Control duplicados</w:t>
            </w:r>
          </w:p>
        </w:tc>
        <w:tc>
          <w:tcPr>
            <w:tcW w:w="4816" w:type="dxa"/>
          </w:tcPr>
          <w:p w14:paraId="1515B699"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Clave año + mes + idpozo; resolver antes de sumar</w:t>
            </w:r>
          </w:p>
        </w:tc>
      </w:tr>
      <w:tr w:rsidR="00F31C91" w14:paraId="2A6BA394"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175A6EF" w14:textId="77777777" w:rsidR="00F31C91" w:rsidRPr="00AA0CE6" w:rsidRDefault="00271A1E">
            <w:pPr>
              <w:rPr>
                <w:rFonts w:hint="eastAsia"/>
                <w:sz w:val="22"/>
              </w:rPr>
            </w:pPr>
            <w:r w:rsidRPr="00AA0CE6">
              <w:rPr>
                <w:sz w:val="22"/>
              </w:rPr>
              <w:t>Serie para Prophet</w:t>
            </w:r>
          </w:p>
        </w:tc>
        <w:tc>
          <w:tcPr>
            <w:tcW w:w="4816" w:type="dxa"/>
          </w:tcPr>
          <w:p w14:paraId="3991D380"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Una fila por mes: ds = primer día del mes; y = suma mensual (m³)</w:t>
            </w:r>
          </w:p>
        </w:tc>
      </w:tr>
      <w:tr w:rsidR="00F31C91" w14:paraId="5E2B7077"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7E6F2294" w14:textId="77777777" w:rsidR="00F31C91" w:rsidRPr="00AA0CE6" w:rsidRDefault="00271A1E">
            <w:pPr>
              <w:rPr>
                <w:rFonts w:hint="eastAsia"/>
                <w:sz w:val="22"/>
              </w:rPr>
            </w:pPr>
            <w:r w:rsidRPr="00AA0CE6">
              <w:rPr>
                <w:sz w:val="22"/>
              </w:rPr>
              <w:t>Período</w:t>
            </w:r>
          </w:p>
        </w:tc>
        <w:tc>
          <w:tcPr>
            <w:tcW w:w="4816" w:type="dxa"/>
          </w:tcPr>
          <w:p w14:paraId="088E825A"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168 observaciones: 2012-01 a 2025-12</w:t>
            </w:r>
          </w:p>
        </w:tc>
      </w:tr>
    </w:tbl>
    <w:p w14:paraId="778F4B35" w14:textId="77777777" w:rsidR="0089665E" w:rsidRDefault="0089665E">
      <w:pPr>
        <w:rPr>
          <w:rFonts w:hint="eastAsia"/>
        </w:rPr>
      </w:pPr>
    </w:p>
    <w:p w14:paraId="438660CB" w14:textId="2DBC9A87" w:rsidR="00F31C91" w:rsidRPr="00AA0CE6" w:rsidRDefault="00271A1E">
      <w:pPr>
        <w:rPr>
          <w:rFonts w:hint="eastAsia"/>
          <w:sz w:val="24"/>
          <w:szCs w:val="24"/>
        </w:rPr>
      </w:pPr>
      <w:r w:rsidRPr="00AA0CE6">
        <w:rPr>
          <w:sz w:val="24"/>
          <w:szCs w:val="24"/>
        </w:rPr>
        <w:t xml:space="preserve">Se debe </w:t>
      </w:r>
      <w:proofErr w:type="spellStart"/>
      <w:r w:rsidRPr="00AA0CE6">
        <w:rPr>
          <w:sz w:val="24"/>
          <w:szCs w:val="24"/>
        </w:rPr>
        <w:t>distinguir</w:t>
      </w:r>
      <w:proofErr w:type="spellEnd"/>
      <w:r w:rsidRPr="00AA0CE6">
        <w:rPr>
          <w:sz w:val="24"/>
          <w:szCs w:val="24"/>
        </w:rPr>
        <w:t xml:space="preserve"> la </w:t>
      </w:r>
      <w:proofErr w:type="spellStart"/>
      <w:r w:rsidRPr="00AA0CE6">
        <w:rPr>
          <w:sz w:val="24"/>
          <w:szCs w:val="24"/>
        </w:rPr>
        <w:t>serie</w:t>
      </w:r>
      <w:proofErr w:type="spellEnd"/>
      <w:r w:rsidRPr="00AA0CE6">
        <w:rPr>
          <w:sz w:val="24"/>
          <w:szCs w:val="24"/>
        </w:rPr>
        <w:t xml:space="preserve"> </w:t>
      </w:r>
      <w:proofErr w:type="spellStart"/>
      <w:r w:rsidRPr="00AA0CE6">
        <w:rPr>
          <w:sz w:val="24"/>
          <w:szCs w:val="24"/>
        </w:rPr>
        <w:t>consolidada</w:t>
      </w:r>
      <w:proofErr w:type="spellEnd"/>
      <w:r w:rsidRPr="00AA0CE6">
        <w:rPr>
          <w:sz w:val="24"/>
          <w:szCs w:val="24"/>
        </w:rPr>
        <w:t xml:space="preserve"> en Excel de los archivos CSV brutos por pozo, que no integran el paquete final. La </w:t>
      </w:r>
      <w:proofErr w:type="spellStart"/>
      <w:r w:rsidRPr="00AA0CE6">
        <w:rPr>
          <w:sz w:val="24"/>
          <w:szCs w:val="24"/>
        </w:rPr>
        <w:t>primera</w:t>
      </w:r>
      <w:proofErr w:type="spellEnd"/>
      <w:r w:rsidRPr="00AA0CE6">
        <w:rPr>
          <w:sz w:val="24"/>
          <w:szCs w:val="24"/>
        </w:rPr>
        <w:t xml:space="preserve"> </w:t>
      </w:r>
      <w:proofErr w:type="spellStart"/>
      <w:r w:rsidRPr="00AA0CE6">
        <w:rPr>
          <w:sz w:val="24"/>
          <w:szCs w:val="24"/>
        </w:rPr>
        <w:t>permite</w:t>
      </w:r>
      <w:proofErr w:type="spellEnd"/>
      <w:r w:rsidRPr="00AA0CE6">
        <w:rPr>
          <w:sz w:val="24"/>
          <w:szCs w:val="24"/>
        </w:rPr>
        <w:t xml:space="preserve"> </w:t>
      </w:r>
      <w:proofErr w:type="spellStart"/>
      <w:r w:rsidRPr="00AA0CE6">
        <w:rPr>
          <w:sz w:val="24"/>
          <w:szCs w:val="24"/>
        </w:rPr>
        <w:t>reproducir</w:t>
      </w:r>
      <w:proofErr w:type="spellEnd"/>
      <w:r w:rsidRPr="00AA0CE6">
        <w:rPr>
          <w:sz w:val="24"/>
          <w:szCs w:val="24"/>
        </w:rPr>
        <w:t xml:space="preserve"> el modelado; la reproducción completa del filtrado requiere también los originales.</w:t>
      </w:r>
    </w:p>
    <w:p w14:paraId="153C243D" w14:textId="77777777" w:rsidR="00F31C91" w:rsidRPr="00AA0CE6" w:rsidRDefault="00271A1E">
      <w:pPr>
        <w:pStyle w:val="Ttulo1"/>
        <w:rPr>
          <w:sz w:val="24"/>
          <w:szCs w:val="24"/>
        </w:rPr>
      </w:pPr>
      <w:r w:rsidRPr="00AA0CE6">
        <w:rPr>
          <w:sz w:val="24"/>
          <w:szCs w:val="24"/>
        </w:rPr>
        <w:t>B. Control temporal y análisis descriptivo</w:t>
      </w:r>
    </w:p>
    <w:p w14:paraId="3F46FF7E" w14:textId="77777777" w:rsidR="00F31C91" w:rsidRPr="00AA0CE6" w:rsidRDefault="00271A1E">
      <w:pPr>
        <w:rPr>
          <w:rFonts w:hint="eastAsia"/>
          <w:sz w:val="24"/>
          <w:szCs w:val="24"/>
        </w:rPr>
      </w:pPr>
      <w:r w:rsidRPr="00AA0CE6">
        <w:rPr>
          <w:sz w:val="24"/>
          <w:szCs w:val="24"/>
        </w:rPr>
        <w:t xml:space="preserve">Se reconocen, </w:t>
      </w:r>
      <w:proofErr w:type="gramStart"/>
      <w:r w:rsidRPr="00AA0CE6">
        <w:rPr>
          <w:sz w:val="24"/>
          <w:szCs w:val="24"/>
        </w:rPr>
        <w:t>a</w:t>
      </w:r>
      <w:proofErr w:type="gramEnd"/>
      <w:r w:rsidRPr="00AA0CE6">
        <w:rPr>
          <w:sz w:val="24"/>
          <w:szCs w:val="24"/>
        </w:rPr>
        <w:t xml:space="preserve"> efectos descriptivos, tres etapas orientativas: 2012–2017 (inicio), 2018–2022 (desarrollo) y 2023–2025 (aceleración). No representan quiebres estadísticos identificados formalmente. La ventana 2020–2024 se seleccionó para entrenar el modelo que se contrasta con 2025; para el experimento retrospectivo sobre 2024 se entrena sobre 2020–2023.</w:t>
      </w:r>
    </w:p>
    <w:tbl>
      <w:tblPr>
        <w:tblStyle w:val="Sombreadoclaro-nfasis1"/>
        <w:tblW w:w="0" w:type="auto"/>
        <w:jc w:val="center"/>
        <w:tblLook w:val="04A0" w:firstRow="1" w:lastRow="0" w:firstColumn="1" w:lastColumn="0" w:noHBand="0" w:noVBand="1"/>
      </w:tblPr>
      <w:tblGrid>
        <w:gridCol w:w="2408"/>
        <w:gridCol w:w="2408"/>
        <w:gridCol w:w="2408"/>
        <w:gridCol w:w="2408"/>
      </w:tblGrid>
      <w:tr w:rsidR="00F31C91" w14:paraId="04B5111E"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tcPr>
          <w:p w14:paraId="21C45B9E" w14:textId="77777777" w:rsidR="00F31C91" w:rsidRPr="00AA0CE6" w:rsidRDefault="00271A1E">
            <w:pPr>
              <w:rPr>
                <w:rFonts w:hint="eastAsia"/>
                <w:color w:val="002060"/>
                <w:sz w:val="20"/>
                <w:szCs w:val="20"/>
              </w:rPr>
            </w:pPr>
            <w:r w:rsidRPr="00AA0CE6">
              <w:rPr>
                <w:color w:val="002060"/>
                <w:sz w:val="20"/>
                <w:szCs w:val="20"/>
              </w:rPr>
              <w:t>Ejercicio</w:t>
            </w:r>
          </w:p>
        </w:tc>
        <w:tc>
          <w:tcPr>
            <w:tcW w:w="2408" w:type="dxa"/>
          </w:tcPr>
          <w:p w14:paraId="04FB83E2"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color w:val="002060"/>
                <w:sz w:val="20"/>
                <w:szCs w:val="20"/>
              </w:rPr>
            </w:pPr>
            <w:r w:rsidRPr="00AA0CE6">
              <w:rPr>
                <w:color w:val="002060"/>
                <w:sz w:val="20"/>
                <w:szCs w:val="20"/>
              </w:rPr>
              <w:t>Entrenamiento</w:t>
            </w:r>
          </w:p>
        </w:tc>
        <w:tc>
          <w:tcPr>
            <w:tcW w:w="2408" w:type="dxa"/>
          </w:tcPr>
          <w:p w14:paraId="3FFF3384"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color w:val="002060"/>
                <w:sz w:val="20"/>
                <w:szCs w:val="20"/>
              </w:rPr>
            </w:pPr>
            <w:r w:rsidRPr="00AA0CE6">
              <w:rPr>
                <w:color w:val="002060"/>
                <w:sz w:val="20"/>
                <w:szCs w:val="20"/>
              </w:rPr>
              <w:t>Predicción / evaluación</w:t>
            </w:r>
          </w:p>
        </w:tc>
        <w:tc>
          <w:tcPr>
            <w:tcW w:w="2408" w:type="dxa"/>
          </w:tcPr>
          <w:p w14:paraId="3C68348E"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color w:val="002060"/>
                <w:sz w:val="20"/>
                <w:szCs w:val="20"/>
              </w:rPr>
            </w:pPr>
            <w:r w:rsidRPr="00AA0CE6">
              <w:rPr>
                <w:color w:val="002060"/>
                <w:sz w:val="20"/>
                <w:szCs w:val="20"/>
              </w:rPr>
              <w:t>Meses de entrenamiento</w:t>
            </w:r>
          </w:p>
        </w:tc>
      </w:tr>
      <w:tr w:rsidR="00F31C91" w14:paraId="2454CC66"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tcPr>
          <w:p w14:paraId="315E6419" w14:textId="77777777" w:rsidR="00F31C91" w:rsidRPr="00AA0CE6" w:rsidRDefault="00271A1E">
            <w:pPr>
              <w:rPr>
                <w:rFonts w:hint="eastAsia"/>
                <w:sz w:val="20"/>
                <w:szCs w:val="20"/>
              </w:rPr>
            </w:pPr>
            <w:r w:rsidRPr="00AA0CE6">
              <w:rPr>
                <w:sz w:val="20"/>
                <w:szCs w:val="20"/>
              </w:rPr>
              <w:t>Backtesting 2024</w:t>
            </w:r>
          </w:p>
        </w:tc>
        <w:tc>
          <w:tcPr>
            <w:tcW w:w="2408" w:type="dxa"/>
          </w:tcPr>
          <w:p w14:paraId="0D32CF67"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ene 2020–dic 2023</w:t>
            </w:r>
          </w:p>
        </w:tc>
        <w:tc>
          <w:tcPr>
            <w:tcW w:w="2408" w:type="dxa"/>
          </w:tcPr>
          <w:p w14:paraId="714B5E5C"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ene–dic 2024</w:t>
            </w:r>
          </w:p>
        </w:tc>
        <w:tc>
          <w:tcPr>
            <w:tcW w:w="2408" w:type="dxa"/>
          </w:tcPr>
          <w:p w14:paraId="736FD53F"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48</w:t>
            </w:r>
          </w:p>
        </w:tc>
      </w:tr>
      <w:tr w:rsidR="00F31C91" w14:paraId="751532A5"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2408" w:type="dxa"/>
          </w:tcPr>
          <w:p w14:paraId="643217EE" w14:textId="77777777" w:rsidR="00F31C91" w:rsidRPr="00AA0CE6" w:rsidRDefault="00271A1E">
            <w:pPr>
              <w:rPr>
                <w:rFonts w:hint="eastAsia"/>
                <w:sz w:val="20"/>
                <w:szCs w:val="20"/>
              </w:rPr>
            </w:pPr>
            <w:r w:rsidRPr="00AA0CE6">
              <w:rPr>
                <w:sz w:val="20"/>
                <w:szCs w:val="20"/>
              </w:rPr>
              <w:lastRenderedPageBreak/>
              <w:t>Test 2025</w:t>
            </w:r>
          </w:p>
        </w:tc>
        <w:tc>
          <w:tcPr>
            <w:tcW w:w="2408" w:type="dxa"/>
          </w:tcPr>
          <w:p w14:paraId="70CCEC1C"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0"/>
                <w:szCs w:val="20"/>
              </w:rPr>
            </w:pPr>
            <w:r w:rsidRPr="00AA0CE6">
              <w:rPr>
                <w:sz w:val="20"/>
                <w:szCs w:val="20"/>
              </w:rPr>
              <w:t>ene 2020–dic 2024</w:t>
            </w:r>
          </w:p>
        </w:tc>
        <w:tc>
          <w:tcPr>
            <w:tcW w:w="2408" w:type="dxa"/>
          </w:tcPr>
          <w:p w14:paraId="008AE889"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0"/>
                <w:szCs w:val="20"/>
              </w:rPr>
            </w:pPr>
            <w:r w:rsidRPr="00AA0CE6">
              <w:rPr>
                <w:sz w:val="20"/>
                <w:szCs w:val="20"/>
              </w:rPr>
              <w:t>ene–dic 2025</w:t>
            </w:r>
          </w:p>
        </w:tc>
        <w:tc>
          <w:tcPr>
            <w:tcW w:w="2408" w:type="dxa"/>
          </w:tcPr>
          <w:p w14:paraId="6C0774B5"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0"/>
                <w:szCs w:val="20"/>
              </w:rPr>
            </w:pPr>
            <w:r w:rsidRPr="00AA0CE6">
              <w:rPr>
                <w:sz w:val="20"/>
                <w:szCs w:val="20"/>
              </w:rPr>
              <w:t>60</w:t>
            </w:r>
          </w:p>
        </w:tc>
      </w:tr>
      <w:tr w:rsidR="00F31C91" w14:paraId="71414A75"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tcPr>
          <w:p w14:paraId="4944E917" w14:textId="77777777" w:rsidR="00F31C91" w:rsidRPr="00AA0CE6" w:rsidRDefault="00271A1E">
            <w:pPr>
              <w:rPr>
                <w:rFonts w:hint="eastAsia"/>
                <w:sz w:val="20"/>
                <w:szCs w:val="20"/>
              </w:rPr>
            </w:pPr>
            <w:r w:rsidRPr="00AA0CE6">
              <w:rPr>
                <w:sz w:val="20"/>
                <w:szCs w:val="20"/>
              </w:rPr>
              <w:t>Forecast 2026 (refit posible)</w:t>
            </w:r>
          </w:p>
        </w:tc>
        <w:tc>
          <w:tcPr>
            <w:tcW w:w="2408" w:type="dxa"/>
          </w:tcPr>
          <w:p w14:paraId="73AEE8A6"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ene 2020–dic 2025</w:t>
            </w:r>
          </w:p>
        </w:tc>
        <w:tc>
          <w:tcPr>
            <w:tcW w:w="2408" w:type="dxa"/>
          </w:tcPr>
          <w:p w14:paraId="18202B95"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ene–dic 2026</w:t>
            </w:r>
          </w:p>
        </w:tc>
        <w:tc>
          <w:tcPr>
            <w:tcW w:w="2408" w:type="dxa"/>
          </w:tcPr>
          <w:p w14:paraId="2534AF99"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0"/>
                <w:szCs w:val="20"/>
              </w:rPr>
            </w:pPr>
            <w:r w:rsidRPr="00AA0CE6">
              <w:rPr>
                <w:sz w:val="20"/>
                <w:szCs w:val="20"/>
              </w:rPr>
              <w:t>72</w:t>
            </w:r>
          </w:p>
        </w:tc>
      </w:tr>
    </w:tbl>
    <w:p w14:paraId="70D26E73" w14:textId="77777777" w:rsidR="00F31C91" w:rsidRPr="00AA0CE6" w:rsidRDefault="00271A1E">
      <w:pPr>
        <w:rPr>
          <w:rFonts w:hint="eastAsia"/>
          <w:sz w:val="24"/>
          <w:szCs w:val="24"/>
        </w:rPr>
      </w:pPr>
      <w:r w:rsidRPr="00AA0CE6">
        <w:rPr>
          <w:sz w:val="24"/>
          <w:szCs w:val="24"/>
        </w:rPr>
        <w:t>La tercera fila indica un esquema de reentrenamiento disponible en el Notebook conservado. No demuestra por sí sola que fuese el procedimiento efectivamente utilizado para producir el total de 2026 reportado en la sesión final.</w:t>
      </w:r>
    </w:p>
    <w:p w14:paraId="53E42D09" w14:textId="77777777" w:rsidR="00F31C91" w:rsidRPr="00AA0CE6" w:rsidRDefault="00271A1E">
      <w:pPr>
        <w:pStyle w:val="Ttulo1"/>
        <w:rPr>
          <w:sz w:val="24"/>
          <w:szCs w:val="24"/>
        </w:rPr>
      </w:pPr>
      <w:r w:rsidRPr="00AA0CE6">
        <w:rPr>
          <w:sz w:val="24"/>
          <w:szCs w:val="24"/>
        </w:rPr>
        <w:t>C. Modelo Prophet: especificación</w:t>
      </w:r>
    </w:p>
    <w:p w14:paraId="73A08477" w14:textId="77777777" w:rsidR="00F31C91" w:rsidRPr="00AA0CE6" w:rsidRDefault="00271A1E">
      <w:pPr>
        <w:rPr>
          <w:rFonts w:hint="eastAsia"/>
          <w:sz w:val="24"/>
          <w:szCs w:val="24"/>
        </w:rPr>
      </w:pPr>
      <w:r w:rsidRPr="00AA0CE6">
        <w:rPr>
          <w:sz w:val="24"/>
          <w:szCs w:val="24"/>
        </w:rPr>
        <w:t xml:space="preserve">Forma aditiva simplificada: </w:t>
      </w:r>
      <w:r w:rsidRPr="00AA0CE6">
        <w:rPr>
          <w:b/>
          <w:bCs/>
          <w:sz w:val="24"/>
          <w:szCs w:val="24"/>
        </w:rPr>
        <w:t>y(t) = g(t) + s(t) + ε(t).</w:t>
      </w:r>
      <w:r w:rsidRPr="00AA0CE6">
        <w:rPr>
          <w:sz w:val="24"/>
          <w:szCs w:val="24"/>
        </w:rPr>
        <w:t xml:space="preserve"> g(t) representa la tendencia (lineal a tramos con posibles cambios de pendiente), s(t) la estacionalidad anual y ε(t) la variación no explicada. No se incorporan regresores externos ni estacionalidades diaria/semanal.</w:t>
      </w:r>
    </w:p>
    <w:p w14:paraId="7006AD08" w14:textId="310C5349" w:rsidR="00F31C91" w:rsidRPr="00AA0CE6" w:rsidRDefault="00271A1E">
      <w:pPr>
        <w:rPr>
          <w:rFonts w:hint="eastAsia"/>
          <w:sz w:val="24"/>
          <w:szCs w:val="24"/>
        </w:rPr>
      </w:pPr>
      <w:r w:rsidRPr="00AA0CE6">
        <w:rPr>
          <w:sz w:val="24"/>
          <w:szCs w:val="24"/>
        </w:rPr>
        <w:t xml:space="preserve">El parámetro changepoint_prior_scale (CPS) regula la flexibilidad de la tendencia ante cambios de pendiente; seasonality_prior_scale (SPS), la amplitud permitida para la estacionalidad. El desafío más importante en la serie examinada es la extrapolación de la tendencia acelerada, y no la </w:t>
      </w:r>
      <w:proofErr w:type="spellStart"/>
      <w:r w:rsidRPr="00AA0CE6">
        <w:rPr>
          <w:sz w:val="24"/>
          <w:szCs w:val="24"/>
        </w:rPr>
        <w:t>captura</w:t>
      </w:r>
      <w:proofErr w:type="spellEnd"/>
      <w:r w:rsidRPr="00AA0CE6">
        <w:rPr>
          <w:sz w:val="24"/>
          <w:szCs w:val="24"/>
        </w:rPr>
        <w:t xml:space="preserve"> de </w:t>
      </w:r>
      <w:proofErr w:type="spellStart"/>
      <w:r w:rsidRPr="00AA0CE6">
        <w:rPr>
          <w:sz w:val="24"/>
          <w:szCs w:val="24"/>
        </w:rPr>
        <w:t>oscilaciones</w:t>
      </w:r>
      <w:proofErr w:type="spellEnd"/>
      <w:r w:rsidRPr="00AA0CE6">
        <w:rPr>
          <w:sz w:val="24"/>
          <w:szCs w:val="24"/>
        </w:rPr>
        <w:t xml:space="preserve"> </w:t>
      </w:r>
      <w:proofErr w:type="spellStart"/>
      <w:r w:rsidRPr="00AA0CE6">
        <w:rPr>
          <w:sz w:val="24"/>
          <w:szCs w:val="24"/>
        </w:rPr>
        <w:t>estacionales</w:t>
      </w:r>
      <w:proofErr w:type="spellEnd"/>
      <w:r w:rsidRPr="00AA0CE6">
        <w:rPr>
          <w:sz w:val="24"/>
          <w:szCs w:val="24"/>
        </w:rPr>
        <w:t>.</w:t>
      </w:r>
    </w:p>
    <w:p w14:paraId="40E3EF1C" w14:textId="77777777" w:rsidR="0089665E" w:rsidRDefault="0089665E">
      <w:pPr>
        <w:rPr>
          <w:rFonts w:hint="eastAsia"/>
        </w:rPr>
      </w:pPr>
    </w:p>
    <w:tbl>
      <w:tblPr>
        <w:tblStyle w:val="Sombreadoclaro-nfasis1"/>
        <w:tblW w:w="0" w:type="auto"/>
        <w:jc w:val="center"/>
        <w:tblLook w:val="04A0" w:firstRow="1" w:lastRow="0" w:firstColumn="1" w:lastColumn="0" w:noHBand="0" w:noVBand="1"/>
      </w:tblPr>
      <w:tblGrid>
        <w:gridCol w:w="4816"/>
        <w:gridCol w:w="4816"/>
      </w:tblGrid>
      <w:tr w:rsidR="00F31C91" w14:paraId="2C3305CB"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4B290A03" w14:textId="77777777" w:rsidR="00F31C91" w:rsidRPr="00AA0CE6" w:rsidRDefault="00271A1E">
            <w:pPr>
              <w:rPr>
                <w:rFonts w:hint="eastAsia"/>
                <w:color w:val="002060"/>
                <w:sz w:val="22"/>
              </w:rPr>
            </w:pPr>
            <w:r w:rsidRPr="00AA0CE6">
              <w:rPr>
                <w:color w:val="002060"/>
                <w:sz w:val="22"/>
              </w:rPr>
              <w:t>Parámetro</w:t>
            </w:r>
          </w:p>
        </w:tc>
        <w:tc>
          <w:tcPr>
            <w:tcW w:w="4816" w:type="dxa"/>
          </w:tcPr>
          <w:p w14:paraId="0071E38B"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color w:val="002060"/>
                <w:sz w:val="22"/>
              </w:rPr>
            </w:pPr>
            <w:r w:rsidRPr="00AA0CE6">
              <w:rPr>
                <w:color w:val="002060"/>
                <w:sz w:val="22"/>
              </w:rPr>
              <w:t>Configuración de referencia</w:t>
            </w:r>
          </w:p>
        </w:tc>
      </w:tr>
      <w:tr w:rsidR="00F31C91" w14:paraId="0B737D08"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3C71FC5D" w14:textId="77777777" w:rsidR="00F31C91" w:rsidRPr="00AA0CE6" w:rsidRDefault="00271A1E">
            <w:pPr>
              <w:rPr>
                <w:rFonts w:hint="eastAsia"/>
                <w:sz w:val="22"/>
              </w:rPr>
            </w:pPr>
            <w:r w:rsidRPr="00AA0CE6">
              <w:rPr>
                <w:sz w:val="22"/>
              </w:rPr>
              <w:t>Crecimiento</w:t>
            </w:r>
          </w:p>
        </w:tc>
        <w:tc>
          <w:tcPr>
            <w:tcW w:w="4816" w:type="dxa"/>
          </w:tcPr>
          <w:p w14:paraId="7BEB42ED"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linear</w:t>
            </w:r>
          </w:p>
        </w:tc>
      </w:tr>
      <w:tr w:rsidR="00F31C91" w14:paraId="240D5B71"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689043FE" w14:textId="77777777" w:rsidR="00F31C91" w:rsidRPr="00AA0CE6" w:rsidRDefault="00271A1E">
            <w:pPr>
              <w:rPr>
                <w:rFonts w:hint="eastAsia"/>
                <w:sz w:val="22"/>
              </w:rPr>
            </w:pPr>
            <w:r w:rsidRPr="00AA0CE6">
              <w:rPr>
                <w:sz w:val="22"/>
              </w:rPr>
              <w:t>yearly_seasonality</w:t>
            </w:r>
          </w:p>
        </w:tc>
        <w:tc>
          <w:tcPr>
            <w:tcW w:w="4816" w:type="dxa"/>
          </w:tcPr>
          <w:p w14:paraId="018D47EF"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True</w:t>
            </w:r>
          </w:p>
        </w:tc>
      </w:tr>
      <w:tr w:rsidR="00F31C91" w14:paraId="00DEED1B"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F79B9B2" w14:textId="77777777" w:rsidR="00F31C91" w:rsidRPr="00AA0CE6" w:rsidRDefault="00271A1E">
            <w:pPr>
              <w:rPr>
                <w:rFonts w:hint="eastAsia"/>
                <w:sz w:val="22"/>
              </w:rPr>
            </w:pPr>
            <w:r w:rsidRPr="00AA0CE6">
              <w:rPr>
                <w:sz w:val="22"/>
              </w:rPr>
              <w:t>weekly_seasonality / daily_seasonality</w:t>
            </w:r>
          </w:p>
        </w:tc>
        <w:tc>
          <w:tcPr>
            <w:tcW w:w="4816" w:type="dxa"/>
          </w:tcPr>
          <w:p w14:paraId="6BD5B71E"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False / False</w:t>
            </w:r>
          </w:p>
        </w:tc>
      </w:tr>
      <w:tr w:rsidR="00F31C91" w14:paraId="24455360"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033ACF99" w14:textId="77777777" w:rsidR="00F31C91" w:rsidRPr="00AA0CE6" w:rsidRDefault="00271A1E">
            <w:pPr>
              <w:rPr>
                <w:rFonts w:hint="eastAsia"/>
                <w:sz w:val="22"/>
              </w:rPr>
            </w:pPr>
            <w:r w:rsidRPr="00AA0CE6">
              <w:rPr>
                <w:sz w:val="22"/>
              </w:rPr>
              <w:t>changepoint_prior_scale</w:t>
            </w:r>
          </w:p>
        </w:tc>
        <w:tc>
          <w:tcPr>
            <w:tcW w:w="4816" w:type="dxa"/>
          </w:tcPr>
          <w:p w14:paraId="023AC933"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0,03</w:t>
            </w:r>
          </w:p>
        </w:tc>
      </w:tr>
      <w:tr w:rsidR="00F31C91" w14:paraId="578D0762"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129C4AAA" w14:textId="77777777" w:rsidR="00F31C91" w:rsidRPr="00AA0CE6" w:rsidRDefault="00271A1E">
            <w:pPr>
              <w:rPr>
                <w:rFonts w:hint="eastAsia"/>
                <w:sz w:val="22"/>
              </w:rPr>
            </w:pPr>
            <w:r w:rsidRPr="00AA0CE6">
              <w:rPr>
                <w:sz w:val="22"/>
              </w:rPr>
              <w:t>seasonality_prior_scale</w:t>
            </w:r>
          </w:p>
        </w:tc>
        <w:tc>
          <w:tcPr>
            <w:tcW w:w="4816" w:type="dxa"/>
          </w:tcPr>
          <w:p w14:paraId="10E90C64"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0,1</w:t>
            </w:r>
          </w:p>
        </w:tc>
      </w:tr>
      <w:tr w:rsidR="00F31C91" w14:paraId="5D5AEAA9"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58611723" w14:textId="77777777" w:rsidR="00F31C91" w:rsidRPr="00AA0CE6" w:rsidRDefault="00271A1E">
            <w:pPr>
              <w:rPr>
                <w:rFonts w:hint="eastAsia"/>
                <w:sz w:val="22"/>
              </w:rPr>
            </w:pPr>
            <w:r w:rsidRPr="00AA0CE6">
              <w:rPr>
                <w:sz w:val="22"/>
              </w:rPr>
              <w:t>Variable dependiente</w:t>
            </w:r>
          </w:p>
        </w:tc>
        <w:tc>
          <w:tcPr>
            <w:tcW w:w="4816" w:type="dxa"/>
          </w:tcPr>
          <w:p w14:paraId="1FC18012"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Producción mensual de petróleo (m³)</w:t>
            </w:r>
          </w:p>
        </w:tc>
      </w:tr>
    </w:tbl>
    <w:p w14:paraId="03E9311C" w14:textId="77777777" w:rsidR="00F31C91" w:rsidRDefault="00271A1E">
      <w:pPr>
        <w:rPr>
          <w:rFonts w:hint="eastAsia"/>
        </w:rPr>
      </w:pPr>
      <w:r w:rsidRPr="00AA0CE6">
        <w:rPr>
          <w:sz w:val="24"/>
          <w:szCs w:val="24"/>
        </w:rPr>
        <w:t>Se compararon distintas ventanas de entrenamiento y combinaciones de hiperparámetros. El detalle exhaustivo de la búsqueda pertenece al Notebook original y a las tablas de resultados de trabajo; no se atribuyen ensayos no verificables al archivo actual</w:t>
      </w:r>
      <w:r>
        <w:t>.</w:t>
      </w:r>
    </w:p>
    <w:p w14:paraId="240DBF3D" w14:textId="77777777" w:rsidR="00F31C91" w:rsidRPr="00AA0CE6" w:rsidRDefault="00271A1E">
      <w:pPr>
        <w:pStyle w:val="Ttulo1"/>
        <w:rPr>
          <w:sz w:val="24"/>
          <w:szCs w:val="24"/>
        </w:rPr>
      </w:pPr>
      <w:r w:rsidRPr="00AA0CE6">
        <w:rPr>
          <w:sz w:val="24"/>
          <w:szCs w:val="24"/>
        </w:rPr>
        <w:t>D. Métricas de validación</w:t>
      </w:r>
    </w:p>
    <w:p w14:paraId="3E6E4640" w14:textId="77777777" w:rsidR="00F31C91" w:rsidRPr="00AA0CE6" w:rsidRDefault="00271A1E">
      <w:pPr>
        <w:rPr>
          <w:rFonts w:hint="eastAsia"/>
          <w:sz w:val="24"/>
          <w:szCs w:val="24"/>
        </w:rPr>
      </w:pPr>
      <w:r w:rsidRPr="00AA0CE6">
        <w:rPr>
          <w:sz w:val="24"/>
          <w:szCs w:val="24"/>
        </w:rPr>
        <w:t>Sean yᵢ los valores observados, ŷᵢ los pronósticos, eᵢ = yᵢ − ŷᵢ y n los meses del período de evaluación. Se reporta el sesgo como promedio de (pronóstico − real), de modo que un valor negativo señala subestimación.</w:t>
      </w:r>
    </w:p>
    <w:tbl>
      <w:tblPr>
        <w:tblStyle w:val="Sombreadoclaro-nfasis1"/>
        <w:tblW w:w="0" w:type="auto"/>
        <w:jc w:val="center"/>
        <w:tblLook w:val="04A0" w:firstRow="1" w:lastRow="0" w:firstColumn="1" w:lastColumn="0" w:noHBand="0" w:noVBand="1"/>
      </w:tblPr>
      <w:tblGrid>
        <w:gridCol w:w="4816"/>
        <w:gridCol w:w="4816"/>
      </w:tblGrid>
      <w:tr w:rsidR="00F31C91" w14:paraId="23B14837"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789DCD8" w14:textId="77777777" w:rsidR="00F31C91" w:rsidRPr="00AA0CE6" w:rsidRDefault="00271A1E">
            <w:pPr>
              <w:rPr>
                <w:rFonts w:hint="eastAsia"/>
                <w:sz w:val="22"/>
              </w:rPr>
            </w:pPr>
            <w:r w:rsidRPr="00AA0CE6">
              <w:rPr>
                <w:sz w:val="22"/>
              </w:rPr>
              <w:t>Métrica</w:t>
            </w:r>
          </w:p>
        </w:tc>
        <w:tc>
          <w:tcPr>
            <w:tcW w:w="4816" w:type="dxa"/>
          </w:tcPr>
          <w:p w14:paraId="6EEA0AE8"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AA0CE6">
              <w:rPr>
                <w:sz w:val="22"/>
              </w:rPr>
              <w:t>Expresión / interpretación</w:t>
            </w:r>
          </w:p>
        </w:tc>
      </w:tr>
      <w:tr w:rsidR="00F31C91" w14:paraId="22C0F3FF"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632C290A" w14:textId="77777777" w:rsidR="00F31C91" w:rsidRPr="00AA0CE6" w:rsidRDefault="00271A1E">
            <w:pPr>
              <w:rPr>
                <w:rFonts w:hint="eastAsia"/>
                <w:sz w:val="22"/>
              </w:rPr>
            </w:pPr>
            <w:r w:rsidRPr="00AA0CE6">
              <w:rPr>
                <w:sz w:val="22"/>
              </w:rPr>
              <w:t>MAPE (%)</w:t>
            </w:r>
          </w:p>
        </w:tc>
        <w:tc>
          <w:tcPr>
            <w:tcW w:w="4816" w:type="dxa"/>
          </w:tcPr>
          <w:p w14:paraId="302F5447"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 xml:space="preserve">100/n × Σ </w:t>
            </w:r>
            <w:proofErr w:type="gramStart"/>
            <w:r w:rsidRPr="00AA0CE6">
              <w:rPr>
                <w:sz w:val="22"/>
              </w:rPr>
              <w:t>|(</w:t>
            </w:r>
            <w:proofErr w:type="gramEnd"/>
            <w:r w:rsidRPr="00AA0CE6">
              <w:rPr>
                <w:sz w:val="22"/>
              </w:rPr>
              <w:t>yᵢ − ŷᵢ)/yᵢ|; no definido para yᵢ = 0</w:t>
            </w:r>
          </w:p>
        </w:tc>
      </w:tr>
      <w:tr w:rsidR="00F31C91" w14:paraId="657DCEDC"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5F5D4D0F" w14:textId="77777777" w:rsidR="00F31C91" w:rsidRPr="00AA0CE6" w:rsidRDefault="00271A1E">
            <w:pPr>
              <w:rPr>
                <w:rFonts w:hint="eastAsia"/>
                <w:sz w:val="22"/>
              </w:rPr>
            </w:pPr>
            <w:r w:rsidRPr="00AA0CE6">
              <w:rPr>
                <w:sz w:val="22"/>
              </w:rPr>
              <w:t>MAE (m³)</w:t>
            </w:r>
          </w:p>
        </w:tc>
        <w:tc>
          <w:tcPr>
            <w:tcW w:w="4816" w:type="dxa"/>
          </w:tcPr>
          <w:p w14:paraId="196226F9"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Σ |yᵢ − ŷᵢ| / n</w:t>
            </w:r>
          </w:p>
        </w:tc>
      </w:tr>
      <w:tr w:rsidR="00F31C91" w14:paraId="526934F4"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675B4CD" w14:textId="77777777" w:rsidR="00F31C91" w:rsidRPr="00AA0CE6" w:rsidRDefault="00271A1E">
            <w:pPr>
              <w:rPr>
                <w:rFonts w:hint="eastAsia"/>
                <w:sz w:val="22"/>
              </w:rPr>
            </w:pPr>
            <w:r w:rsidRPr="00AA0CE6">
              <w:rPr>
                <w:sz w:val="22"/>
              </w:rPr>
              <w:t>RMSE (m³)</w:t>
            </w:r>
          </w:p>
        </w:tc>
        <w:tc>
          <w:tcPr>
            <w:tcW w:w="4816" w:type="dxa"/>
          </w:tcPr>
          <w:p w14:paraId="0CA5DF03"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proofErr w:type="gramStart"/>
            <w:r w:rsidRPr="00AA0CE6">
              <w:rPr>
                <w:sz w:val="22"/>
              </w:rPr>
              <w:t>√[</w:t>
            </w:r>
            <w:proofErr w:type="gramEnd"/>
            <w:r w:rsidRPr="00AA0CE6">
              <w:rPr>
                <w:sz w:val="22"/>
              </w:rPr>
              <w:t>Σ (yᵢ − ŷᵢ)² / n]; pondera más los errores grandes</w:t>
            </w:r>
          </w:p>
        </w:tc>
      </w:tr>
      <w:tr w:rsidR="00F31C91" w14:paraId="1E86F241"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29215DB1" w14:textId="77777777" w:rsidR="00F31C91" w:rsidRPr="00AA0CE6" w:rsidRDefault="00271A1E">
            <w:pPr>
              <w:rPr>
                <w:rFonts w:hint="eastAsia"/>
                <w:sz w:val="22"/>
              </w:rPr>
            </w:pPr>
            <w:r w:rsidRPr="00AA0CE6">
              <w:rPr>
                <w:sz w:val="22"/>
              </w:rPr>
              <w:t>Sesgo (m³)</w:t>
            </w:r>
          </w:p>
        </w:tc>
        <w:tc>
          <w:tcPr>
            <w:tcW w:w="4816" w:type="dxa"/>
          </w:tcPr>
          <w:p w14:paraId="00141C1B"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Σ (ŷᵢ − yᵢ) / n; negativo = subestimación</w:t>
            </w:r>
          </w:p>
        </w:tc>
      </w:tr>
    </w:tbl>
    <w:p w14:paraId="3A08752B" w14:textId="77777777" w:rsidR="00F31C91" w:rsidRPr="00AA0CE6" w:rsidRDefault="00271A1E">
      <w:pPr>
        <w:pStyle w:val="Ttulo1"/>
        <w:rPr>
          <w:sz w:val="24"/>
          <w:szCs w:val="24"/>
        </w:rPr>
      </w:pPr>
      <w:r>
        <w:lastRenderedPageBreak/>
        <w:t xml:space="preserve">E. </w:t>
      </w:r>
      <w:r w:rsidRPr="00AA0CE6">
        <w:rPr>
          <w:sz w:val="24"/>
          <w:szCs w:val="24"/>
        </w:rPr>
        <w:t>Resultados consolidados 2024 y 2025</w:t>
      </w:r>
    </w:p>
    <w:tbl>
      <w:tblPr>
        <w:tblStyle w:val="Sombreadoclaro-nfasis1"/>
        <w:tblW w:w="0" w:type="auto"/>
        <w:jc w:val="center"/>
        <w:tblLook w:val="04A0" w:firstRow="1" w:lastRow="0" w:firstColumn="1" w:lastColumn="0" w:noHBand="0" w:noVBand="1"/>
      </w:tblPr>
      <w:tblGrid>
        <w:gridCol w:w="3210"/>
        <w:gridCol w:w="3211"/>
        <w:gridCol w:w="3211"/>
      </w:tblGrid>
      <w:tr w:rsidR="00F31C91" w14:paraId="4F1596A9"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183B3A8" w14:textId="77777777" w:rsidR="00F31C91" w:rsidRPr="00AA0CE6" w:rsidRDefault="00271A1E">
            <w:pPr>
              <w:rPr>
                <w:rFonts w:hint="eastAsia"/>
                <w:sz w:val="22"/>
              </w:rPr>
            </w:pPr>
            <w:r w:rsidRPr="00AA0CE6">
              <w:rPr>
                <w:sz w:val="22"/>
              </w:rPr>
              <w:t>Métrica</w:t>
            </w:r>
          </w:p>
        </w:tc>
        <w:tc>
          <w:tcPr>
            <w:tcW w:w="3211" w:type="dxa"/>
          </w:tcPr>
          <w:p w14:paraId="64902758"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AA0CE6">
              <w:rPr>
                <w:sz w:val="22"/>
              </w:rPr>
              <w:t>Backtesting 2024</w:t>
            </w:r>
          </w:p>
        </w:tc>
        <w:tc>
          <w:tcPr>
            <w:tcW w:w="3211" w:type="dxa"/>
          </w:tcPr>
          <w:p w14:paraId="094249CB"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AA0CE6">
              <w:rPr>
                <w:sz w:val="22"/>
              </w:rPr>
              <w:t>Test 2025</w:t>
            </w:r>
          </w:p>
        </w:tc>
      </w:tr>
      <w:tr w:rsidR="00F31C91" w14:paraId="31FA0A72"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A41A7CA" w14:textId="77777777" w:rsidR="00F31C91" w:rsidRPr="00AA0CE6" w:rsidRDefault="00271A1E">
            <w:pPr>
              <w:rPr>
                <w:rFonts w:hint="eastAsia"/>
                <w:sz w:val="22"/>
              </w:rPr>
            </w:pPr>
            <w:r w:rsidRPr="00AA0CE6">
              <w:rPr>
                <w:sz w:val="22"/>
              </w:rPr>
              <w:t>MAPE (%)</w:t>
            </w:r>
          </w:p>
        </w:tc>
        <w:tc>
          <w:tcPr>
            <w:tcW w:w="3211" w:type="dxa"/>
          </w:tcPr>
          <w:p w14:paraId="13CEB46C" w14:textId="28E67D21"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3,92</w:t>
            </w:r>
          </w:p>
        </w:tc>
        <w:tc>
          <w:tcPr>
            <w:tcW w:w="3211" w:type="dxa"/>
          </w:tcPr>
          <w:p w14:paraId="7BEC4402" w14:textId="2D5B3641"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7,18</w:t>
            </w:r>
          </w:p>
        </w:tc>
      </w:tr>
      <w:tr w:rsidR="00F31C91" w14:paraId="38F24B45"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3211" w:type="dxa"/>
          </w:tcPr>
          <w:p w14:paraId="606F8BDB" w14:textId="77777777" w:rsidR="00F31C91" w:rsidRPr="00AA0CE6" w:rsidRDefault="00271A1E">
            <w:pPr>
              <w:rPr>
                <w:rFonts w:hint="eastAsia"/>
                <w:sz w:val="22"/>
              </w:rPr>
            </w:pPr>
            <w:r w:rsidRPr="00AA0CE6">
              <w:rPr>
                <w:sz w:val="22"/>
              </w:rPr>
              <w:t>MAE (m³)</w:t>
            </w:r>
          </w:p>
        </w:tc>
        <w:tc>
          <w:tcPr>
            <w:tcW w:w="3211" w:type="dxa"/>
          </w:tcPr>
          <w:p w14:paraId="32554599"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77.980</w:t>
            </w:r>
          </w:p>
        </w:tc>
        <w:tc>
          <w:tcPr>
            <w:tcW w:w="3211" w:type="dxa"/>
          </w:tcPr>
          <w:p w14:paraId="0C5BCDC9"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185.913</w:t>
            </w:r>
          </w:p>
        </w:tc>
      </w:tr>
      <w:tr w:rsidR="00F31C91" w14:paraId="1E01845A"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423E7932" w14:textId="77777777" w:rsidR="00F31C91" w:rsidRPr="00AA0CE6" w:rsidRDefault="00271A1E">
            <w:pPr>
              <w:rPr>
                <w:rFonts w:hint="eastAsia"/>
                <w:sz w:val="22"/>
              </w:rPr>
            </w:pPr>
            <w:r w:rsidRPr="00AA0CE6">
              <w:rPr>
                <w:sz w:val="22"/>
              </w:rPr>
              <w:t>RMSE (m³)</w:t>
            </w:r>
          </w:p>
        </w:tc>
        <w:tc>
          <w:tcPr>
            <w:tcW w:w="3211" w:type="dxa"/>
          </w:tcPr>
          <w:p w14:paraId="71BC58EA"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103.628</w:t>
            </w:r>
          </w:p>
        </w:tc>
        <w:tc>
          <w:tcPr>
            <w:tcW w:w="3211" w:type="dxa"/>
          </w:tcPr>
          <w:p w14:paraId="61ABFC78"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235.494</w:t>
            </w:r>
          </w:p>
        </w:tc>
      </w:tr>
      <w:tr w:rsidR="00F31C91" w14:paraId="0BD08D47"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3211" w:type="dxa"/>
          </w:tcPr>
          <w:p w14:paraId="3B3F34BB" w14:textId="77777777" w:rsidR="00F31C91" w:rsidRPr="00AA0CE6" w:rsidRDefault="00271A1E">
            <w:pPr>
              <w:rPr>
                <w:rFonts w:hint="eastAsia"/>
                <w:sz w:val="22"/>
              </w:rPr>
            </w:pPr>
            <w:r w:rsidRPr="00AA0CE6">
              <w:rPr>
                <w:sz w:val="22"/>
              </w:rPr>
              <w:t>Sesgo (m³)</w:t>
            </w:r>
          </w:p>
        </w:tc>
        <w:tc>
          <w:tcPr>
            <w:tcW w:w="3211" w:type="dxa"/>
          </w:tcPr>
          <w:p w14:paraId="02D6C114"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−70.619</w:t>
            </w:r>
          </w:p>
        </w:tc>
        <w:tc>
          <w:tcPr>
            <w:tcW w:w="3211" w:type="dxa"/>
          </w:tcPr>
          <w:p w14:paraId="03B9D943"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−151.919</w:t>
            </w:r>
          </w:p>
        </w:tc>
      </w:tr>
    </w:tbl>
    <w:p w14:paraId="5AC88E29" w14:textId="53601E1A" w:rsidR="00F31C91" w:rsidRPr="00AA0CE6" w:rsidRDefault="00271A1E">
      <w:pPr>
        <w:rPr>
          <w:rFonts w:hint="eastAsia"/>
          <w:sz w:val="24"/>
          <w:szCs w:val="24"/>
        </w:rPr>
      </w:pPr>
      <w:r w:rsidRPr="00AA0CE6">
        <w:rPr>
          <w:sz w:val="24"/>
          <w:szCs w:val="24"/>
        </w:rPr>
        <w:t xml:space="preserve">Valores redondeados de las ejecuciones documentadas en el desarrollo del proyecto para CPS = 0,03 y SPS = 0,1. La media aritmética de los MAPE de los dos </w:t>
      </w:r>
      <w:proofErr w:type="spellStart"/>
      <w:r w:rsidRPr="00AA0CE6">
        <w:rPr>
          <w:sz w:val="24"/>
          <w:szCs w:val="24"/>
        </w:rPr>
        <w:t>ejercicios</w:t>
      </w:r>
      <w:proofErr w:type="spellEnd"/>
      <w:r w:rsidRPr="00AA0CE6">
        <w:rPr>
          <w:sz w:val="24"/>
          <w:szCs w:val="24"/>
        </w:rPr>
        <w:t xml:space="preserve"> es 5,55 %, que no debe confundirse con una única validación independiente conjunta. El test 2025 muestra mayor error y sesgo negativo más marcado.</w:t>
      </w:r>
    </w:p>
    <w:tbl>
      <w:tblPr>
        <w:tblStyle w:val="Sombreadoclaro-nfasis1"/>
        <w:tblW w:w="0" w:type="auto"/>
        <w:jc w:val="center"/>
        <w:tblLook w:val="04A0" w:firstRow="1" w:lastRow="0" w:firstColumn="1" w:lastColumn="0" w:noHBand="0" w:noVBand="1"/>
      </w:tblPr>
      <w:tblGrid>
        <w:gridCol w:w="4816"/>
        <w:gridCol w:w="4816"/>
      </w:tblGrid>
      <w:tr w:rsidR="00F31C91" w14:paraId="44EB013B"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B02A060" w14:textId="77777777" w:rsidR="00F31C91" w:rsidRPr="00AA0CE6" w:rsidRDefault="00271A1E">
            <w:pPr>
              <w:rPr>
                <w:rFonts w:hint="eastAsia"/>
                <w:sz w:val="22"/>
              </w:rPr>
            </w:pPr>
            <w:r w:rsidRPr="00AA0CE6">
              <w:rPr>
                <w:sz w:val="22"/>
              </w:rPr>
              <w:t>Período</w:t>
            </w:r>
          </w:p>
        </w:tc>
        <w:tc>
          <w:tcPr>
            <w:tcW w:w="4816" w:type="dxa"/>
          </w:tcPr>
          <w:p w14:paraId="0ECF61E3" w14:textId="77777777" w:rsidR="00F31C91" w:rsidRPr="00AA0CE6"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AA0CE6">
              <w:rPr>
                <w:sz w:val="22"/>
              </w:rPr>
              <w:t>Diferencia relativa registrada (predicho vs. real)</w:t>
            </w:r>
          </w:p>
        </w:tc>
      </w:tr>
      <w:tr w:rsidR="00F31C91" w14:paraId="09A6AD91"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069AFE04" w14:textId="77777777" w:rsidR="00F31C91" w:rsidRPr="00AA0CE6" w:rsidRDefault="00271A1E">
            <w:pPr>
              <w:rPr>
                <w:rFonts w:hint="eastAsia"/>
                <w:sz w:val="22"/>
              </w:rPr>
            </w:pPr>
            <w:r w:rsidRPr="00AA0CE6">
              <w:rPr>
                <w:sz w:val="22"/>
              </w:rPr>
              <w:t>2024, primer semestre</w:t>
            </w:r>
          </w:p>
        </w:tc>
        <w:tc>
          <w:tcPr>
            <w:tcW w:w="4816" w:type="dxa"/>
          </w:tcPr>
          <w:p w14:paraId="030FA12B"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−0,99 %</w:t>
            </w:r>
          </w:p>
        </w:tc>
      </w:tr>
      <w:tr w:rsidR="00F31C91" w14:paraId="77BAF965"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5A5D36F8" w14:textId="77777777" w:rsidR="00F31C91" w:rsidRPr="00AA0CE6" w:rsidRDefault="00271A1E">
            <w:pPr>
              <w:rPr>
                <w:rFonts w:hint="eastAsia"/>
                <w:sz w:val="22"/>
              </w:rPr>
            </w:pPr>
            <w:r w:rsidRPr="00AA0CE6">
              <w:rPr>
                <w:sz w:val="22"/>
              </w:rPr>
              <w:t>2024, segundo semestre</w:t>
            </w:r>
          </w:p>
        </w:tc>
        <w:tc>
          <w:tcPr>
            <w:tcW w:w="4816" w:type="dxa"/>
          </w:tcPr>
          <w:p w14:paraId="4512A7C5"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−6,56 %</w:t>
            </w:r>
          </w:p>
        </w:tc>
      </w:tr>
      <w:tr w:rsidR="00F31C91" w14:paraId="54057179"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AFE86CF" w14:textId="77777777" w:rsidR="00F31C91" w:rsidRPr="00AA0CE6" w:rsidRDefault="00271A1E">
            <w:pPr>
              <w:rPr>
                <w:rFonts w:hint="eastAsia"/>
                <w:sz w:val="22"/>
              </w:rPr>
            </w:pPr>
            <w:r w:rsidRPr="00AA0CE6">
              <w:rPr>
                <w:sz w:val="22"/>
              </w:rPr>
              <w:t>2025, primer semestre</w:t>
            </w:r>
          </w:p>
        </w:tc>
        <w:tc>
          <w:tcPr>
            <w:tcW w:w="4816" w:type="dxa"/>
          </w:tcPr>
          <w:p w14:paraId="71869B6C" w14:textId="77777777" w:rsidR="00F31C91" w:rsidRPr="00AA0CE6"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AA0CE6">
              <w:rPr>
                <w:sz w:val="22"/>
              </w:rPr>
              <w:t>+1,59 %</w:t>
            </w:r>
          </w:p>
        </w:tc>
      </w:tr>
      <w:tr w:rsidR="00F31C91" w14:paraId="5D5AD4A4"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6FDF16E1" w14:textId="77777777" w:rsidR="00F31C91" w:rsidRPr="00AA0CE6" w:rsidRDefault="00271A1E">
            <w:pPr>
              <w:rPr>
                <w:rFonts w:hint="eastAsia"/>
                <w:sz w:val="22"/>
              </w:rPr>
            </w:pPr>
            <w:r w:rsidRPr="00AA0CE6">
              <w:rPr>
                <w:sz w:val="22"/>
              </w:rPr>
              <w:t>2025, segundo semestre</w:t>
            </w:r>
          </w:p>
        </w:tc>
        <w:tc>
          <w:tcPr>
            <w:tcW w:w="4816" w:type="dxa"/>
          </w:tcPr>
          <w:p w14:paraId="5C7DB377" w14:textId="77777777" w:rsidR="00F31C91" w:rsidRPr="00AA0CE6"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AA0CE6">
              <w:rPr>
                <w:sz w:val="22"/>
              </w:rPr>
              <w:t>−11,24 %</w:t>
            </w:r>
          </w:p>
        </w:tc>
      </w:tr>
    </w:tbl>
    <w:p w14:paraId="009C6D73" w14:textId="77777777" w:rsidR="00F31C91" w:rsidRPr="00AA0CE6" w:rsidRDefault="00271A1E">
      <w:pPr>
        <w:rPr>
          <w:rFonts w:hint="eastAsia"/>
          <w:sz w:val="24"/>
          <w:szCs w:val="24"/>
        </w:rPr>
      </w:pPr>
      <w:r w:rsidRPr="00AA0CE6">
        <w:rPr>
          <w:sz w:val="24"/>
          <w:szCs w:val="24"/>
        </w:rPr>
        <w:t>Estas comparaciones semestrales ilustran el deterioro de la extrapolación ante fases de aceleración; las cifras son las documentadas durante el análisis previo y no una recomputación efectuada en este anexo.</w:t>
      </w:r>
    </w:p>
    <w:p w14:paraId="0C1F8E67" w14:textId="77777777" w:rsidR="00F31C91" w:rsidRPr="00AA0CE6" w:rsidRDefault="00271A1E">
      <w:pPr>
        <w:pStyle w:val="Ttulo1"/>
        <w:rPr>
          <w:sz w:val="24"/>
          <w:szCs w:val="24"/>
        </w:rPr>
      </w:pPr>
      <w:r w:rsidRPr="00AA0CE6">
        <w:rPr>
          <w:sz w:val="24"/>
          <w:szCs w:val="24"/>
        </w:rPr>
        <w:t>F. Diagnóstico residual</w:t>
      </w:r>
    </w:p>
    <w:p w14:paraId="31A6ACAF" w14:textId="77777777" w:rsidR="00F31C91" w:rsidRPr="00AA0CE6" w:rsidRDefault="00271A1E">
      <w:pPr>
        <w:rPr>
          <w:rFonts w:hint="eastAsia"/>
          <w:sz w:val="24"/>
          <w:szCs w:val="24"/>
        </w:rPr>
      </w:pPr>
      <w:r w:rsidRPr="00AA0CE6">
        <w:rPr>
          <w:sz w:val="24"/>
          <w:szCs w:val="24"/>
        </w:rPr>
        <w:t>Se examinó el sesgo y la dependencia temporal de los residuos de pronóstico. Las pruebas de Ljung–Box para retardos 1, 3 y 6 reportaron valores p &lt; 0,001: se rechaza la hipótesis de ausencia de autocorrelación hasta esos retardos. Esto indica estructura temporal residual que Prophet no logró capturar en las ejecuciones analizadas.</w:t>
      </w:r>
    </w:p>
    <w:p w14:paraId="623B7B71" w14:textId="77777777" w:rsidR="00F31C91" w:rsidRPr="00AA0CE6" w:rsidRDefault="00271A1E">
      <w:pPr>
        <w:rPr>
          <w:rFonts w:hint="eastAsia"/>
          <w:sz w:val="24"/>
          <w:szCs w:val="24"/>
        </w:rPr>
      </w:pPr>
      <w:r w:rsidRPr="00AA0CE6">
        <w:rPr>
          <w:sz w:val="24"/>
          <w:szCs w:val="24"/>
        </w:rPr>
        <w:t>La combinación de autocorrelación y subestimación sostenida limita la interpretación de los intervalos predictivos bajo una calibración nominal; por ello conviene no atribuir cobertura empírica de 95 % a los límites del forecast sin contrastarla por backtesting.</w:t>
      </w:r>
    </w:p>
    <w:p w14:paraId="1EFB99A6" w14:textId="77777777" w:rsidR="00F31C91" w:rsidRPr="00AA0CE6" w:rsidRDefault="00271A1E">
      <w:pPr>
        <w:pStyle w:val="Ttulo1"/>
        <w:rPr>
          <w:sz w:val="24"/>
          <w:szCs w:val="24"/>
        </w:rPr>
      </w:pPr>
      <w:r w:rsidRPr="00AA0CE6">
        <w:rPr>
          <w:sz w:val="24"/>
          <w:szCs w:val="24"/>
        </w:rPr>
        <w:t>G. Pronóstico de 2026 y conciliación</w:t>
      </w:r>
    </w:p>
    <w:p w14:paraId="35422D34" w14:textId="5AA172AD" w:rsidR="00F31C91" w:rsidRPr="00AA0CE6" w:rsidRDefault="00271A1E">
      <w:pPr>
        <w:rPr>
          <w:rFonts w:hint="eastAsia"/>
          <w:sz w:val="24"/>
          <w:szCs w:val="24"/>
        </w:rPr>
      </w:pPr>
      <w:r w:rsidRPr="00AA0CE6">
        <w:rPr>
          <w:sz w:val="24"/>
          <w:szCs w:val="24"/>
        </w:rPr>
        <w:t xml:space="preserve">Total anual comunicado a partir de la ejecución final de octubre de 2026: 35.596.087,84 m³ (≈ </w:t>
      </w:r>
      <w:r w:rsidRPr="00AA0CE6">
        <w:rPr>
          <w:b/>
          <w:bCs/>
          <w:sz w:val="24"/>
          <w:szCs w:val="24"/>
        </w:rPr>
        <w:t xml:space="preserve">35,60 </w:t>
      </w:r>
      <w:proofErr w:type="spellStart"/>
      <w:r w:rsidRPr="00AA0CE6">
        <w:rPr>
          <w:b/>
          <w:bCs/>
          <w:sz w:val="24"/>
          <w:szCs w:val="24"/>
        </w:rPr>
        <w:t>millones</w:t>
      </w:r>
      <w:proofErr w:type="spellEnd"/>
      <w:r w:rsidRPr="00AA0CE6">
        <w:rPr>
          <w:b/>
          <w:bCs/>
          <w:sz w:val="24"/>
          <w:szCs w:val="24"/>
        </w:rPr>
        <w:t xml:space="preserve"> de m³</w:t>
      </w:r>
      <w:r w:rsidR="0012240C" w:rsidRPr="00AA0CE6">
        <w:rPr>
          <w:b/>
          <w:bCs/>
          <w:sz w:val="24"/>
          <w:szCs w:val="24"/>
        </w:rPr>
        <w:t xml:space="preserve"> </w:t>
      </w:r>
      <w:proofErr w:type="spellStart"/>
      <w:r w:rsidR="0012240C" w:rsidRPr="00AA0CE6">
        <w:rPr>
          <w:b/>
          <w:bCs/>
          <w:sz w:val="24"/>
          <w:szCs w:val="24"/>
        </w:rPr>
        <w:t>Petróleo</w:t>
      </w:r>
      <w:proofErr w:type="spellEnd"/>
      <w:r w:rsidRPr="00AA0CE6">
        <w:rPr>
          <w:b/>
          <w:bCs/>
          <w:sz w:val="24"/>
          <w:szCs w:val="24"/>
        </w:rPr>
        <w:t>).</w:t>
      </w:r>
      <w:r w:rsidRPr="00AA0CE6">
        <w:rPr>
          <w:sz w:val="24"/>
          <w:szCs w:val="24"/>
        </w:rPr>
        <w:t xml:space="preserve"> Es una proyección condicional de un </w:t>
      </w:r>
      <w:r w:rsidRPr="00AA0CE6">
        <w:rPr>
          <w:b/>
          <w:bCs/>
          <w:i/>
          <w:iCs/>
          <w:sz w:val="24"/>
          <w:szCs w:val="24"/>
          <w:u w:val="single"/>
        </w:rPr>
        <w:t>modelo univariado</w:t>
      </w:r>
      <w:r w:rsidRPr="00AA0CE6">
        <w:rPr>
          <w:sz w:val="24"/>
          <w:szCs w:val="24"/>
        </w:rPr>
        <w:t>, no una estimación de capacidad física ni un escenario de inversión o infraestructura.</w:t>
      </w:r>
    </w:p>
    <w:p w14:paraId="46CCEAB3" w14:textId="77777777" w:rsidR="00F31C91" w:rsidRPr="00AA0CE6" w:rsidRDefault="00271A1E">
      <w:pPr>
        <w:rPr>
          <w:rFonts w:hint="eastAsia"/>
          <w:sz w:val="24"/>
          <w:szCs w:val="24"/>
        </w:rPr>
      </w:pPr>
      <w:r w:rsidRPr="00AA0CE6">
        <w:rPr>
          <w:sz w:val="24"/>
          <w:szCs w:val="24"/>
        </w:rPr>
        <w:t>Control pendiente antes de calificar el paquete como plenamente reproducible: recuperar o ejecutar el Notebook final que generó los 12 pronósticos mensuales; comprobar su suma; verificar que los parámetros y datos de entrenamiento coinciden con los descritos en el paper. El Notebook archivado el 01/10 selecciona hiperparámetros automáticamente sobre 2024 y reentrena con 2020–2025. No se debe sustituir silenciosamente ese proceso por un valor fijo sin dejar constancia.</w:t>
      </w:r>
    </w:p>
    <w:p w14:paraId="3E54A174" w14:textId="77777777" w:rsidR="00F31C91" w:rsidRPr="00AA0CE6" w:rsidRDefault="00271A1E">
      <w:pPr>
        <w:pStyle w:val="Ttulo1"/>
        <w:rPr>
          <w:sz w:val="24"/>
          <w:szCs w:val="24"/>
        </w:rPr>
      </w:pPr>
      <w:r w:rsidRPr="00AA0CE6">
        <w:rPr>
          <w:sz w:val="24"/>
          <w:szCs w:val="24"/>
        </w:rPr>
        <w:lastRenderedPageBreak/>
        <w:t>H. Fragmentos de código de referencia</w:t>
      </w:r>
    </w:p>
    <w:p w14:paraId="4FC2C378" w14:textId="77777777" w:rsidR="00F31C91" w:rsidRPr="00AA0CE6" w:rsidRDefault="00271A1E">
      <w:pPr>
        <w:rPr>
          <w:rFonts w:hint="eastAsia"/>
          <w:sz w:val="22"/>
        </w:rPr>
      </w:pPr>
      <w:r w:rsidRPr="00AA0CE6">
        <w:rPr>
          <w:sz w:val="22"/>
        </w:rPr>
        <w:t>Lectura y preparación de la serie mensual:</w:t>
      </w:r>
    </w:p>
    <w:p w14:paraId="7DD1B4BF" w14:textId="77777777" w:rsidR="00F31C91" w:rsidRPr="00AA0CE6" w:rsidRDefault="00271A1E">
      <w:pPr>
        <w:rPr>
          <w:rFonts w:hint="eastAsia"/>
          <w:sz w:val="22"/>
        </w:rPr>
      </w:pPr>
      <w:r w:rsidRPr="00AA0CE6">
        <w:rPr>
          <w:rFonts w:ascii="Consolas" w:hAnsi="Consolas"/>
          <w:sz w:val="22"/>
        </w:rPr>
        <w:t xml:space="preserve">base = </w:t>
      </w:r>
      <w:proofErr w:type="gramStart"/>
      <w:r w:rsidRPr="00AA0CE6">
        <w:rPr>
          <w:rFonts w:ascii="Consolas" w:hAnsi="Consolas"/>
          <w:sz w:val="22"/>
        </w:rPr>
        <w:t>pd.read</w:t>
      </w:r>
      <w:proofErr w:type="gramEnd"/>
      <w:r w:rsidRPr="00AA0CE6">
        <w:rPr>
          <w:rFonts w:ascii="Consolas" w:hAnsi="Consolas"/>
          <w:sz w:val="22"/>
        </w:rPr>
        <w:t>_excel('VM_Paso_1_4_3_Serie_Temporal_2012_2025.xlsx', sheet_name='Serie_mensual')</w:t>
      </w:r>
    </w:p>
    <w:p w14:paraId="711001A3" w14:textId="77777777" w:rsidR="00F31C91" w:rsidRPr="00AA0CE6" w:rsidRDefault="00271A1E">
      <w:pPr>
        <w:rPr>
          <w:rFonts w:hint="eastAsia"/>
          <w:sz w:val="22"/>
        </w:rPr>
      </w:pPr>
      <w:r w:rsidRPr="00AA0CE6">
        <w:rPr>
          <w:rFonts w:ascii="Consolas" w:hAnsi="Consolas"/>
          <w:sz w:val="22"/>
        </w:rPr>
        <w:t xml:space="preserve">df = </w:t>
      </w:r>
      <w:proofErr w:type="gramStart"/>
      <w:r w:rsidRPr="00AA0CE6">
        <w:rPr>
          <w:rFonts w:ascii="Consolas" w:hAnsi="Consolas"/>
          <w:sz w:val="22"/>
        </w:rPr>
        <w:t>base[</w:t>
      </w:r>
      <w:proofErr w:type="gramEnd"/>
      <w:r w:rsidRPr="00AA0CE6">
        <w:rPr>
          <w:rFonts w:ascii="Consolas" w:hAnsi="Consolas"/>
          <w:sz w:val="22"/>
        </w:rPr>
        <w:t>['Fecha', 'Producción petróleo (m³)']].rename(columns={'Fecha':'ds', 'Producción petróleo (m³)':'y'})</w:t>
      </w:r>
    </w:p>
    <w:p w14:paraId="0E1BCCF8" w14:textId="77777777" w:rsidR="00F31C91" w:rsidRPr="00AA0CE6" w:rsidRDefault="00271A1E">
      <w:pPr>
        <w:rPr>
          <w:rFonts w:hint="eastAsia"/>
          <w:sz w:val="22"/>
        </w:rPr>
      </w:pPr>
      <w:r w:rsidRPr="00AA0CE6">
        <w:rPr>
          <w:rFonts w:ascii="Consolas" w:hAnsi="Consolas"/>
          <w:sz w:val="22"/>
        </w:rPr>
        <w:t>df['ds'] = pd.to_datetime(df['ds'])</w:t>
      </w:r>
    </w:p>
    <w:p w14:paraId="5B92F838" w14:textId="77777777" w:rsidR="00F31C91" w:rsidRPr="00AA0CE6" w:rsidRDefault="00271A1E">
      <w:pPr>
        <w:rPr>
          <w:rFonts w:hint="eastAsia"/>
          <w:sz w:val="22"/>
        </w:rPr>
      </w:pPr>
      <w:r w:rsidRPr="00AA0CE6">
        <w:rPr>
          <w:rFonts w:ascii="Consolas" w:hAnsi="Consolas"/>
          <w:sz w:val="22"/>
        </w:rPr>
        <w:t xml:space="preserve">df = </w:t>
      </w:r>
      <w:proofErr w:type="gramStart"/>
      <w:r w:rsidRPr="00AA0CE6">
        <w:rPr>
          <w:rFonts w:ascii="Consolas" w:hAnsi="Consolas"/>
          <w:sz w:val="22"/>
        </w:rPr>
        <w:t>df.sort</w:t>
      </w:r>
      <w:proofErr w:type="gramEnd"/>
      <w:r w:rsidRPr="00AA0CE6">
        <w:rPr>
          <w:rFonts w:ascii="Consolas" w:hAnsi="Consolas"/>
          <w:sz w:val="22"/>
        </w:rPr>
        <w:t>_values('ds').reset_index(drop=True)</w:t>
      </w:r>
    </w:p>
    <w:p w14:paraId="30496A0A" w14:textId="77777777" w:rsidR="00F31C91" w:rsidRPr="00AA0CE6" w:rsidRDefault="00271A1E">
      <w:pPr>
        <w:rPr>
          <w:rFonts w:hint="eastAsia"/>
          <w:sz w:val="22"/>
        </w:rPr>
      </w:pPr>
      <w:r w:rsidRPr="00AA0CE6">
        <w:rPr>
          <w:sz w:val="22"/>
        </w:rPr>
        <w:t>Esquema de evaluación temporal y pronóstico:</w:t>
      </w:r>
    </w:p>
    <w:p w14:paraId="0B75D87A" w14:textId="77777777" w:rsidR="00F31C91" w:rsidRPr="00AA0CE6" w:rsidRDefault="00271A1E">
      <w:pPr>
        <w:rPr>
          <w:rFonts w:hint="eastAsia"/>
          <w:sz w:val="22"/>
        </w:rPr>
      </w:pPr>
      <w:r w:rsidRPr="00AA0CE6">
        <w:rPr>
          <w:rFonts w:ascii="Consolas" w:hAnsi="Consolas"/>
          <w:sz w:val="22"/>
        </w:rPr>
        <w:t xml:space="preserve">train = </w:t>
      </w:r>
      <w:proofErr w:type="gramStart"/>
      <w:r w:rsidRPr="00AA0CE6">
        <w:rPr>
          <w:rFonts w:ascii="Consolas" w:hAnsi="Consolas"/>
          <w:sz w:val="22"/>
        </w:rPr>
        <w:t>df[</w:t>
      </w:r>
      <w:proofErr w:type="gramEnd"/>
      <w:r w:rsidRPr="00AA0CE6">
        <w:rPr>
          <w:rFonts w:ascii="Consolas" w:hAnsi="Consolas"/>
          <w:sz w:val="22"/>
        </w:rPr>
        <w:t>(df.ds &gt;= '2020-01-01') &amp; (df.ds &lt;= '2024-12-01')]</w:t>
      </w:r>
    </w:p>
    <w:p w14:paraId="42FE87CD" w14:textId="77777777" w:rsidR="00F31C91" w:rsidRPr="00AA0CE6" w:rsidRDefault="00271A1E">
      <w:pPr>
        <w:rPr>
          <w:rFonts w:hint="eastAsia"/>
          <w:sz w:val="22"/>
        </w:rPr>
      </w:pPr>
      <w:proofErr w:type="gramStart"/>
      <w:r w:rsidRPr="00AA0CE6">
        <w:rPr>
          <w:rFonts w:ascii="Consolas" w:hAnsi="Consolas"/>
          <w:sz w:val="22"/>
        </w:rPr>
        <w:t>test  =</w:t>
      </w:r>
      <w:proofErr w:type="gramEnd"/>
      <w:r w:rsidRPr="00AA0CE6">
        <w:rPr>
          <w:rFonts w:ascii="Consolas" w:hAnsi="Consolas"/>
          <w:sz w:val="22"/>
        </w:rPr>
        <w:t xml:space="preserve"> df[(df.ds &gt;= '2025-01-01') &amp; (df.ds &lt;= '2025-12-01')]</w:t>
      </w:r>
    </w:p>
    <w:p w14:paraId="39ACA840" w14:textId="77777777" w:rsidR="00F31C91" w:rsidRPr="00AA0CE6" w:rsidRDefault="00271A1E">
      <w:pPr>
        <w:rPr>
          <w:rFonts w:hint="eastAsia"/>
          <w:sz w:val="22"/>
        </w:rPr>
      </w:pPr>
      <w:r w:rsidRPr="00AA0CE6">
        <w:rPr>
          <w:rFonts w:ascii="Consolas" w:hAnsi="Consolas"/>
          <w:sz w:val="22"/>
        </w:rPr>
        <w:t xml:space="preserve">model = </w:t>
      </w:r>
      <w:proofErr w:type="gramStart"/>
      <w:r w:rsidRPr="00AA0CE6">
        <w:rPr>
          <w:rFonts w:ascii="Consolas" w:hAnsi="Consolas"/>
          <w:sz w:val="22"/>
        </w:rPr>
        <w:t>Prophet(</w:t>
      </w:r>
      <w:proofErr w:type="gramEnd"/>
      <w:r w:rsidRPr="00AA0CE6">
        <w:rPr>
          <w:rFonts w:ascii="Consolas" w:hAnsi="Consolas"/>
          <w:sz w:val="22"/>
        </w:rPr>
        <w:t>growth='linear', yearly_seasonality=True,</w:t>
      </w:r>
    </w:p>
    <w:p w14:paraId="2FBF84DB" w14:textId="77777777" w:rsidR="00F31C91" w:rsidRPr="00AA0CE6" w:rsidRDefault="00271A1E">
      <w:pPr>
        <w:rPr>
          <w:rFonts w:hint="eastAsia"/>
          <w:sz w:val="22"/>
        </w:rPr>
      </w:pPr>
      <w:r w:rsidRPr="00AA0CE6">
        <w:rPr>
          <w:rFonts w:ascii="Consolas" w:hAnsi="Consolas"/>
          <w:sz w:val="22"/>
        </w:rPr>
        <w:t xml:space="preserve">                weekly_seasonality=False, daily_seasonality=False,</w:t>
      </w:r>
    </w:p>
    <w:p w14:paraId="615884B9" w14:textId="77777777" w:rsidR="00F31C91" w:rsidRPr="00AA0CE6" w:rsidRDefault="00271A1E">
      <w:pPr>
        <w:rPr>
          <w:rFonts w:hint="eastAsia"/>
          <w:sz w:val="22"/>
        </w:rPr>
      </w:pPr>
      <w:r w:rsidRPr="00AA0CE6">
        <w:rPr>
          <w:rFonts w:ascii="Consolas" w:hAnsi="Consolas"/>
          <w:sz w:val="22"/>
        </w:rPr>
        <w:t xml:space="preserve">                changepoint_prior_scale=0.03, seasonality_prior_scale=0.1)</w:t>
      </w:r>
    </w:p>
    <w:p w14:paraId="1BE88BC5" w14:textId="77777777" w:rsidR="00F31C91" w:rsidRPr="00AA0CE6" w:rsidRDefault="00271A1E">
      <w:pPr>
        <w:rPr>
          <w:rFonts w:hint="eastAsia"/>
          <w:sz w:val="22"/>
        </w:rPr>
      </w:pPr>
      <w:r w:rsidRPr="00AA0CE6">
        <w:rPr>
          <w:rFonts w:ascii="Consolas" w:hAnsi="Consolas"/>
          <w:sz w:val="22"/>
        </w:rPr>
        <w:t>model.fit(train)</w:t>
      </w:r>
    </w:p>
    <w:p w14:paraId="4346C0E2" w14:textId="77777777" w:rsidR="00F31C91" w:rsidRPr="00AA0CE6" w:rsidRDefault="00271A1E">
      <w:pPr>
        <w:rPr>
          <w:rFonts w:hint="eastAsia"/>
          <w:sz w:val="22"/>
        </w:rPr>
      </w:pPr>
      <w:r w:rsidRPr="00AA0CE6">
        <w:rPr>
          <w:rFonts w:ascii="Consolas" w:hAnsi="Consolas"/>
          <w:sz w:val="22"/>
        </w:rPr>
        <w:t xml:space="preserve">pred = </w:t>
      </w:r>
      <w:proofErr w:type="gramStart"/>
      <w:r w:rsidRPr="00AA0CE6">
        <w:rPr>
          <w:rFonts w:ascii="Consolas" w:hAnsi="Consolas"/>
          <w:sz w:val="22"/>
        </w:rPr>
        <w:t>model.predict</w:t>
      </w:r>
      <w:proofErr w:type="gramEnd"/>
      <w:r w:rsidRPr="00AA0CE6">
        <w:rPr>
          <w:rFonts w:ascii="Consolas" w:hAnsi="Consolas"/>
          <w:sz w:val="22"/>
        </w:rPr>
        <w:t>(test[['ds']])</w:t>
      </w:r>
    </w:p>
    <w:p w14:paraId="0C628069" w14:textId="77777777" w:rsidR="00F31C91" w:rsidRDefault="00271A1E">
      <w:pPr>
        <w:rPr>
          <w:rFonts w:hint="eastAsia"/>
        </w:rPr>
      </w:pPr>
      <w:r w:rsidRPr="00AA0CE6">
        <w:rPr>
          <w:sz w:val="22"/>
        </w:rPr>
        <w:t xml:space="preserve">El código anterior es ilustrativo; el </w:t>
      </w:r>
      <w:proofErr w:type="gramStart"/>
      <w:r w:rsidRPr="00AA0CE6">
        <w:rPr>
          <w:b/>
          <w:bCs/>
          <w:color w:val="002060"/>
          <w:sz w:val="22"/>
        </w:rPr>
        <w:t>archivo .ipynb</w:t>
      </w:r>
      <w:proofErr w:type="gramEnd"/>
      <w:r w:rsidRPr="00AA0CE6">
        <w:rPr>
          <w:color w:val="002060"/>
          <w:sz w:val="22"/>
        </w:rPr>
        <w:t xml:space="preserve"> </w:t>
      </w:r>
      <w:r w:rsidRPr="00AA0CE6">
        <w:rPr>
          <w:sz w:val="22"/>
        </w:rPr>
        <w:t>contiene las funciones completas y constituye la referencia ejecutable. El nombre de Excel mostrado en el Notebook puede requerir ajustarse al archivo concreto del paquete</w:t>
      </w:r>
      <w:r>
        <w:t>.</w:t>
      </w:r>
    </w:p>
    <w:p w14:paraId="39E4FB9C" w14:textId="77777777" w:rsidR="00F31C91" w:rsidRDefault="00271A1E">
      <w:pPr>
        <w:pStyle w:val="Ttulo1"/>
      </w:pPr>
      <w:r>
        <w:t>I. Inventario y trazabilidad de entregables</w:t>
      </w:r>
    </w:p>
    <w:tbl>
      <w:tblPr>
        <w:tblStyle w:val="Sombreadoclaro-nfasis1"/>
        <w:tblW w:w="0" w:type="auto"/>
        <w:jc w:val="center"/>
        <w:tblLook w:val="04A0" w:firstRow="1" w:lastRow="0" w:firstColumn="1" w:lastColumn="0" w:noHBand="0" w:noVBand="1"/>
      </w:tblPr>
      <w:tblGrid>
        <w:gridCol w:w="4816"/>
        <w:gridCol w:w="4816"/>
      </w:tblGrid>
      <w:tr w:rsidR="00F31C91" w14:paraId="56994226" w14:textId="77777777" w:rsidTr="00F31C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09563BE" w14:textId="77777777" w:rsidR="00F31C91" w:rsidRPr="00177C92" w:rsidRDefault="00271A1E">
            <w:pPr>
              <w:rPr>
                <w:rFonts w:hint="eastAsia"/>
                <w:sz w:val="22"/>
              </w:rPr>
            </w:pPr>
            <w:r w:rsidRPr="00177C92">
              <w:rPr>
                <w:sz w:val="22"/>
              </w:rPr>
              <w:t>Entregable</w:t>
            </w:r>
          </w:p>
        </w:tc>
        <w:tc>
          <w:tcPr>
            <w:tcW w:w="4816" w:type="dxa"/>
          </w:tcPr>
          <w:p w14:paraId="1E204239" w14:textId="77777777" w:rsidR="00F31C91" w:rsidRPr="00177C92" w:rsidRDefault="00271A1E">
            <w:pPr>
              <w:cnfStyle w:val="100000000000" w:firstRow="1" w:lastRow="0" w:firstColumn="0" w:lastColumn="0" w:oddVBand="0" w:evenVBand="0" w:oddHBand="0" w:evenHBand="0" w:firstRowFirstColumn="0" w:firstRowLastColumn="0" w:lastRowFirstColumn="0" w:lastRowLastColumn="0"/>
              <w:rPr>
                <w:rFonts w:hint="eastAsia"/>
                <w:sz w:val="22"/>
              </w:rPr>
            </w:pPr>
            <w:r w:rsidRPr="00177C92">
              <w:rPr>
                <w:sz w:val="22"/>
              </w:rPr>
              <w:t>Función</w:t>
            </w:r>
          </w:p>
        </w:tc>
      </w:tr>
      <w:tr w:rsidR="00F31C91" w14:paraId="7472B77C"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08B838C" w14:textId="77777777" w:rsidR="00F31C91" w:rsidRPr="00177C92" w:rsidRDefault="00271A1E">
            <w:pPr>
              <w:rPr>
                <w:rFonts w:hint="eastAsia"/>
                <w:sz w:val="22"/>
              </w:rPr>
            </w:pPr>
            <w:r w:rsidRPr="00177C92">
              <w:rPr>
                <w:sz w:val="22"/>
              </w:rPr>
              <w:t>Paper final PDF y Word</w:t>
            </w:r>
          </w:p>
        </w:tc>
        <w:tc>
          <w:tcPr>
            <w:tcW w:w="4816" w:type="dxa"/>
          </w:tcPr>
          <w:p w14:paraId="1342603D" w14:textId="77777777" w:rsidR="00F31C91" w:rsidRPr="00177C92"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177C92">
              <w:rPr>
                <w:sz w:val="22"/>
              </w:rPr>
              <w:t>Síntesis, interpretación, resultados y discusión</w:t>
            </w:r>
          </w:p>
        </w:tc>
      </w:tr>
      <w:tr w:rsidR="00F31C91" w14:paraId="34A28974"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6FF5FA25" w14:textId="77777777" w:rsidR="00F31C91" w:rsidRPr="00177C92" w:rsidRDefault="00271A1E">
            <w:pPr>
              <w:rPr>
                <w:rFonts w:hint="eastAsia"/>
                <w:sz w:val="22"/>
              </w:rPr>
            </w:pPr>
            <w:r w:rsidRPr="00177C92">
              <w:rPr>
                <w:sz w:val="22"/>
              </w:rPr>
              <w:t>Anexo Técnico PDF y Word</w:t>
            </w:r>
          </w:p>
        </w:tc>
        <w:tc>
          <w:tcPr>
            <w:tcW w:w="4816" w:type="dxa"/>
          </w:tcPr>
          <w:p w14:paraId="4A8A3F13" w14:textId="77777777" w:rsidR="00F31C91" w:rsidRPr="00177C92"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177C92">
              <w:rPr>
                <w:sz w:val="22"/>
              </w:rPr>
              <w:t>Procedimiento, controles, tablas y caveats</w:t>
            </w:r>
          </w:p>
        </w:tc>
      </w:tr>
      <w:tr w:rsidR="00F31C91" w14:paraId="190D370F" w14:textId="77777777" w:rsidTr="00F31C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A8000E7" w14:textId="77777777" w:rsidR="00F31C91" w:rsidRPr="00177C92" w:rsidRDefault="00271A1E">
            <w:pPr>
              <w:rPr>
                <w:rFonts w:hint="eastAsia"/>
                <w:sz w:val="22"/>
              </w:rPr>
            </w:pPr>
            <w:r w:rsidRPr="00177C92">
              <w:rPr>
                <w:sz w:val="22"/>
              </w:rPr>
              <w:t>Excel fuente consolidado</w:t>
            </w:r>
          </w:p>
        </w:tc>
        <w:tc>
          <w:tcPr>
            <w:tcW w:w="4816" w:type="dxa"/>
          </w:tcPr>
          <w:p w14:paraId="7BAF8EFB" w14:textId="77777777" w:rsidR="00F31C91" w:rsidRPr="00177C92" w:rsidRDefault="00271A1E">
            <w:pPr>
              <w:cnfStyle w:val="000000100000" w:firstRow="0" w:lastRow="0" w:firstColumn="0" w:lastColumn="0" w:oddVBand="0" w:evenVBand="0" w:oddHBand="1" w:evenHBand="0" w:firstRowFirstColumn="0" w:firstRowLastColumn="0" w:lastRowFirstColumn="0" w:lastRowLastColumn="0"/>
              <w:rPr>
                <w:rFonts w:hint="eastAsia"/>
                <w:sz w:val="22"/>
              </w:rPr>
            </w:pPr>
            <w:r w:rsidRPr="00177C92">
              <w:rPr>
                <w:sz w:val="22"/>
              </w:rPr>
              <w:t>Serie mensual 2012–2025; insumo para Prophet</w:t>
            </w:r>
          </w:p>
        </w:tc>
      </w:tr>
      <w:tr w:rsidR="00F31C91" w14:paraId="43C8EE78" w14:textId="77777777" w:rsidTr="00F31C91">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2B06084D" w14:textId="77777777" w:rsidR="00F31C91" w:rsidRPr="00177C92" w:rsidRDefault="00271A1E">
            <w:pPr>
              <w:rPr>
                <w:rFonts w:hint="eastAsia"/>
                <w:sz w:val="22"/>
              </w:rPr>
            </w:pPr>
            <w:r w:rsidRPr="00177C92">
              <w:rPr>
                <w:sz w:val="22"/>
              </w:rPr>
              <w:t xml:space="preserve">Notebook </w:t>
            </w:r>
            <w:proofErr w:type="gramStart"/>
            <w:r w:rsidRPr="00177C92">
              <w:rPr>
                <w:sz w:val="22"/>
              </w:rPr>
              <w:t>original .ipynb</w:t>
            </w:r>
            <w:proofErr w:type="gramEnd"/>
            <w:r w:rsidRPr="00177C92">
              <w:rPr>
                <w:sz w:val="22"/>
              </w:rPr>
              <w:t xml:space="preserve"> (01/10/26)</w:t>
            </w:r>
          </w:p>
        </w:tc>
        <w:tc>
          <w:tcPr>
            <w:tcW w:w="4816" w:type="dxa"/>
          </w:tcPr>
          <w:p w14:paraId="21794140" w14:textId="77777777" w:rsidR="00F31C91" w:rsidRPr="00177C92" w:rsidRDefault="00271A1E">
            <w:pPr>
              <w:cnfStyle w:val="000000000000" w:firstRow="0" w:lastRow="0" w:firstColumn="0" w:lastColumn="0" w:oddVBand="0" w:evenVBand="0" w:oddHBand="0" w:evenHBand="0" w:firstRowFirstColumn="0" w:firstRowLastColumn="0" w:lastRowFirstColumn="0" w:lastRowLastColumn="0"/>
              <w:rPr>
                <w:rFonts w:hint="eastAsia"/>
                <w:sz w:val="22"/>
              </w:rPr>
            </w:pPr>
            <w:r w:rsidRPr="00177C92">
              <w:rPr>
                <w:sz w:val="22"/>
              </w:rPr>
              <w:t>Código de backtesting y reentrenamiento, previo a últimas decisiones</w:t>
            </w:r>
          </w:p>
        </w:tc>
      </w:tr>
    </w:tbl>
    <w:p w14:paraId="0E71509B" w14:textId="77777777" w:rsidR="00F31C91" w:rsidRPr="00177C92" w:rsidRDefault="00271A1E">
      <w:pPr>
        <w:rPr>
          <w:rFonts w:hint="eastAsia"/>
          <w:sz w:val="24"/>
          <w:szCs w:val="24"/>
        </w:rPr>
      </w:pPr>
      <w:r w:rsidRPr="00177C92">
        <w:rPr>
          <w:sz w:val="24"/>
          <w:szCs w:val="24"/>
        </w:rPr>
        <w:t>Criterio de versionado: preservar el Notebook original y, si se efectúa la conciliación, publicar un archivo adicional identificado como “Notebook final reproducible”, con fecha, entorno de Python, versiones de bibliotecas y resultados de ejecución guardados.</w:t>
      </w:r>
    </w:p>
    <w:p w14:paraId="2C2E0A13" w14:textId="05619164" w:rsidR="00F31C91" w:rsidRPr="00177C92" w:rsidRDefault="00271A1E">
      <w:pPr>
        <w:rPr>
          <w:rFonts w:hint="eastAsia"/>
          <w:sz w:val="24"/>
          <w:szCs w:val="24"/>
        </w:rPr>
      </w:pPr>
      <w:r w:rsidRPr="00177C92">
        <w:rPr>
          <w:sz w:val="24"/>
          <w:szCs w:val="24"/>
        </w:rPr>
        <w:t xml:space="preserve">Nota final. El </w:t>
      </w:r>
      <w:proofErr w:type="spellStart"/>
      <w:r w:rsidRPr="00177C92">
        <w:rPr>
          <w:sz w:val="24"/>
          <w:szCs w:val="24"/>
        </w:rPr>
        <w:t>anexo</w:t>
      </w:r>
      <w:proofErr w:type="spellEnd"/>
      <w:r w:rsidRPr="00177C92">
        <w:rPr>
          <w:sz w:val="24"/>
          <w:szCs w:val="24"/>
        </w:rPr>
        <w:t xml:space="preserve"> </w:t>
      </w:r>
      <w:proofErr w:type="spellStart"/>
      <w:r w:rsidRPr="00177C92">
        <w:rPr>
          <w:sz w:val="24"/>
          <w:szCs w:val="24"/>
        </w:rPr>
        <w:t>documenta</w:t>
      </w:r>
      <w:proofErr w:type="spellEnd"/>
      <w:r w:rsidRPr="00177C92">
        <w:rPr>
          <w:sz w:val="24"/>
          <w:szCs w:val="24"/>
        </w:rPr>
        <w:t xml:space="preserve"> los </w:t>
      </w:r>
      <w:proofErr w:type="spellStart"/>
      <w:r w:rsidRPr="00177C92">
        <w:rPr>
          <w:sz w:val="24"/>
          <w:szCs w:val="24"/>
        </w:rPr>
        <w:t>resultados</w:t>
      </w:r>
      <w:proofErr w:type="spellEnd"/>
      <w:r w:rsidRPr="00177C92">
        <w:rPr>
          <w:sz w:val="24"/>
          <w:szCs w:val="24"/>
        </w:rPr>
        <w:t xml:space="preserve"> </w:t>
      </w:r>
      <w:proofErr w:type="spellStart"/>
      <w:r w:rsidRPr="00177C92">
        <w:rPr>
          <w:sz w:val="24"/>
          <w:szCs w:val="24"/>
        </w:rPr>
        <w:t>comunicados</w:t>
      </w:r>
      <w:proofErr w:type="spellEnd"/>
      <w:r w:rsidRPr="00177C92">
        <w:rPr>
          <w:sz w:val="24"/>
          <w:szCs w:val="24"/>
        </w:rPr>
        <w:t xml:space="preserve"> y la </w:t>
      </w:r>
      <w:proofErr w:type="spellStart"/>
      <w:r w:rsidRPr="00177C92">
        <w:rPr>
          <w:sz w:val="24"/>
          <w:szCs w:val="24"/>
        </w:rPr>
        <w:t>metodología</w:t>
      </w:r>
      <w:proofErr w:type="spellEnd"/>
      <w:r w:rsidRPr="00177C92">
        <w:rPr>
          <w:sz w:val="24"/>
          <w:szCs w:val="24"/>
        </w:rPr>
        <w:t>. Esta salvedad es esencial para la integridad técnica del portafolio.</w:t>
      </w:r>
    </w:p>
    <w:sectPr w:rsidR="00F31C91" w:rsidRPr="00177C92" w:rsidSect="00034616">
      <w:headerReference w:type="even" r:id="rId8"/>
      <w:headerReference w:type="default" r:id="rId9"/>
      <w:footerReference w:type="even" r:id="rId10"/>
      <w:footerReference w:type="default" r:id="rId11"/>
      <w:headerReference w:type="first" r:id="rId12"/>
      <w:footerReference w:type="first" r:id="rId13"/>
      <w:pgSz w:w="12240" w:h="15840"/>
      <w:pgMar w:top="1162"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17711A" w14:textId="77777777" w:rsidR="00E43DF3" w:rsidRDefault="00E43DF3">
      <w:pPr>
        <w:spacing w:after="0" w:line="240" w:lineRule="auto"/>
        <w:rPr>
          <w:rFonts w:hint="eastAsia"/>
        </w:rPr>
      </w:pPr>
      <w:r>
        <w:separator/>
      </w:r>
    </w:p>
  </w:endnote>
  <w:endnote w:type="continuationSeparator" w:id="0">
    <w:p w14:paraId="59BB67F6" w14:textId="77777777" w:rsidR="00E43DF3" w:rsidRDefault="00E43D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37BD6" w14:textId="77777777" w:rsidR="00974C5B" w:rsidRDefault="00974C5B">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8955F2" w14:textId="2FAE353D" w:rsidR="00F31C91" w:rsidRPr="00974C5B" w:rsidRDefault="00271A1E">
    <w:pPr>
      <w:pStyle w:val="Piedepgina"/>
      <w:rPr>
        <w:rFonts w:hint="eastAsia"/>
        <w:b/>
        <w:bCs/>
      </w:rPr>
    </w:pPr>
    <w:r w:rsidRPr="00974C5B">
      <w:rPr>
        <w:rFonts w:asciiTheme="majorHAnsi" w:hAnsiTheme="majorHAnsi" w:cstheme="majorHAnsi"/>
        <w:b/>
        <w:bCs/>
      </w:rPr>
      <w:t xml:space="preserve">Proyecto </w:t>
    </w:r>
    <w:proofErr w:type="spellStart"/>
    <w:r w:rsidRPr="00974C5B">
      <w:rPr>
        <w:rFonts w:asciiTheme="majorHAnsi" w:hAnsiTheme="majorHAnsi" w:cstheme="majorHAnsi"/>
        <w:b/>
        <w:bCs/>
      </w:rPr>
      <w:t>Vaca</w:t>
    </w:r>
    <w:proofErr w:type="spellEnd"/>
    <w:r w:rsidRPr="00974C5B">
      <w:rPr>
        <w:rFonts w:asciiTheme="majorHAnsi" w:hAnsiTheme="majorHAnsi" w:cstheme="majorHAnsi"/>
        <w:b/>
        <w:bCs/>
      </w:rPr>
      <w:t xml:space="preserve"> </w:t>
    </w:r>
    <w:proofErr w:type="spellStart"/>
    <w:r w:rsidRPr="00974C5B">
      <w:rPr>
        <w:rFonts w:asciiTheme="majorHAnsi" w:hAnsiTheme="majorHAnsi" w:cstheme="majorHAnsi"/>
        <w:b/>
        <w:bCs/>
      </w:rPr>
      <w:t>Muerta</w:t>
    </w:r>
    <w:proofErr w:type="spellEnd"/>
    <w:r w:rsidRPr="00974C5B">
      <w:rPr>
        <w:b/>
        <w:bCs/>
      </w:rPr>
      <w:t xml:space="preserve"> · Anexo </w:t>
    </w:r>
    <w:proofErr w:type="spellStart"/>
    <w:r w:rsidRPr="00974C5B">
      <w:rPr>
        <w:b/>
        <w:bCs/>
      </w:rPr>
      <w:t>técnico</w:t>
    </w:r>
    <w:proofErr w:type="spellEnd"/>
    <w:r w:rsidRPr="00974C5B">
      <w:rPr>
        <w:b/>
        <w:bCs/>
      </w:rPr>
      <w:t xml:space="preserve"> · </w:t>
    </w:r>
    <w:proofErr w:type="spellStart"/>
    <w:r w:rsidRPr="00974C5B">
      <w:rPr>
        <w:b/>
        <w:bCs/>
      </w:rPr>
      <w:t>Octubre</w:t>
    </w:r>
    <w:proofErr w:type="spellEnd"/>
    <w:r w:rsidRPr="00974C5B">
      <w:rPr>
        <w:b/>
        <w:bCs/>
      </w:rPr>
      <w:t xml:space="preserve"> 2026</w:t>
    </w:r>
    <w:r w:rsidR="009E147C" w:rsidRPr="00974C5B">
      <w:rPr>
        <w:b/>
        <w:bCs/>
      </w:rPr>
      <w:t>-</w:t>
    </w:r>
    <w:r w:rsidR="00974C5B">
      <w:rPr>
        <w:b/>
        <w:bCs/>
      </w:rPr>
      <w:t xml:space="preserve"> </w:t>
    </w:r>
    <w:r w:rsidR="009E147C" w:rsidRPr="00974C5B">
      <w:rPr>
        <w:b/>
        <w:bCs/>
      </w:rPr>
      <w:t>Mg Gustavo Herrero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09C3ED" w14:textId="77777777" w:rsidR="00974C5B" w:rsidRDefault="00974C5B">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2B47D4" w14:textId="77777777" w:rsidR="00E43DF3" w:rsidRDefault="00E43DF3">
      <w:pPr>
        <w:spacing w:after="0" w:line="240" w:lineRule="auto"/>
        <w:rPr>
          <w:rFonts w:hint="eastAsia"/>
        </w:rPr>
      </w:pPr>
      <w:r>
        <w:separator/>
      </w:r>
    </w:p>
  </w:footnote>
  <w:footnote w:type="continuationSeparator" w:id="0">
    <w:p w14:paraId="579281D2" w14:textId="77777777" w:rsidR="00E43DF3" w:rsidRDefault="00E43D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0AA466" w14:textId="77777777" w:rsidR="00974C5B" w:rsidRDefault="00974C5B">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53243988"/>
      <w:docPartObj>
        <w:docPartGallery w:val="Page Numbers (Top of Page)"/>
        <w:docPartUnique/>
      </w:docPartObj>
    </w:sdtPr>
    <w:sdtEndPr/>
    <w:sdtContent>
      <w:p w14:paraId="69966616" w14:textId="61705297" w:rsidR="0089665E" w:rsidRDefault="0089665E">
        <w:pPr>
          <w:pStyle w:val="Encabezado"/>
          <w:jc w:val="right"/>
          <w:rPr>
            <w:rFonts w:hint="eastAsia"/>
          </w:rPr>
        </w:pPr>
        <w:r>
          <w:fldChar w:fldCharType="begin"/>
        </w:r>
        <w:r>
          <w:instrText>PAGE   \* MERGEFORMAT</w:instrText>
        </w:r>
        <w:r>
          <w:fldChar w:fldCharType="separate"/>
        </w:r>
        <w:r>
          <w:rPr>
            <w:lang w:val="es-ES"/>
          </w:rPr>
          <w:t>2</w:t>
        </w:r>
        <w:r>
          <w:fldChar w:fldCharType="end"/>
        </w:r>
      </w:p>
    </w:sdtContent>
  </w:sdt>
  <w:p w14:paraId="4CEDDA7B" w14:textId="77777777" w:rsidR="0089665E" w:rsidRDefault="0089665E">
    <w:pPr>
      <w:pStyle w:val="Encabezado"/>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8E51D" w14:textId="77777777" w:rsidR="00974C5B" w:rsidRDefault="00974C5B">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40C"/>
    <w:rsid w:val="0015074B"/>
    <w:rsid w:val="00177C92"/>
    <w:rsid w:val="0020206B"/>
    <w:rsid w:val="00271A1E"/>
    <w:rsid w:val="0029639D"/>
    <w:rsid w:val="00326F90"/>
    <w:rsid w:val="004501A5"/>
    <w:rsid w:val="004C1DB5"/>
    <w:rsid w:val="005E3FA9"/>
    <w:rsid w:val="00731DAC"/>
    <w:rsid w:val="0089665E"/>
    <w:rsid w:val="00974C5B"/>
    <w:rsid w:val="009E147C"/>
    <w:rsid w:val="009E46F6"/>
    <w:rsid w:val="00AA0CE6"/>
    <w:rsid w:val="00AA1D8D"/>
    <w:rsid w:val="00AA5440"/>
    <w:rsid w:val="00AB113D"/>
    <w:rsid w:val="00B47730"/>
    <w:rsid w:val="00B81BDF"/>
    <w:rsid w:val="00BE50DF"/>
    <w:rsid w:val="00CB0664"/>
    <w:rsid w:val="00CD57FB"/>
    <w:rsid w:val="00CF402A"/>
    <w:rsid w:val="00D20B66"/>
    <w:rsid w:val="00E43DF3"/>
    <w:rsid w:val="00E73713"/>
    <w:rsid w:val="00EE5BEB"/>
    <w:rsid w:val="00F31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4E081"/>
  <w14:defaultImageDpi w14:val="300"/>
  <w15:docId w15:val="{63F11A31-7A23-4830-8D10-FE75B219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4374E"/>
      <w:sz w:val="25"/>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374E"/>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74E"/>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3430F-DD3C-4F63-9ACC-3C5581349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1249</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2026-10-20T19:30:00Z</dcterms:created>
  <dcterms:modified xsi:type="dcterms:W3CDTF">2026-10-20T19:30:00Z</dcterms:modified>
  <cp:category/>
</cp:coreProperties>
</file>