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none" w:color="FFFFFF" w:sz="0"/>
              <w:bottom w:val="none" w:color="FFFFFF" w:sz="0"/>
              <w:right w:val="none" w:color="FFFFFF" w:sz="0"/>
            </w:tcBorders>
            <w:shd w:fill="1A237E" w:val="clear"/>
            <w:tcMar>
              <w:top w:type="dxa" w:w="800"/>
              <w:left w:type="dxa" w:w="600"/>
              <w:bottom w:type="dxa" w:w="800"/>
              <w:right w:type="dxa" w:w="600"/>
            </w:tcMar>
          </w:tcPr>
          <w:p>
            <w:pPr>
              <w:spacing w:before="0" w:after="80"/>
              <w:jc w:val="center"/>
            </w:pPr>
            <w:r>
              <w:rPr>
                <w:rFonts w:ascii="Calibri" w:cs="Calibri" w:eastAsia="Calibri" w:hAnsi="Calibri"/>
                <w:color w:val="C9A84C"/>
                <w:sz w:val="52"/>
                <w:szCs w:val="52"/>
              </w:rPr>
              <w:t xml:space="preserve">⚖</w:t>
            </w:r>
          </w:p>
          <w:p>
            <w:pPr>
              <w:spacing w:before="0" w:after="60"/>
              <w:jc w:val="center"/>
            </w:pPr>
            <w:r>
              <w:rPr>
                <w:rFonts w:ascii="Georgia" w:cs="Georgia" w:eastAsia="Georgia" w:hAnsi="Georgia"/>
                <w:b/>
                <w:bCs/>
                <w:color w:val="C9A84C"/>
                <w:sz w:val="88"/>
                <w:szCs w:val="88"/>
              </w:rPr>
              <w:t xml:space="preserve">TaxGenie</w:t>
            </w:r>
          </w:p>
          <w:p>
            <w:pPr>
              <w:spacing w:before="0" w:after="200"/>
              <w:jc w:val="center"/>
            </w:pPr>
            <w:r>
              <w:rPr>
                <w:rFonts w:ascii="Calibri" w:cs="Calibri" w:eastAsia="Calibri" w:hAnsi="Calibri"/>
                <w:i/>
                <w:iCs/>
                <w:color w:val="B0BEC5"/>
                <w:sz w:val="22"/>
                <w:szCs w:val="22"/>
              </w:rPr>
              <w:t xml:space="preserve">Bridging 1961 to 2025 in One Click</w:t>
            </w:r>
          </w:p>
          <w:p>
            <w:pPr>
              <w:pBdr>
                <w:bottom w:val="single" w:color="8B6914" w:sz="4"/>
              </w:pBdr>
              <w:spacing w:before="0" w:after="200"/>
            </w:pPr>
          </w:p>
          <w:p>
            <w:pPr>
              <w:spacing w:before="0" w:after="120"/>
              <w:jc w:val="center"/>
            </w:pPr>
            <w:r>
              <w:rPr>
                <w:rFonts w:ascii="Calibri" w:cs="Calibri" w:eastAsia="Calibri" w:hAnsi="Calibri"/>
                <w:b/>
                <w:bCs/>
                <w:color w:val="90A4AE"/>
                <w:spacing w:val="160"/>
                <w:sz w:val="18"/>
                <w:szCs w:val="18"/>
              </w:rPr>
              <w:t xml:space="preserve">INCOME TAX COMPARISON REPORT</w:t>
            </w:r>
          </w:p>
          <w:p>
            <w:pPr>
              <w:spacing w:before="0" w:after="40"/>
            </w:pPr>
            <w:r>
              <w:rPr>
                <w:rFonts w:ascii="Calibri" w:cs="Calibri" w:eastAsia="Calibri" w:hAnsi="Calibri"/>
                <w:b/>
                <w:bCs/>
                <w:color w:val="78909C"/>
                <w:spacing w:val="200"/>
                <w:sz w:val="16"/>
                <w:szCs w:val="16"/>
              </w:rPr>
              <w:t xml:space="preserve">QUERY</w:t>
            </w:r>
          </w:p>
          <w:p>
            <w:pPr>
              <w:spacing w:before="0" w:after="200"/>
            </w:pPr>
            <w:r>
              <w:rPr>
                <w:rFonts w:ascii="Georgia" w:cs="Georgia" w:eastAsia="Georgia" w:hAnsi="Georgia"/>
                <w:b/>
                <w:bCs/>
                <w:color w:val="FFFFFF"/>
                <w:sz w:val="30"/>
                <w:szCs w:val="30"/>
              </w:rPr>
              <w:t xml:space="preserve">Capital Gain Section 45</w:t>
            </w:r>
          </w:p>
          <w:p>
            <w:pPr>
              <w:spacing w:before="0" w:after="40"/>
              <w:jc w:val="center"/>
            </w:pPr>
            <w:r>
              <w:rPr>
                <w:rFonts w:ascii="Calibri" w:cs="Calibri" w:eastAsia="Calibri" w:hAnsi="Calibri"/>
                <w:color w:val="90A4AE"/>
                <w:sz w:val="18"/>
                <w:szCs w:val="18"/>
              </w:rPr>
              <w:t xml:space="preserve">Generated on  </w:t>
            </w:r>
            <w:r>
              <w:rPr>
                <w:rFonts w:ascii="Calibri" w:cs="Calibri" w:eastAsia="Calibri" w:hAnsi="Calibri"/>
                <w:b/>
                <w:bCs/>
                <w:color w:val="C9A84C"/>
                <w:sz w:val="18"/>
                <w:szCs w:val="18"/>
              </w:rPr>
              <w:t xml:space="preserve">04 March 2026, 10:51 AM</w:t>
            </w:r>
          </w:p>
          <w:p>
            <w:pPr>
              <w:spacing w:before="0" w:after="0"/>
              <w:jc w:val="center"/>
            </w:pPr>
            <w:r>
              <w:rPr>
                <w:rFonts w:ascii="Calibri" w:cs="Calibri" w:eastAsia="Calibri" w:hAnsi="Calibri"/>
                <w:i/>
                <w:iCs/>
                <w:color w:val="546E7A"/>
                <w:sz w:val="16"/>
                <w:szCs w:val="16"/>
              </w:rPr>
              <w:t xml:space="preserve">Powered by Gemini AI  ·  Based on Actual Act Text</w:t>
            </w:r>
          </w:p>
        </w:tc>
      </w:tr>
    </w:tbl>
    <w:p>
      <w:pPr>
        <w:spacing w:before="0" w:after="0"/>
      </w:pPr>
      <w:r>
        <w:br w:type="page"/>
      </w:r>
    </w:p>
    <w:p>
      <w:pPr>
        <w:spacing w:before="0"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565C0" w:sz="6"/>
              <w:left w:val="single" w:color="1565C0" w:sz="6"/>
              <w:bottom w:val="none" w:color="FFFFFF" w:sz="0"/>
              <w:right w:val="none" w:color="FFFFFF" w:sz="0"/>
            </w:tcBorders>
            <w:shd w:fill="E8EBF5" w:val="clear"/>
            <w:tcMar>
              <w:top w:type="dxa" w:w="140"/>
              <w:left w:type="dxa" w:w="280"/>
              <w:bottom w:type="dxa" w:w="140"/>
              <w:right w:type="dxa" w:w="280"/>
            </w:tcMar>
          </w:tcPr>
          <w:p>
            <w:pPr>
              <w:spacing w:before="0" w:after="0"/>
            </w:pPr>
            <w:r>
              <w:rPr>
                <w:rFonts w:ascii="Calibri" w:cs="Calibri" w:eastAsia="Calibri" w:hAnsi="Calibri"/>
                <w:b/>
                <w:bCs/>
                <w:color w:val="1565C0"/>
                <w:spacing w:val="120"/>
                <w:sz w:val="18"/>
                <w:szCs w:val="18"/>
              </w:rPr>
              <w:t xml:space="preserve">SECTION 01  </w:t>
            </w:r>
            <w:r>
              <w:rPr>
                <w:rFonts w:ascii="Calibri" w:cs="Calibri" w:eastAsia="Calibri" w:hAnsi="Calibri"/>
                <w:color w:val="546E7A"/>
                <w:sz w:val="18"/>
                <w:szCs w:val="18"/>
              </w:rPr>
              <w:t xml:space="preserve">·  </w:t>
            </w:r>
            <w:r>
              <w:rPr>
                <w:rFonts w:ascii="Georgia" w:cs="Georgia" w:eastAsia="Georgia" w:hAnsi="Georgia"/>
                <w:b/>
                <w:bCs/>
                <w:color w:val="1A237E"/>
                <w:sz w:val="24"/>
                <w:szCs w:val="24"/>
              </w:rPr>
              <w:t xml:space="preserve">Side-by-Side Comparison — Exact Legal Text</w:t>
            </w:r>
          </w:p>
        </w:tc>
      </w:tr>
    </w:tbl>
    <w:p>
      <w:pPr>
        <w:pBdr>
          <w:bottom w:val="single" w:color="1565C0" w:sz="4"/>
        </w:pBdr>
        <w:spacing w:before="0" w:after="160"/>
      </w:pPr>
    </w:p>
    <w:p>
      <w:pPr>
        <w:spacing w:before="0" w:after="60"/>
      </w:pPr>
    </w:p>
    <w:p>
      <w:pPr>
        <w:spacing w:before="0" w:after="240"/>
      </w:pPr>
    </w:p>
    <w:p>
      <w:pPr>
        <w:spacing w:before="0"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2E7D32" w:sz="6"/>
              <w:left w:val="single" w:color="2E7D32" w:sz="6"/>
              <w:bottom w:val="none" w:color="FFFFFF" w:sz="0"/>
              <w:right w:val="none" w:color="FFFFFF" w:sz="0"/>
            </w:tcBorders>
            <w:shd w:fill="E8F5E9" w:val="clear"/>
            <w:tcMar>
              <w:top w:type="dxa" w:w="140"/>
              <w:left w:type="dxa" w:w="280"/>
              <w:bottom w:type="dxa" w:w="140"/>
              <w:right w:type="dxa" w:w="280"/>
            </w:tcMar>
          </w:tcPr>
          <w:p>
            <w:pPr>
              <w:spacing w:before="0" w:after="0"/>
            </w:pPr>
            <w:r>
              <w:rPr>
                <w:rFonts w:ascii="Calibri" w:cs="Calibri" w:eastAsia="Calibri" w:hAnsi="Calibri"/>
                <w:b/>
                <w:bCs/>
                <w:color w:val="2E7D32"/>
                <w:spacing w:val="120"/>
                <w:sz w:val="18"/>
                <w:szCs w:val="18"/>
              </w:rPr>
              <w:t xml:space="preserve">SECTION 02  </w:t>
            </w:r>
            <w:r>
              <w:rPr>
                <w:rFonts w:ascii="Calibri" w:cs="Calibri" w:eastAsia="Calibri" w:hAnsi="Calibri"/>
                <w:color w:val="546E7A"/>
                <w:sz w:val="18"/>
                <w:szCs w:val="18"/>
              </w:rPr>
              <w:t xml:space="preserve">·  </w:t>
            </w:r>
            <w:r>
              <w:rPr>
                <w:rFonts w:ascii="Georgia" w:cs="Georgia" w:eastAsia="Georgia" w:hAnsi="Georgia"/>
                <w:b/>
                <w:bCs/>
                <w:color w:val="1A237E"/>
                <w:sz w:val="24"/>
                <w:szCs w:val="24"/>
              </w:rPr>
              <w:t xml:space="preserve">Plain English Summary of 2025 Act</w:t>
            </w:r>
          </w:p>
        </w:tc>
      </w:tr>
    </w:tbl>
    <w:p>
      <w:pPr>
        <w:pBdr>
          <w:bottom w:val="single" w:color="2E7D32" w:sz="4"/>
        </w:pBdr>
        <w:spacing w:before="0" w:after="160"/>
      </w:pPr>
    </w:p>
    <w:p>
      <w:pPr>
        <w:spacing w:before="0" w:after="60"/>
      </w:pPr>
    </w:p>
    <w:p>
      <w:pPr>
        <w:spacing w:before="0" w:after="240"/>
      </w:pPr>
    </w:p>
    <w:p>
      <w:pPr>
        <w:spacing w:before="0"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E65100" w:sz="6"/>
              <w:left w:val="single" w:color="E65100" w:sz="6"/>
              <w:bottom w:val="none" w:color="FFFFFF" w:sz="0"/>
              <w:right w:val="none" w:color="FFFFFF" w:sz="0"/>
            </w:tcBorders>
            <w:shd w:fill="FFF3E0" w:val="clear"/>
            <w:tcMar>
              <w:top w:type="dxa" w:w="140"/>
              <w:left w:type="dxa" w:w="280"/>
              <w:bottom w:type="dxa" w:w="140"/>
              <w:right w:type="dxa" w:w="280"/>
            </w:tcMar>
          </w:tcPr>
          <w:p>
            <w:pPr>
              <w:spacing w:before="0" w:after="0"/>
            </w:pPr>
            <w:r>
              <w:rPr>
                <w:rFonts w:ascii="Calibri" w:cs="Calibri" w:eastAsia="Calibri" w:hAnsi="Calibri"/>
                <w:b/>
                <w:bCs/>
                <w:color w:val="E65100"/>
                <w:spacing w:val="120"/>
                <w:sz w:val="18"/>
                <w:szCs w:val="18"/>
              </w:rPr>
              <w:t xml:space="preserve">SECTION 03  </w:t>
            </w:r>
            <w:r>
              <w:rPr>
                <w:rFonts w:ascii="Calibri" w:cs="Calibri" w:eastAsia="Calibri" w:hAnsi="Calibri"/>
                <w:color w:val="546E7A"/>
                <w:sz w:val="18"/>
                <w:szCs w:val="18"/>
              </w:rPr>
              <w:t xml:space="preserve">·  </w:t>
            </w:r>
            <w:r>
              <w:rPr>
                <w:rFonts w:ascii="Georgia" w:cs="Georgia" w:eastAsia="Georgia" w:hAnsi="Georgia"/>
                <w:b/>
                <w:bCs/>
                <w:color w:val="1A237E"/>
                <w:sz w:val="24"/>
                <w:szCs w:val="24"/>
              </w:rPr>
              <w:t xml:space="preserve">Real Legal Changes  ·  1961 → 2025</w:t>
            </w:r>
          </w:p>
        </w:tc>
      </w:tr>
    </w:tbl>
    <w:p>
      <w:pPr>
        <w:pBdr>
          <w:bottom w:val="single" w:color="E65100" w:sz="4"/>
        </w:pBdr>
        <w:spacing w:before="0" w:after="160"/>
      </w:pPr>
    </w:p>
    <w:p>
      <w:pPr>
        <w:spacing w:before="200" w:after="60"/>
      </w:pPr>
      <w:r>
        <w:rPr>
          <w:rFonts w:ascii="Calibri" w:cs="Calibri" w:eastAsia="Calibri" w:hAnsi="Calibri"/>
          <w:b/>
          <w:bCs/>
          <w:color w:val="E65100"/>
          <w:sz w:val="21"/>
          <w:szCs w:val="21"/>
        </w:rPr>
        <w:t xml:space="preserve">What this provision does</w:t>
      </w:r>
    </w:p>
    <w:p>
      <w:pPr>
        <w:spacing w:before="40" w:after="80"/>
      </w:pPr>
      <w:r>
        <w:rPr>
          <w:rFonts w:ascii="Calibri" w:cs="Calibri" w:eastAsia="Calibri" w:hAnsi="Calibri"/>
          <w:color w:val="37474F"/>
          <w:sz w:val="20"/>
          <w:szCs w:val="20"/>
        </w:rPr>
        <w:t xml:space="preserve">This provision sets out when profits or gains from selling or transferring a capital asset—like land, shares, or buildings—count as income under capital gains and when you have to pay tax on them. It covers everyday sales as well as special cases like getting insurance money after damage from disasters, converting investments into business stock, or receiving assets when a partnership ends. The goal is to make sure these gains are taxed in the right year and using the right value for calculation, treating certain events as if they were a "sale."</w:t>
      </w:r>
    </w:p>
    <w:p>
      <w:pPr>
        <w:spacing w:before="0" w:after="60"/>
      </w:pPr>
    </w:p>
    <w:p>
      <w:pPr>
        <w:spacing w:before="200" w:after="60"/>
      </w:pPr>
      <w:r>
        <w:rPr>
          <w:rFonts w:ascii="Calibri" w:cs="Calibri" w:eastAsia="Calibri" w:hAnsi="Calibri"/>
          <w:b/>
          <w:bCs/>
          <w:color w:val="E65100"/>
          <w:sz w:val="21"/>
          <w:szCs w:val="21"/>
        </w:rPr>
        <w:t xml:space="preserve">Who it applies to</w:t>
      </w:r>
    </w:p>
    <w:p>
      <w:pPr>
        <w:spacing w:before="40" w:after="80"/>
      </w:pPr>
      <w:r>
        <w:rPr>
          <w:rFonts w:ascii="Calibri" w:cs="Calibri" w:eastAsia="Calibri" w:hAnsi="Calibri"/>
          <w:color w:val="37474F"/>
          <w:sz w:val="20"/>
          <w:szCs w:val="20"/>
        </w:rPr>
        <w:t xml:space="preserve">It applies to any person—individuals, businesses, partnerships, or other entities—who transfers a capital asset, receives insurance payouts for damaged assets, converts assets to business stock, holds beneficial interest in securities through depositories, contributes assets to a firm or association, or gets money/assets during a partnership's reconstitution. Exceptions apply if other sections like 82 to 89 override it. It affects residents and non-residents with Indian capital assets, but specific rules shift tax liability to the entity in partnership dissolutions.</w:t>
      </w:r>
    </w:p>
    <w:p>
      <w:pPr>
        <w:spacing w:before="0" w:after="60"/>
      </w:pPr>
    </w:p>
    <w:p>
      <w:pPr>
        <w:spacing w:before="200" w:after="60"/>
      </w:pPr>
      <w:r>
        <w:rPr>
          <w:rFonts w:ascii="Calibri" w:cs="Calibri" w:eastAsia="Calibri" w:hAnsi="Calibri"/>
          <w:b/>
          <w:bCs/>
          <w:color w:val="E65100"/>
          <w:sz w:val="21"/>
          <w:szCs w:val="21"/>
        </w:rPr>
        <w:t xml:space="preserve">The rules explained simply</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General rule for selling capital assets: If you sell or transfer a capital asset in a tax year, any profit or gain is taxed as capital gains income in that same year, unless sections 82, 83, 84, 85, 86, 87, 88, or 89 say otherwise[3][4][9].</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Insurance payout for damaged or destroyed assets: If you get money or assets from an insurer due to damage or destruction from flood, typhoon, hurricane, cyclone, earthquake, other natural convulsion, riot, civil disturbance, accidental fire, explosion, or enemy action (with or without war declaration), that payout's profit is taxed as capital gains in the year you receive it; the money's value or fair market value of assets on receipt date counts as the full sale price for calculations[3][4].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Insurance definition: "Insurer" means the same as in section 2(9) of the Insurance Act, 1938[3].</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Payouts from unit linked insurance policies: If you receive any amount, including bonus, from a unit linked insurance policy where the exemption in Schedule II (Table: Sl. No. 2) doesn't apply, the profit is taxed as capital gains in the year received, calculated as prescribed[3][4].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Converting capital asset to business stock: If you convert a capital asset into stock-in-trade for your business or treat it that way, the profit is taxed as income in the year you sell or transfer that stock; fair market value on conversion date counts as the full sale price[3][4].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Transfer of beneficial interest in securities: If you have beneficial interest in securities and the depository or participant transfers it, the profit is taxed as your income in the transfer year; it's not the depository's income (even if they're the registered owner under section 10(1) of Depositories Act, 1996); cost and holding period use first-in-first-out method[3][4].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Definitions for securities: "Beneficial owner," "depository," and "security" mean the same as in section 2(1)(a), (e), and (l) of the Depositories Act, 1996[3].</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Contributing asset to a firm or association: If you transfer a capital asset to a firm, association of persons, or body of individuals (not a company or co-operative society) where you are or become a partner/member, via capital contribution or otherwise, the profit is taxed as your income in the transfer year; book value in their accounts counts as full sale price[3][4].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Receipt from partnership reconstitution: If a specified person gets money or capital asset from a specified entity during its reconstitution, the profit is treated as the entity's capital gains income in the receipt year; calculated as A = B + C – D (A=income; B=money value on receipt; C=fair market value of asset on receipt; D=capital account balance at reconstitution); if A is negative, it's zero; capital balance ignores revaluation increases, self-generated goodwill, or self-generated assets[3][4].</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More on reconstitution: This applies additionally to section 8; tax under section 8 is calculated separately[3].</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Definitions for reconstitution: "Reconstitution of the specified entity," "specified entity," and "specified person" as in section 8; "self-generated goodwill" or "self-generated asset" means goodwill/asset acquired without purchase cost or generated in business/profession[3].</w:t>
      </w:r>
    </w:p>
    <w:p>
      <w:pPr>
        <w:spacing w:before="0" w:after="60"/>
      </w:pPr>
    </w:p>
    <w:p>
      <w:pPr>
        <w:spacing w:before="200" w:after="60"/>
      </w:pPr>
      <w:r>
        <w:rPr>
          <w:rFonts w:ascii="Calibri" w:cs="Calibri" w:eastAsia="Calibri" w:hAnsi="Calibri"/>
          <w:b/>
          <w:bCs/>
          <w:color w:val="E65100"/>
          <w:sz w:val="21"/>
          <w:szCs w:val="21"/>
        </w:rPr>
        <w:t xml:space="preserve">Key thresholds and rates at a glance</w:t>
      </w:r>
    </w:p>
    <w:p>
      <w:pPr>
        <w:spacing w:before="40" w:after="60"/>
        <w:ind w:left="480" w:hanging="240"/>
      </w:pPr>
      <w:r>
        <w:rPr>
          <w:rFonts w:ascii="Calibri" w:cs="Calibri" w:eastAsia="Calibri" w:hAnsi="Calibri"/>
          <w:b/>
          <w:bCs/>
          <w:color w:val="E65100"/>
          <w:sz w:val="19"/>
          <w:szCs w:val="19"/>
        </w:rPr>
        <w:t xml:space="preserve">—  </w:t>
      </w:r>
      <w:r>
        <w:rPr>
          <w:rFonts w:ascii="Calibri" w:cs="Calibri" w:eastAsia="Calibri" w:hAnsi="Calibri"/>
          <w:color w:val="37474F"/>
          <w:sz w:val="19"/>
          <w:szCs w:val="19"/>
        </w:rPr>
        <w:t xml:space="preserve">No specific Rs. thresholds or % rates mentioned in the provision.</w:t>
      </w:r>
    </w:p>
    <w:p>
      <w:pPr>
        <w:spacing w:before="0" w:after="60"/>
      </w:pPr>
    </w:p>
    <w:p>
      <w:pPr>
        <w:spacing w:before="200" w:after="60"/>
      </w:pPr>
      <w:r>
        <w:rPr>
          <w:rFonts w:ascii="Calibri" w:cs="Calibri" w:eastAsia="Calibri" w:hAnsi="Calibri"/>
          <w:b/>
          <w:bCs/>
          <w:color w:val="E65100"/>
          <w:sz w:val="21"/>
          <w:szCs w:val="21"/>
        </w:rPr>
        <w:t xml:space="preserve">What happens if you don't comply</w:t>
      </w:r>
    </w:p>
    <w:p>
      <w:pPr>
        <w:spacing w:before="40" w:after="80"/>
      </w:pPr>
      <w:r>
        <w:rPr>
          <w:rFonts w:ascii="Calibri" w:cs="Calibri" w:eastAsia="Calibri" w:hAnsi="Calibri"/>
          <w:color w:val="37474F"/>
          <w:sz w:val="20"/>
          <w:szCs w:val="20"/>
        </w:rPr>
        <w:t xml:space="preserve">The source text does not mention specific consequences like interest, penalty, or prosecution for non-compliance with these rules.</w:t>
      </w:r>
    </w:p>
    <w:p>
      <w:pPr>
        <w:spacing w:before="0" w:after="60"/>
      </w:pPr>
    </w:p>
    <w:p>
      <w:pPr>
        <w:spacing w:before="200" w:after="60"/>
      </w:pPr>
      <w:r>
        <w:rPr>
          <w:rFonts w:ascii="Calibri" w:cs="Calibri" w:eastAsia="Calibri" w:hAnsi="Calibri"/>
          <w:b/>
          <w:bCs/>
          <w:color w:val="E65100"/>
          <w:sz w:val="21"/>
          <w:szCs w:val="21"/>
        </w:rPr>
        <w:t xml:space="preserve">Worked example</w:t>
      </w:r>
    </w:p>
    <w:p>
      <w:pPr>
        <w:spacing w:before="40" w:after="80"/>
      </w:pPr>
      <w:r>
        <w:rPr>
          <w:rFonts w:ascii="Calibri" w:cs="Calibri" w:eastAsia="Calibri" w:hAnsi="Calibri"/>
          <w:color w:val="37474F"/>
          <w:sz w:val="20"/>
          <w:szCs w:val="20"/>
        </w:rPr>
        <w:t xml:space="preserve">Let's use realistic scenarios for Rajesh, a salaried professional in Mumbai who owns investments, and Priya, who runs a small trading partnership in Delhi. We'll walk through multiple sub-scenarios covering key rules, using Indian rupees and step-by-step math. Assume tax year is FY 2025-26.</w:t>
      </w:r>
    </w:p>
    <w:p>
      <w:pPr>
        <w:spacing w:before="0" w:after="60"/>
      </w:pPr>
    </w:p>
    <w:p>
      <w:pPr>
        <w:spacing w:before="200" w:after="60"/>
      </w:pPr>
      <w:r>
        <w:rPr>
          <w:rFonts w:ascii="Calibri" w:cs="Calibri" w:eastAsia="Calibri" w:hAnsi="Calibri"/>
          <w:b/>
          <w:bCs/>
          <w:color w:val="E65100"/>
          <w:sz w:val="21"/>
          <w:szCs w:val="21"/>
        </w:rPr>
        <w:t xml:space="preserve">Scenario 1: General sale (Rajesh sells land)</w:t>
      </w:r>
    </w:p>
    <w:p>
      <w:pPr>
        <w:spacing w:before="40" w:after="80"/>
      </w:pPr>
      <w:r>
        <w:rPr>
          <w:rFonts w:ascii="Calibri" w:cs="Calibri" w:eastAsia="Calibri" w:hAnsi="Calibri"/>
          <w:color w:val="37474F"/>
          <w:sz w:val="20"/>
          <w:szCs w:val="20"/>
        </w:rPr>
        <w:t xml:space="preserve">Rajesh bought land for ₹50 lakh in 2020 and sells it in 2025 for ₹80 lakh. Profit = ₹80 lakh - ₹50 lakh = ₹30 lakh. Under the general rule, this ₹30 lakh is his capital gains income for 2025-26 tax year (unless exempted elsewhere). He reports it in his return under capital gains head.</w:t>
      </w:r>
    </w:p>
    <w:p>
      <w:pPr>
        <w:spacing w:before="0" w:after="60"/>
      </w:pPr>
    </w:p>
    <w:p>
      <w:pPr>
        <w:spacing w:before="200" w:after="60"/>
      </w:pPr>
      <w:r>
        <w:rPr>
          <w:rFonts w:ascii="Calibri" w:cs="Calibri" w:eastAsia="Calibri" w:hAnsi="Calibri"/>
          <w:b/>
          <w:bCs/>
          <w:color w:val="E65100"/>
          <w:sz w:val="21"/>
          <w:szCs w:val="21"/>
        </w:rPr>
        <w:t xml:space="preserve">Scenario 2: Insurance payout (Priya's factory damaged)</w:t>
      </w:r>
    </w:p>
    <w:p>
      <w:pPr>
        <w:spacing w:before="40" w:after="80"/>
      </w:pPr>
      <w:r>
        <w:rPr>
          <w:rFonts w:ascii="Calibri" w:cs="Calibri" w:eastAsia="Calibri" w:hAnsi="Calibri"/>
          <w:color w:val="37474F"/>
          <w:sz w:val="20"/>
          <w:szCs w:val="20"/>
        </w:rPr>
        <w:t xml:space="preserve">Priya's factory (capital asset, bought for ₹1 crore) is destroyed in a cyclone in 2025. Insurer pays ₹1.2 crore in July 2025. Fair market value on receipt: ₹1.2 crore. Profit = ₹1.2 crore - ₹1 crore = ₹20 lakh. Taxed as her capital gains in 2025-26 (circumstance: cyclone qualifies as natural convulsion). For section 72 (set-off), ₹1.2 crore is deemed full consideration.</w:t>
      </w:r>
    </w:p>
    <w:p>
      <w:pPr>
        <w:spacing w:before="0" w:after="60"/>
      </w:pPr>
    </w:p>
    <w:p>
      <w:pPr>
        <w:spacing w:before="200" w:after="60"/>
      </w:pPr>
      <w:r>
        <w:rPr>
          <w:rFonts w:ascii="Calibri" w:cs="Calibri" w:eastAsia="Calibri" w:hAnsi="Calibri"/>
          <w:b/>
          <w:bCs/>
          <w:color w:val="E65100"/>
          <w:sz w:val="21"/>
          <w:szCs w:val="21"/>
        </w:rPr>
        <w:t xml:space="preserve">Scenario 3: Conversion to stock (Rajesh converts shares)</w:t>
      </w:r>
    </w:p>
    <w:p>
      <w:pPr>
        <w:spacing w:before="40" w:after="80"/>
      </w:pPr>
      <w:r>
        <w:rPr>
          <w:rFonts w:ascii="Calibri" w:cs="Calibri" w:eastAsia="Calibri" w:hAnsi="Calibri"/>
          <w:color w:val="37474F"/>
          <w:sz w:val="20"/>
          <w:szCs w:val="20"/>
        </w:rPr>
        <w:t xml:space="preserve">Rajesh has shares (bought for ₹10 lakh) worth ₹15 lakh FMV in 2025; he converts them to stock-in-trade for his side business. No tax in 2025. In 2026, he sells stock for ₹18 lakh. Profit = ₹18 lakh - ₹15 lakh (FMV at conversion, deemed full consideration) = ₹3 lakh, taxed as business income in 2026 (not capital gains).</w:t>
      </w:r>
    </w:p>
    <w:p>
      <w:pPr>
        <w:spacing w:before="0" w:after="60"/>
      </w:pPr>
    </w:p>
    <w:p>
      <w:pPr>
        <w:spacing w:before="200" w:after="60"/>
      </w:pPr>
      <w:r>
        <w:rPr>
          <w:rFonts w:ascii="Calibri" w:cs="Calibri" w:eastAsia="Calibri" w:hAnsi="Calibri"/>
          <w:b/>
          <w:bCs/>
          <w:color w:val="E65100"/>
          <w:sz w:val="21"/>
          <w:szCs w:val="21"/>
        </w:rPr>
        <w:t xml:space="preserve">Scenario 4: Securities via depository (Rajesh's demat holdings)</w:t>
      </w:r>
    </w:p>
    <w:p>
      <w:pPr>
        <w:spacing w:before="40" w:after="80"/>
      </w:pPr>
      <w:r>
        <w:rPr>
          <w:rFonts w:ascii="Calibri" w:cs="Calibri" w:eastAsia="Calibri" w:hAnsi="Calibri"/>
          <w:color w:val="37474F"/>
          <w:sz w:val="20"/>
          <w:szCs w:val="20"/>
        </w:rPr>
        <w:t xml:space="preserve">Rajesh beneficially owns securities (first bought ₹5 lakh, holding 2 years; later ₹3 lakh, 6 months). Depository transfers some in 2025, profit ₹4 lakh. Taxed as Rajesh's capital gains (not depository's). Cost/holding: FIFO—uses first ₹5 lakh cost and 2-year holding first.</w:t>
      </w:r>
    </w:p>
    <w:p>
      <w:pPr>
        <w:spacing w:before="0" w:after="60"/>
      </w:pPr>
    </w:p>
    <w:p>
      <w:pPr>
        <w:spacing w:before="200" w:after="60"/>
      </w:pPr>
      <w:r>
        <w:rPr>
          <w:rFonts w:ascii="Calibri" w:cs="Calibri" w:eastAsia="Calibri" w:hAnsi="Calibri"/>
          <w:b/>
          <w:bCs/>
          <w:color w:val="E65100"/>
          <w:sz w:val="21"/>
          <w:szCs w:val="21"/>
        </w:rPr>
        <w:t xml:space="preserve">Scenario 5: Contribute to firm (Priya joins partnership)</w:t>
      </w:r>
    </w:p>
    <w:p>
      <w:pPr>
        <w:spacing w:before="40" w:after="80"/>
      </w:pPr>
      <w:r>
        <w:rPr>
          <w:rFonts w:ascii="Calibri" w:cs="Calibri" w:eastAsia="Calibri" w:hAnsi="Calibri"/>
          <w:color w:val="37474F"/>
          <w:sz w:val="20"/>
          <w:szCs w:val="20"/>
        </w:rPr>
        <w:t xml:space="preserve">Priya transfers building (cost ₹40 lakh) to her new firm in 2025, recorded in firm books at ₹60 lakh. Profit = ₹60 lakh (deemed full consideration) - ₹40 lakh = ₹20 lakh, taxed as her capital gains in 2025.</w:t>
      </w:r>
    </w:p>
    <w:p>
      <w:pPr>
        <w:spacing w:before="0" w:after="60"/>
      </w:pPr>
    </w:p>
    <w:p>
      <w:pPr>
        <w:spacing w:before="200" w:after="60"/>
      </w:pPr>
      <w:r>
        <w:rPr>
          <w:rFonts w:ascii="Calibri" w:cs="Calibri" w:eastAsia="Calibri" w:hAnsi="Calibri"/>
          <w:b/>
          <w:bCs/>
          <w:color w:val="E65100"/>
          <w:sz w:val="21"/>
          <w:szCs w:val="21"/>
        </w:rPr>
        <w:t xml:space="preserve">Scenario 6: Partnership reconstitution (Priya's firm winds up)</w:t>
      </w:r>
    </w:p>
    <w:p>
      <w:pPr>
        <w:spacing w:before="40" w:after="80"/>
      </w:pPr>
      <w:r>
        <w:rPr>
          <w:rFonts w:ascii="Calibri" w:cs="Calibri" w:eastAsia="Calibri" w:hAnsi="Calibri"/>
          <w:color w:val="37474F"/>
          <w:sz w:val="20"/>
          <w:szCs w:val="20"/>
        </w:rPr>
        <w:t xml:space="preserve">Priya's firm reconstitutes; she (specified person) receives ₹10 lakh cash (B=₹10 lakh) + asset FMV ₹20 lakh (C=₹20 lakh). Her capital account balance D=₹25 lakh (no revaluation/self-generated goodwill included). A = 10 + 20 - 25 = ₹5 lakh (negative? No, but here positive). If A=-₹2 lakh (say D=₹32 lakh), A=0. This ₹5 lakh is firm's capital gains in receipt year, taxed separately from section 8.</w:t>
      </w:r>
    </w:p>
    <w:p>
      <w:pPr>
        <w:spacing w:before="0" w:after="60"/>
      </w:pPr>
    </w:p>
    <w:p>
      <w:pPr>
        <w:spacing w:before="160" w:after="60"/>
      </w:pPr>
      <w:r>
        <w:rPr>
          <w:rFonts w:ascii="Calibri" w:cs="Calibri" w:eastAsia="Calibri" w:hAnsi="Calibri"/>
          <w:b/>
          <w:bCs/>
          <w:color w:val="E65100"/>
          <w:sz w:val="20"/>
          <w:szCs w:val="20"/>
        </w:rPr>
        <w:t xml:space="preserve">Practical takeaway:  </w:t>
      </w:r>
      <w:r>
        <w:rPr>
          <w:rFonts w:ascii="Calibri" w:cs="Calibri" w:eastAsia="Calibri" w:hAnsi="Calibri"/>
          <w:color w:val="37474F"/>
          <w:sz w:val="20"/>
          <w:szCs w:val="20"/>
        </w:rPr>
        <w:t xml:space="preserve">Remember, most capital gains tax hits in the year of transfer or receipt—track insurance payouts, conversions, and partnership changes closely, and always use fair market value or book values as the "sale price" for these special cases to avoid surprises in your tax return.</w:t>
      </w:r>
    </w:p>
    <w:p>
      <w:pPr>
        <w:spacing w:before="0" w:after="240"/>
      </w:pPr>
    </w:p>
    <w:p>
      <w:pPr>
        <w:spacing w:before="0"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6A1B9A" w:sz="6"/>
              <w:left w:val="single" w:color="6A1B9A" w:sz="6"/>
              <w:bottom w:val="none" w:color="FFFFFF" w:sz="0"/>
              <w:right w:val="none" w:color="FFFFFF" w:sz="0"/>
            </w:tcBorders>
            <w:shd w:fill="F3E5F5" w:val="clear"/>
            <w:tcMar>
              <w:top w:type="dxa" w:w="140"/>
              <w:left w:type="dxa" w:w="280"/>
              <w:bottom w:type="dxa" w:w="140"/>
              <w:right w:type="dxa" w:w="280"/>
            </w:tcMar>
          </w:tcPr>
          <w:p>
            <w:pPr>
              <w:spacing w:before="0" w:after="0"/>
            </w:pPr>
            <w:r>
              <w:rPr>
                <w:rFonts w:ascii="Calibri" w:cs="Calibri" w:eastAsia="Calibri" w:hAnsi="Calibri"/>
                <w:b/>
                <w:bCs/>
                <w:color w:val="6A1B9A"/>
                <w:spacing w:val="120"/>
                <w:sz w:val="18"/>
                <w:szCs w:val="18"/>
              </w:rPr>
              <w:t xml:space="preserve">SECTION 04  </w:t>
            </w:r>
            <w:r>
              <w:rPr>
                <w:rFonts w:ascii="Calibri" w:cs="Calibri" w:eastAsia="Calibri" w:hAnsi="Calibri"/>
                <w:color w:val="546E7A"/>
                <w:sz w:val="18"/>
                <w:szCs w:val="18"/>
              </w:rPr>
              <w:t xml:space="preserve">·  </w:t>
            </w:r>
            <w:r>
              <w:rPr>
                <w:rFonts w:ascii="Georgia" w:cs="Georgia" w:eastAsia="Georgia" w:hAnsi="Georgia"/>
                <w:b/>
                <w:bCs/>
                <w:color w:val="1A237E"/>
                <w:sz w:val="24"/>
                <w:szCs w:val="24"/>
              </w:rPr>
              <w:t xml:space="preserve">Impact of Changes</w:t>
            </w:r>
          </w:p>
        </w:tc>
      </w:tr>
    </w:tbl>
    <w:p>
      <w:pPr>
        <w:pBdr>
          <w:bottom w:val="single" w:color="6A1B9A" w:sz="4"/>
        </w:pBdr>
        <w:spacing w:before="0" w:after="160"/>
      </w:pPr>
    </w:p>
    <w:p>
      <w:pPr>
        <w:spacing w:before="0" w:after="60"/>
      </w:pPr>
    </w:p>
    <w:p>
      <w:pPr>
        <w:spacing w:before="0" w:after="400"/>
      </w:pPr>
    </w:p>
    <w:p>
      <w:pPr>
        <w:pBdr>
          <w:top w:val="single" w:color="1A237E" w:sz="4"/>
        </w:pBdr>
        <w:spacing w:before="200" w:after="100"/>
        <w:jc w:val="center"/>
      </w:pPr>
      <w:r>
        <w:rPr>
          <w:rFonts w:ascii="Georgia" w:cs="Georgia" w:eastAsia="Georgia" w:hAnsi="Georgia"/>
          <w:b/>
          <w:bCs/>
          <w:color w:val="8B6914"/>
          <w:sz w:val="20"/>
          <w:szCs w:val="20"/>
        </w:rPr>
        <w:t xml:space="preserve">TaxGenie</w:t>
      </w:r>
      <w:r>
        <w:rPr>
          <w:rFonts w:ascii="Calibri" w:cs="Calibri" w:eastAsia="Calibri" w:hAnsi="Calibri"/>
          <w:i/>
          <w:iCs/>
          <w:color w:val="546E7A"/>
          <w:sz w:val="18"/>
          <w:szCs w:val="18"/>
        </w:rPr>
        <w:t xml:space="preserve">  ·  Bridging 1961 to 2025 in One Click  ·  Powered by Gemini AI</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2"/>
      </w:pBdr>
      <w:tabs>
        <w:tab w:val="right" w:pos="9026"/>
      </w:tabs>
      <w:spacing w:before="80" w:after="0"/>
    </w:pPr>
    <w:r>
      <w:rPr>
        <w:rFonts w:ascii="Calibri" w:cs="Calibri" w:eastAsia="Calibri" w:hAnsi="Calibri"/>
        <w:i/>
        <w:iCs/>
        <w:color w:val="546E7A"/>
        <w:sz w:val="16"/>
        <w:szCs w:val="16"/>
      </w:rPr>
      <w:t xml:space="preserve">Powered by Gemini AI  ·  Based on Actual Act Text</w:t>
    </w:r>
    <w:r>
      <w:rPr>
        <w:rFonts w:ascii="Calibri" w:cs="Calibri" w:eastAsia="Calibri" w:hAnsi="Calibri"/>
        <w:color w:val="546E7A"/>
        <w:sz w:val="16"/>
        <w:szCs w:val="16"/>
      </w:rPr>
      <w:t xml:space="preserve">	Page </w:t>
    </w:r>
    <w:r>
      <w:rPr>
        <w:rFonts w:ascii="Calibri" w:cs="Calibri" w:eastAsia="Calibri" w:hAnsi="Calibri"/>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pBdr>
      <w:tabs>
        <w:tab w:val="right" w:pos="9026"/>
      </w:tabs>
      <w:spacing w:before="0" w:after="80"/>
    </w:pPr>
    <w:r>
      <w:rPr>
        <w:rFonts w:ascii="Calibri" w:cs="Calibri" w:eastAsia="Calibri" w:hAnsi="Calibri"/>
        <w:b/>
        <w:bCs/>
        <w:color w:val="1A237E"/>
        <w:sz w:val="16"/>
        <w:szCs w:val="16"/>
      </w:rPr>
      <w:t xml:space="preserve">TaxGenie</w:t>
    </w:r>
    <w:r>
      <w:rPr>
        <w:rFonts w:ascii="Calibri" w:cs="Calibri" w:eastAsia="Calibri" w:hAnsi="Calibri"/>
        <w:color w:val="546E7A"/>
        <w:sz w:val="16"/>
        <w:szCs w:val="16"/>
      </w:rPr>
      <w:t xml:space="preserve">  ·  Income Tax Act 1961 vs 2025</w:t>
    </w:r>
    <w:r>
      <w:rPr>
        <w:rFonts w:ascii="Calibri" w:cs="Calibri" w:eastAsia="Calibri" w:hAnsi="Calibri"/>
        <w:i/>
        <w:iCs/>
        <w:color w:val="546E7A"/>
        <w:sz w:val="16"/>
        <w:szCs w:val="16"/>
      </w:rPr>
      <w:t xml:space="preserve">	Capital Gain Section 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2026-03-04T05:21:21.376Z</dcterms:created>
  <dcterms:modified xsi:type="dcterms:W3CDTF">2026-03-04T05:21:21.376Z</dcterms:modified>
</cp:coreProperties>
</file>

<file path=docProps/custom.xml><?xml version="1.0" encoding="utf-8"?>
<Properties xmlns="http://schemas.openxmlformats.org/officeDocument/2006/custom-properties" xmlns:vt="http://schemas.openxmlformats.org/officeDocument/2006/docPropsVTypes"/>
</file>