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none" w:color="FFFFFF" w:sz="0"/>
              <w:bottom w:val="none" w:color="FFFFFF" w:sz="0"/>
              <w:right w:val="none" w:color="FFFFFF" w:sz="0"/>
            </w:tcBorders>
            <w:shd w:fill="1A237E" w:val="clear"/>
            <w:tcMar>
              <w:top w:type="dxa" w:w="800"/>
              <w:left w:type="dxa" w:w="600"/>
              <w:bottom w:type="dxa" w:w="800"/>
              <w:right w:type="dxa" w:w="600"/>
            </w:tcMar>
          </w:tcPr>
          <w:p>
            <w:pPr>
              <w:spacing w:before="0" w:after="80"/>
              <w:jc w:val="center"/>
            </w:pPr>
            <w:r>
              <w:rPr>
                <w:rFonts w:ascii="Calibri" w:cs="Calibri" w:eastAsia="Calibri" w:hAnsi="Calibri"/>
                <w:color w:val="C9A84C"/>
                <w:sz w:val="52"/>
                <w:szCs w:val="52"/>
              </w:rPr>
              <w:t xml:space="preserve">⚖</w:t>
            </w:r>
          </w:p>
          <w:p>
            <w:pPr>
              <w:spacing w:before="0" w:after="60"/>
              <w:jc w:val="center"/>
            </w:pPr>
            <w:r>
              <w:rPr>
                <w:rFonts w:ascii="Georgia" w:cs="Georgia" w:eastAsia="Georgia" w:hAnsi="Georgia"/>
                <w:b/>
                <w:bCs/>
                <w:color w:val="C9A84C"/>
                <w:sz w:val="88"/>
                <w:szCs w:val="88"/>
              </w:rPr>
              <w:t xml:space="preserve">TaxGenie</w:t>
            </w:r>
          </w:p>
          <w:p>
            <w:pPr>
              <w:spacing w:before="0" w:after="200"/>
              <w:jc w:val="center"/>
            </w:pPr>
            <w:r>
              <w:rPr>
                <w:rFonts w:ascii="Calibri" w:cs="Calibri" w:eastAsia="Calibri" w:hAnsi="Calibri"/>
                <w:i/>
                <w:iCs/>
                <w:color w:val="B0BEC5"/>
                <w:sz w:val="22"/>
                <w:szCs w:val="22"/>
              </w:rPr>
              <w:t xml:space="preserve">Where Every Tax Query Finds an Answer</w:t>
            </w:r>
          </w:p>
          <w:p>
            <w:pPr>
              <w:pBdr>
                <w:bottom w:val="single" w:color="8B6914" w:sz="4"/>
              </w:pBdr>
              <w:spacing w:before="0" w:after="200"/>
            </w:pPr>
          </w:p>
          <w:p>
            <w:pPr>
              <w:spacing w:before="0" w:after="120"/>
              <w:jc w:val="center"/>
            </w:pPr>
            <w:r>
              <w:rPr>
                <w:rFonts w:ascii="Calibri" w:cs="Calibri" w:eastAsia="Calibri" w:hAnsi="Calibri"/>
                <w:b/>
                <w:bCs/>
                <w:color w:val="90A4AE"/>
                <w:spacing w:val="160"/>
                <w:sz w:val="18"/>
                <w:szCs w:val="18"/>
              </w:rPr>
              <w:t xml:space="preserve">INCOME TAX KEY SUMMARY REPORT</w:t>
            </w:r>
          </w:p>
          <w:p>
            <w:pPr>
              <w:spacing w:before="0" w:after="40"/>
            </w:pPr>
            <w:r>
              <w:rPr>
                <w:rFonts w:ascii="Calibri" w:cs="Calibri" w:eastAsia="Calibri" w:hAnsi="Calibri"/>
                <w:b/>
                <w:bCs/>
                <w:color w:val="78909C"/>
                <w:spacing w:val="200"/>
                <w:sz w:val="16"/>
                <w:szCs w:val="16"/>
              </w:rPr>
              <w:t xml:space="preserve">SECTION / TOPIC</w:t>
            </w:r>
          </w:p>
          <w:p>
            <w:pPr>
              <w:spacing w:before="0" w:after="200"/>
            </w:pPr>
            <w:r>
              <w:rPr>
                <w:rFonts w:ascii="Georgia" w:cs="Georgia" w:eastAsia="Georgia" w:hAnsi="Georgia"/>
                <w:b/>
                <w:bCs/>
                <w:color w:val="FFFFFF"/>
                <w:sz w:val="30"/>
                <w:szCs w:val="30"/>
              </w:rPr>
              <w:t xml:space="preserve">TDS on salary Section 192</w:t>
            </w:r>
          </w:p>
          <w:p>
            <w:pPr>
              <w:spacing w:before="0" w:after="40"/>
              <w:jc w:val="center"/>
            </w:pPr>
            <w:r>
              <w:rPr>
                <w:rFonts w:ascii="Calibri" w:cs="Calibri" w:eastAsia="Calibri" w:hAnsi="Calibri"/>
                <w:color w:val="90A4AE"/>
                <w:sz w:val="18"/>
                <w:szCs w:val="18"/>
              </w:rPr>
              <w:t xml:space="preserve">Generated on  </w:t>
            </w:r>
            <w:r>
              <w:rPr>
                <w:rFonts w:ascii="Calibri" w:cs="Calibri" w:eastAsia="Calibri" w:hAnsi="Calibri"/>
                <w:b/>
                <w:bCs/>
                <w:color w:val="C9A84C"/>
                <w:sz w:val="18"/>
                <w:szCs w:val="18"/>
              </w:rPr>
              <w:t xml:space="preserve">04 March 2026, 03:03 PM</w:t>
            </w:r>
          </w:p>
          <w:p>
            <w:pPr>
              <w:spacing w:before="0" w:after="0"/>
              <w:jc w:val="center"/>
            </w:pPr>
            <w:r>
              <w:rPr>
                <w:rFonts w:ascii="Calibri" w:cs="Calibri" w:eastAsia="Calibri" w:hAnsi="Calibri"/>
                <w:i/>
                <w:iCs/>
                <w:color w:val="546E7A"/>
                <w:sz w:val="16"/>
                <w:szCs w:val="16"/>
              </w:rPr>
              <w:t xml:space="preserve">Based on Actual 2025 Act Text</w:t>
            </w:r>
          </w:p>
        </w:tc>
      </w:tr>
    </w:tbl>
    <w:p>
      <w:pPr>
        <w:spacing w:before="0" w:after="0"/>
      </w:pPr>
      <w:r>
        <w:br w:type="page"/>
      </w: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565C0" w:sz="6"/>
              <w:left w:val="single" w:color="1565C0" w:sz="6"/>
              <w:bottom w:val="none" w:color="FFFFFF" w:sz="0"/>
              <w:right w:val="none" w:color="FFFFFF" w:sz="0"/>
            </w:tcBorders>
            <w:shd w:fill="E8EBF5"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What this provision does</w:t>
            </w:r>
          </w:p>
        </w:tc>
      </w:tr>
    </w:tbl>
    <w:p>
      <w:pPr>
        <w:pBdr>
          <w:bottom w:val="single" w:color="1565C0" w:sz="4"/>
        </w:pBdr>
        <w:spacing w:before="0" w:after="160"/>
      </w:pPr>
    </w:p>
    <w:p>
      <w:pPr>
        <w:spacing w:before="40" w:after="80"/>
      </w:pPr>
      <w:r>
        <w:rPr>
          <w:rFonts w:ascii="Calibri" w:cs="Calibri" w:eastAsia="Calibri" w:hAnsi="Calibri"/>
          <w:color w:val="37474F"/>
          <w:sz w:val="20"/>
          <w:szCs w:val="20"/>
        </w:rPr>
        <w:t xml:space="preserve">This provision requires anyone paying salary or certain accumulated balances to an employee to deduct tax at source before handing over the money. It ensures the government gets tax on salary income upfront by having the payer calculate and cut the right amount based on the employee's estimated yearly earnings. It also covers special cases like non-cash benefits, start-up stock options, and provident fund withdrawals to make tax collection smooth and fair.</w:t>
      </w:r>
    </w:p>
    <w:p>
      <w:pPr>
        <w:spacing w:before="0" w:after="240"/>
      </w:pP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2E7D32" w:sz="6"/>
              <w:left w:val="single" w:color="2E7D32" w:sz="6"/>
              <w:bottom w:val="none" w:color="FFFFFF" w:sz="0"/>
              <w:right w:val="none" w:color="FFFFFF" w:sz="0"/>
            </w:tcBorders>
            <w:shd w:fill="E8F5E9"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Who it applies to</w:t>
            </w:r>
          </w:p>
        </w:tc>
      </w:tr>
    </w:tbl>
    <w:p>
      <w:pPr>
        <w:pBdr>
          <w:bottom w:val="single" w:color="2E7D32" w:sz="4"/>
        </w:pBdr>
        <w:spacing w:before="0" w:after="160"/>
      </w:pPr>
    </w:p>
    <w:p>
      <w:pPr>
        <w:spacing w:before="40" w:after="80"/>
      </w:pPr>
      <w:r>
        <w:rPr>
          <w:rFonts w:ascii="Calibri" w:cs="Calibri" w:eastAsia="Calibri" w:hAnsi="Calibri"/>
          <w:color w:val="37474F"/>
          <w:sz w:val="20"/>
          <w:szCs w:val="20"/>
        </w:rPr>
        <w:t xml:space="preserve">It applies to every person or entity paying salary, including employers, provident fund trustees, superannuation fund trustees, and authorised persons under the Employees’ Provident Funds Scheme, 1952. This affects employees receiving salary, perquisites, or accumulated balances, whether from one job or multiple, including government servants and those in companies, co-operative societies, local authorities, universities, institutions, associations, or bodies. It includes eligible start-ups paying stock options or sweat equity, but trustees deduct only in specific cases outlined.</w:t>
      </w:r>
    </w:p>
    <w:p>
      <w:pPr>
        <w:spacing w:before="0" w:after="240"/>
      </w:pP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A1B9A" w:sz="6"/>
              <w:left w:val="single" w:color="6A1B9A" w:sz="6"/>
              <w:bottom w:val="none" w:color="FFFFFF" w:sz="0"/>
              <w:right w:val="none" w:color="FFFFFF" w:sz="0"/>
            </w:tcBorders>
            <w:shd w:fill="F3E5F5"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The rules explained simply</w:t>
            </w:r>
          </w:p>
        </w:tc>
      </w:tr>
    </w:tbl>
    <w:p>
      <w:pPr>
        <w:pBdr>
          <w:bottom w:val="single" w:color="6A1B9A" w:sz="4"/>
        </w:pBdr>
        <w:spacing w:before="0" w:after="160"/>
      </w:pP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The person paying salary must deduct tax at the time of payment, using the average tax rate for that tax year based on the employee's estimated total salary income for the year.</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For non-monetary perks (like benefits not paid in cash that are taxable as salary), the payer can choose to pay the tax themselves on all or part of it instead of deducting from salary, at the same average rate on total salary including the perk, and it's treated as tax deducted at source from salary.</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An eligible start-up (as defined in section 140) paying income from specified securities or sweat equity shares (a type of stock option perk under salary rules) must deduct or pay tax on it using rates from the tax year when those shares were allotted or transferred, within the time specified for the employee in section 289(3).</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When calculating tax to deduct from salary, the payer must consider details the employee provides (in a prescribed form): salary from other employers in the same tax year, relief under section 157 (for certain government servants or employees in companies etc. getting arrears relief), loss from house property that year, other income (not losses except house property), and tax already deducted or collected at source that year; these can increase or decrease the tax deducted.</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However, salary tax deduction cannot be reduced except for house property losses or tax already deducted/collected under other rules in this chapter.</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The salary payer must give the employee a statement with correct details of all perks or profits in place of salary and their value; they must also get proof or evidence from the employee for any claims (like loss set-off) used in estimating income or tax; and they can adjust future deductions up or down during the year to fix any over or under-deduction from before.</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Trustees of a recognised provident fund (or authorised person) must deduct tax as per paragraph 10 of Part A of Schedule XI when paying an employee's accumulated balance if paragraph 9 of that Part applies.</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When trustees of an approved superannuation fund pay an employee the employer's contributions (including any interest) from the fund, they must deduct tax on that amount as specified in paragraph 7 of Part B of Schedule XI.</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Trustees of the Employees’ Provident Funds Scheme, 1952 (or authorised persons) must deduct income-tax at 10% when paying accumulated balance to an employee from a recognised provident fund, if the total payment is ₹50000 or more and it's taxable because paragraph 8 of Part A of Schedule XI does not apply.</w:t>
      </w:r>
    </w:p>
    <w:p>
      <w:pPr>
        <w:spacing w:before="40" w:after="60"/>
        <w:ind w:left="480" w:hanging="240"/>
      </w:pPr>
      <w:r>
        <w:rPr>
          <w:rFonts w:ascii="Calibri" w:cs="Calibri" w:eastAsia="Calibri" w:hAnsi="Calibri"/>
          <w:b/>
          <w:bCs/>
          <w:color w:val="6A1B9A"/>
          <w:sz w:val="19"/>
          <w:szCs w:val="19"/>
        </w:rPr>
        <w:t xml:space="preserve">—  </w:t>
      </w:r>
      <w:r>
        <w:rPr>
          <w:rFonts w:ascii="Calibri" w:cs="Calibri" w:eastAsia="Calibri" w:hAnsi="Calibri"/>
          <w:color w:val="37474F"/>
          <w:sz w:val="19"/>
          <w:szCs w:val="19"/>
        </w:rPr>
        <w:t xml:space="preserve">For salary paid in foreign currency, convert it to rupees using the exchange rate prescribed by rules.</w:t>
      </w:r>
    </w:p>
    <w:p>
      <w:pPr>
        <w:spacing w:before="0" w:after="240"/>
      </w:pP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B45309" w:sz="6"/>
              <w:left w:val="single" w:color="B45309" w:sz="6"/>
              <w:bottom w:val="none" w:color="FFFFFF" w:sz="0"/>
              <w:right w:val="none" w:color="FFFFFF" w:sz="0"/>
            </w:tcBorders>
            <w:shd w:fill="FFF8E1"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Key thresholds and rates</w:t>
            </w:r>
          </w:p>
        </w:tc>
      </w:tr>
    </w:tbl>
    <w:p>
      <w:pPr>
        <w:pBdr>
          <w:bottom w:val="single" w:color="B45309" w:sz="4"/>
        </w:pBdr>
        <w:spacing w:before="0" w:after="160"/>
      </w:pPr>
    </w:p>
    <w:p>
      <w:pPr>
        <w:spacing w:before="40" w:after="60"/>
        <w:ind w:left="480" w:hanging="240"/>
      </w:pPr>
      <w:r>
        <w:rPr>
          <w:rFonts w:ascii="Calibri" w:cs="Calibri" w:eastAsia="Calibri" w:hAnsi="Calibri"/>
          <w:b/>
          <w:bCs/>
          <w:color w:val="B45309"/>
          <w:sz w:val="19"/>
          <w:szCs w:val="19"/>
        </w:rPr>
        <w:t xml:space="preserve">—  </w:t>
      </w:r>
      <w:r>
        <w:rPr>
          <w:rFonts w:ascii="Calibri" w:cs="Calibri" w:eastAsia="Calibri" w:hAnsi="Calibri"/>
          <w:color w:val="37474F"/>
          <w:sz w:val="19"/>
          <w:szCs w:val="19"/>
        </w:rPr>
        <w:t xml:space="preserve">₹50000 or more aggregate payment triggers 10% tax deduction on certain provident fund accumulated balances.</w:t>
      </w:r>
    </w:p>
    <w:p>
      <w:pPr>
        <w:spacing w:before="40" w:after="60"/>
        <w:ind w:left="480" w:hanging="240"/>
      </w:pPr>
      <w:r>
        <w:rPr>
          <w:rFonts w:ascii="Calibri" w:cs="Calibri" w:eastAsia="Calibri" w:hAnsi="Calibri"/>
          <w:b/>
          <w:bCs/>
          <w:color w:val="B45309"/>
          <w:sz w:val="19"/>
          <w:szCs w:val="19"/>
        </w:rPr>
        <w:t xml:space="preserve">—  </w:t>
      </w:r>
      <w:r>
        <w:rPr>
          <w:rFonts w:ascii="Calibri" w:cs="Calibri" w:eastAsia="Calibri" w:hAnsi="Calibri"/>
          <w:color w:val="37474F"/>
          <w:sz w:val="19"/>
          <w:szCs w:val="19"/>
        </w:rPr>
        <w:t xml:space="preserve">10% tax rate on qualifying provident fund withdrawals.</w:t>
      </w:r>
    </w:p>
    <w:p>
      <w:pPr>
        <w:spacing w:before="40" w:after="60"/>
        <w:ind w:left="480" w:hanging="240"/>
      </w:pPr>
      <w:r>
        <w:rPr>
          <w:rFonts w:ascii="Calibri" w:cs="Calibri" w:eastAsia="Calibri" w:hAnsi="Calibri"/>
          <w:b/>
          <w:bCs/>
          <w:color w:val="B45309"/>
          <w:sz w:val="19"/>
          <w:szCs w:val="19"/>
        </w:rPr>
        <w:t xml:space="preserve">—  </w:t>
      </w:r>
      <w:r>
        <w:rPr>
          <w:rFonts w:ascii="Calibri" w:cs="Calibri" w:eastAsia="Calibri" w:hAnsi="Calibri"/>
          <w:color w:val="37474F"/>
          <w:sz w:val="19"/>
          <w:szCs w:val="19"/>
        </w:rPr>
        <w:t xml:space="preserve">Average rate of income-tax for the tax year on estimated salary income.</w:t>
      </w:r>
    </w:p>
    <w:p>
      <w:pPr>
        <w:spacing w:before="0" w:after="240"/>
      </w:pP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C62828" w:sz="6"/>
              <w:left w:val="single" w:color="C62828" w:sz="6"/>
              <w:bottom w:val="none" w:color="FFFFFF" w:sz="0"/>
              <w:right w:val="none" w:color="FFFFFF" w:sz="0"/>
            </w:tcBorders>
            <w:shd w:fill="FFEBEE"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What happens if you don't comply</w:t>
            </w:r>
          </w:p>
        </w:tc>
      </w:tr>
    </w:tbl>
    <w:p>
      <w:pPr>
        <w:pBdr>
          <w:bottom w:val="single" w:color="C62828" w:sz="4"/>
        </w:pBdr>
        <w:spacing w:before="0" w:after="160"/>
      </w:pPr>
    </w:p>
    <w:p>
      <w:pPr>
        <w:spacing w:before="40" w:after="80"/>
      </w:pPr>
      <w:r>
        <w:rPr>
          <w:rFonts w:ascii="Calibri" w:cs="Calibri" w:eastAsia="Calibri" w:hAnsi="Calibri"/>
          <w:color w:val="37474F"/>
          <w:sz w:val="20"/>
          <w:szCs w:val="20"/>
        </w:rPr>
        <w:t xml:space="preserve">The source text does not specify consequences like interest, penalty, or prosecution here; these are covered under other general provisions in the Act for tax deduction failures.</w:t>
      </w:r>
    </w:p>
    <w:p>
      <w:pPr>
        <w:spacing w:before="0" w:after="240"/>
      </w:pPr>
    </w:p>
    <w:p>
      <w:pPr>
        <w:spacing w:before="0"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00695C" w:sz="6"/>
              <w:left w:val="single" w:color="00695C" w:sz="6"/>
              <w:bottom w:val="none" w:color="FFFFFF" w:sz="0"/>
              <w:right w:val="none" w:color="FFFFFF" w:sz="0"/>
            </w:tcBorders>
            <w:shd w:fill="E0F2F1" w:val="clear"/>
            <w:tcMar>
              <w:top w:type="dxa" w:w="140"/>
              <w:left w:type="dxa" w:w="280"/>
              <w:bottom w:type="dxa" w:w="140"/>
              <w:right w:type="dxa" w:w="280"/>
            </w:tcMar>
          </w:tcPr>
          <w:p>
            <w:pPr>
              <w:spacing w:before="0" w:after="0"/>
            </w:pPr>
            <w:r>
              <w:rPr>
                <w:rFonts w:ascii="Georgia" w:cs="Georgia" w:eastAsia="Georgia" w:hAnsi="Georgia"/>
                <w:b/>
                <w:bCs/>
                <w:color w:val="1A237E"/>
                <w:sz w:val="24"/>
                <w:szCs w:val="24"/>
              </w:rPr>
              <w:t xml:space="preserve">Worked example</w:t>
            </w:r>
          </w:p>
        </w:tc>
      </w:tr>
    </w:tbl>
    <w:p>
      <w:pPr>
        <w:pBdr>
          <w:bottom w:val="single" w:color="00695C" w:sz="4"/>
        </w:pBdr>
        <w:spacing w:before="0" w:after="160"/>
      </w:pPr>
    </w:p>
    <w:p>
      <w:pPr>
        <w:spacing w:before="40" w:after="80"/>
      </w:pPr>
      <w:r>
        <w:rPr>
          <w:rFonts w:ascii="Calibri" w:cs="Calibri" w:eastAsia="Calibri" w:hAnsi="Calibri"/>
          <w:color w:val="37474F"/>
          <w:sz w:val="20"/>
          <w:szCs w:val="20"/>
        </w:rPr>
        <w:t xml:space="preserve">Let's walk through realistic scenarios for Priya, a salaried software engineer in Bangalore, and Rajesh, a business owner paying salary to his employee. We'll cover multiple sub-rules step by step using Indian figures.</w:t>
      </w:r>
    </w:p>
    <w:p>
      <w:pPr>
        <w:spacing w:before="0" w:after="240"/>
      </w:pPr>
    </w:p>
    <w:p>
      <w:pPr>
        <w:pBdr>
          <w:top w:val="single" w:color="1A237E" w:sz="4"/>
        </w:pBdr>
        <w:spacing w:before="200" w:after="100"/>
        <w:jc w:val="center"/>
      </w:pPr>
      <w:r>
        <w:rPr>
          <w:rFonts w:ascii="Georgia" w:cs="Georgia" w:eastAsia="Georgia" w:hAnsi="Georgia"/>
          <w:b/>
          <w:bCs/>
          <w:color w:val="8B6914"/>
          <w:sz w:val="20"/>
          <w:szCs w:val="20"/>
        </w:rPr>
        <w:t xml:space="preserve">TaxGenie</w:t>
      </w:r>
      <w:r>
        <w:rPr>
          <w:rFonts w:ascii="Calibri" w:cs="Calibri" w:eastAsia="Calibri" w:hAnsi="Calibri"/>
          <w:i/>
          <w:iCs/>
          <w:color w:val="546E7A"/>
          <w:sz w:val="18"/>
          <w:szCs w:val="18"/>
        </w:rPr>
        <w:t xml:space="preserve">  Where Every Tax Query Finds an Answer </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2"/>
      </w:pBdr>
      <w:tabs>
        <w:tab w:val="right" w:pos="9026"/>
      </w:tabs>
      <w:spacing w:before="80" w:after="0"/>
    </w:pPr>
    <w:r>
      <w:rPr>
        <w:rFonts w:ascii="Calibri" w:cs="Calibri" w:eastAsia="Calibri" w:hAnsi="Calibri"/>
        <w:i/>
        <w:iCs/>
        <w:color w:val="546E7A"/>
        <w:sz w:val="16"/>
        <w:szCs w:val="16"/>
      </w:rPr>
      <w:t xml:space="preserve">Based on Actual 2025 Act Text</w:t>
    </w:r>
    <w:r>
      <w:rPr>
        <w:rFonts w:ascii="Calibri" w:cs="Calibri" w:eastAsia="Calibri" w:hAnsi="Calibri"/>
        <w:color w:val="546E7A"/>
        <w:sz w:val="16"/>
        <w:szCs w:val="16"/>
      </w:rPr>
      <w:t xml:space="preserve">	Page </w:t>
    </w:r>
    <w:r>
      <w:rPr>
        <w:rFonts w:ascii="Calibri" w:cs="Calibri" w:eastAsia="Calibri" w:hAnsi="Calibri"/>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pBdr>
      <w:tabs>
        <w:tab w:val="right" w:pos="9026"/>
      </w:tabs>
      <w:spacing w:before="0" w:after="80"/>
    </w:pPr>
    <w:r>
      <w:rPr>
        <w:rFonts w:ascii="Calibri" w:cs="Calibri" w:eastAsia="Calibri" w:hAnsi="Calibri"/>
        <w:b/>
        <w:bCs/>
        <w:color w:val="1A237E"/>
        <w:sz w:val="16"/>
        <w:szCs w:val="16"/>
      </w:rPr>
      <w:t xml:space="preserve">TaxGenie</w:t>
    </w:r>
    <w:r>
      <w:rPr>
        <w:rFonts w:ascii="Calibri" w:cs="Calibri" w:eastAsia="Calibri" w:hAnsi="Calibri"/>
        <w:color w:val="546E7A"/>
        <w:sz w:val="16"/>
        <w:szCs w:val="16"/>
      </w:rPr>
      <w:t xml:space="preserve">  ·  Income Tax Act 2025 — Key Summary</w:t>
    </w:r>
    <w:r>
      <w:rPr>
        <w:rFonts w:ascii="Calibri" w:cs="Calibri" w:eastAsia="Calibri" w:hAnsi="Calibri"/>
        <w:i/>
        <w:iCs/>
        <w:color w:val="546E7A"/>
        <w:sz w:val="16"/>
        <w:szCs w:val="16"/>
      </w:rPr>
      <w:t xml:space="preserve">	TDS on salary Section 192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2026-03-04T09:33:57.361Z</dcterms:created>
  <dcterms:modified xsi:type="dcterms:W3CDTF">2026-03-04T09:33:57.362Z</dcterms:modified>
</cp:coreProperties>
</file>

<file path=docProps/custom.xml><?xml version="1.0" encoding="utf-8"?>
<Properties xmlns="http://schemas.openxmlformats.org/officeDocument/2006/custom-properties" xmlns:vt="http://schemas.openxmlformats.org/officeDocument/2006/docPropsVTypes"/>
</file>