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bnopavv80qj" w:id="0"/>
      <w:bookmarkEnd w:id="0"/>
      <w:r w:rsidDel="00000000" w:rsidR="00000000" w:rsidRPr="00000000">
        <w:rPr>
          <w:rtl w:val="0"/>
        </w:rPr>
        <w:t xml:space="preserve">Preliminary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1ha8tigu23o0" w:id="1"/>
      <w:bookmarkEnd w:id="1"/>
      <w:r w:rsidDel="00000000" w:rsidR="00000000" w:rsidRPr="00000000">
        <w:rPr>
          <w:rtl w:val="0"/>
        </w:rPr>
        <w:t xml:space="preserve">Basics:</w:t>
      </w:r>
    </w:p>
    <w:p w:rsidR="00000000" w:rsidDel="00000000" w:rsidP="00000000" w:rsidRDefault="00000000" w:rsidRPr="00000000" w14:paraId="00000004">
      <w:pPr>
        <w:pStyle w:val="Heading2"/>
        <w:rPr/>
      </w:pPr>
      <w:bookmarkStart w:colFirst="0" w:colLast="0" w:name="_e629n9ckxhos" w:id="2"/>
      <w:bookmarkEnd w:id="2"/>
      <w:r w:rsidDel="00000000" w:rsidR="00000000" w:rsidRPr="00000000">
        <w:rPr>
          <w:rtl w:val="0"/>
        </w:rPr>
        <w:t xml:space="preserve">Team Lead: Kevin Puduseril</w:t>
      </w:r>
    </w:p>
    <w:p w:rsidR="00000000" w:rsidDel="00000000" w:rsidP="00000000" w:rsidRDefault="00000000" w:rsidRPr="00000000" w14:paraId="00000005">
      <w:pPr>
        <w:pStyle w:val="Heading2"/>
        <w:rPr/>
      </w:pPr>
      <w:bookmarkStart w:colFirst="0" w:colLast="0" w:name="_w81bnk8low9b" w:id="3"/>
      <w:bookmarkEnd w:id="3"/>
      <w:r w:rsidDel="00000000" w:rsidR="00000000" w:rsidRPr="00000000">
        <w:rPr>
          <w:rtl w:val="0"/>
        </w:rPr>
        <w:t xml:space="preserve">Recorder: Max Tuttle</w:t>
      </w:r>
    </w:p>
    <w:p w:rsidR="00000000" w:rsidDel="00000000" w:rsidP="00000000" w:rsidRDefault="00000000" w:rsidRPr="00000000" w14:paraId="00000006">
      <w:pPr>
        <w:pStyle w:val="Heading2"/>
        <w:rPr/>
      </w:pPr>
      <w:bookmarkStart w:colFirst="0" w:colLast="0" w:name="_lrep3hna3gsl" w:id="4"/>
      <w:bookmarkEnd w:id="4"/>
      <w:r w:rsidDel="00000000" w:rsidR="00000000" w:rsidRPr="00000000">
        <w:rPr>
          <w:rtl w:val="0"/>
        </w:rPr>
        <w:t xml:space="preserve">Spokesperson: Melissa Best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dho7oaizddew" w:id="5"/>
      <w:bookmarkEnd w:id="5"/>
      <w:r w:rsidDel="00000000" w:rsidR="00000000" w:rsidRPr="00000000">
        <w:rPr>
          <w:rtl w:val="0"/>
        </w:rPr>
        <w:t xml:space="preserve">Preliminary Project Title: Exploring the Impact of Renewable Energy Investment on Fossil Fuel Electricity Generation in the United States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15u5d1r2d2em" w:id="6"/>
      <w:bookmarkEnd w:id="6"/>
      <w:r w:rsidDel="00000000" w:rsidR="00000000" w:rsidRPr="00000000">
        <w:rPr>
          <w:rtl w:val="0"/>
        </w:rPr>
        <w:t xml:space="preserve">Background &amp; Question</w:t>
      </w:r>
    </w:p>
    <w:p w:rsidR="00000000" w:rsidDel="00000000" w:rsidP="00000000" w:rsidRDefault="00000000" w:rsidRPr="00000000" w14:paraId="0000000B">
      <w:pPr>
        <w:spacing w:line="360" w:lineRule="auto"/>
        <w:rPr>
          <w:i w:val="1"/>
        </w:rPr>
      </w:pPr>
      <w:r w:rsidDel="00000000" w:rsidR="00000000" w:rsidRPr="00000000">
        <w:rPr>
          <w:rtl w:val="0"/>
        </w:rPr>
        <w:t xml:space="preserve">As the importance of climate change grows, the global energy sector has come under close examination. One urgent topic is the need to reduce carbon emissions by shifting from fossil fuels to renewable energy sources. Despite growing investments in solar, wind, and hydroelectric power, fossil fuels like coal and natural gas still dominate U.S. electricity generation. This raises a crucial question: </w:t>
      </w:r>
      <w:r w:rsidDel="00000000" w:rsidR="00000000" w:rsidRPr="00000000">
        <w:rPr>
          <w:i w:val="1"/>
          <w:rtl w:val="0"/>
        </w:rPr>
        <w:t xml:space="preserve">Does an increase in renewable energy generation notably reduce fossil fuel-based electricity generation at the state level in the United States?</w:t>
      </w:r>
    </w:p>
    <w:p w:rsidR="00000000" w:rsidDel="00000000" w:rsidP="00000000" w:rsidRDefault="00000000" w:rsidRPr="00000000" w14:paraId="0000000C">
      <w:pPr>
        <w:spacing w:line="360" w:lineRule="auto"/>
        <w:rPr>
          <w:i w:val="1"/>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 Many studies have surveyed national-level energy transitions (IEA, 2023; Carley &amp; Konisky, 2020) or the performance of individual renewable sectors (IRENA, 2022), yet few examine whether clean energy adoption truly displaces fossil generation at the state level. </w:t>
      </w:r>
      <w:r w:rsidDel="00000000" w:rsidR="00000000" w:rsidRPr="00000000">
        <w:rPr>
          <w:rtl w:val="0"/>
        </w:rPr>
        <w:t xml:space="preserve">Comprehending this dynamic can lead policymakers in allotting subsidies, modernizing grid infrastructure, and establishing realistic decarbonization timelines.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This question is worth exploring because the answer has both environmental and economic implications. If renewables are in fact crowding out fossil fuels, that supports combative clean energy policies. If not, it may indicate structural restrictions—like demand growth, market resistance, or storage shortfalls—that need attention.</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While the subject of energy transitions is well-used, this specific framing—</w:t>
      </w:r>
      <w:r w:rsidDel="00000000" w:rsidR="00000000" w:rsidRPr="00000000">
        <w:rPr>
          <w:i w:val="1"/>
          <w:rtl w:val="0"/>
        </w:rPr>
        <w:t xml:space="preserve">state-level tradeoff patterns between renewable and fossil generation using recent multi-year data</w:t>
      </w:r>
      <w:r w:rsidDel="00000000" w:rsidR="00000000" w:rsidRPr="00000000">
        <w:rPr>
          <w:rtl w:val="0"/>
        </w:rPr>
        <w:t xml:space="preserve">— offers a new outlook. Thus, the question is both reasonably original and relevant within its scope.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k8ty5tern1yi" w:id="7"/>
      <w:bookmarkEnd w:id="7"/>
      <w:r w:rsidDel="00000000" w:rsidR="00000000" w:rsidRPr="00000000">
        <w:rPr>
          <w:rtl w:val="0"/>
        </w:rPr>
        <w:t xml:space="preserve">Hypothesis &amp; Prediction</w:t>
      </w:r>
    </w:p>
    <w:p w:rsidR="00000000" w:rsidDel="00000000" w:rsidP="00000000" w:rsidRDefault="00000000" w:rsidRPr="00000000" w14:paraId="00000014">
      <w:pPr>
        <w:spacing w:line="360" w:lineRule="auto"/>
        <w:rPr/>
      </w:pPr>
      <w:r w:rsidDel="00000000" w:rsidR="00000000" w:rsidRPr="00000000">
        <w:rPr>
          <w:b w:val="1"/>
          <w:rtl w:val="0"/>
        </w:rPr>
        <w:t xml:space="preserve">Hypothesis</w:t>
      </w:r>
      <w:r w:rsidDel="00000000" w:rsidR="00000000" w:rsidRPr="00000000">
        <w:rPr>
          <w:rtl w:val="0"/>
        </w:rPr>
        <w:t xml:space="preserve">: Increases in renewable energy generation in a U.S. state are associated with decreases in fossil fuel electricity generation over time.</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b w:val="1"/>
          <w:rtl w:val="0"/>
        </w:rPr>
        <w:t xml:space="preserve">Prediction</w:t>
      </w:r>
      <w:r w:rsidDel="00000000" w:rsidR="00000000" w:rsidRPr="00000000">
        <w:rPr>
          <w:rtl w:val="0"/>
        </w:rPr>
        <w:t xml:space="preserve">: States with higher year year-over-year growth in renewable electricity generation will show a statistically significant negative correlation with fossil fuel-based electricity generation, suggesting displacement is occurring.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y5nzpjh1etjb" w:id="8"/>
      <w:bookmarkEnd w:id="8"/>
      <w:r w:rsidDel="00000000" w:rsidR="00000000" w:rsidRPr="00000000">
        <w:rPr>
          <w:rtl w:val="0"/>
        </w:rPr>
        <w:t xml:space="preserve">Data &amp; Analysis</w:t>
      </w:r>
    </w:p>
    <w:p w:rsidR="00000000" w:rsidDel="00000000" w:rsidP="00000000" w:rsidRDefault="00000000" w:rsidRPr="00000000" w14:paraId="0000001A">
      <w:pPr>
        <w:pStyle w:val="Heading2"/>
        <w:rPr/>
      </w:pPr>
      <w:bookmarkStart w:colFirst="0" w:colLast="0" w:name="_gfl41epyqaff" w:id="9"/>
      <w:bookmarkEnd w:id="9"/>
      <w:r w:rsidDel="00000000" w:rsidR="00000000" w:rsidRPr="00000000">
        <w:rPr>
          <w:rtl w:val="0"/>
        </w:rPr>
        <w:t xml:space="preserve">Dataset:</w:t>
      </w:r>
    </w:p>
    <w:p w:rsidR="00000000" w:rsidDel="00000000" w:rsidP="00000000" w:rsidRDefault="00000000" w:rsidRPr="00000000" w14:paraId="0000001B">
      <w:pPr>
        <w:spacing w:line="360" w:lineRule="auto"/>
        <w:rPr/>
      </w:pPr>
      <w:r w:rsidDel="00000000" w:rsidR="00000000" w:rsidRPr="00000000">
        <w:rPr>
          <w:rtl w:val="0"/>
        </w:rPr>
        <w:t xml:space="preserve">We will use the </w:t>
      </w:r>
      <w:r w:rsidDel="00000000" w:rsidR="00000000" w:rsidRPr="00000000">
        <w:rPr>
          <w:b w:val="1"/>
          <w:rtl w:val="0"/>
        </w:rPr>
        <w:t xml:space="preserve">U.S. Energy Information Administration (EIA)</w:t>
      </w:r>
      <w:r w:rsidDel="00000000" w:rsidR="00000000" w:rsidRPr="00000000">
        <w:rPr>
          <w:rtl w:val="0"/>
        </w:rPr>
        <w:t xml:space="preserve">’s “Net Generation by State by Type of Producer by Energy Source” dataset. It provides detailed annual electricity generation (in MWh) by energy source (e.g., solar, wind, coal, natural gas, etc.) from 1990 to the most recent available year.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Link:</w:t>
      </w:r>
      <w:r w:rsidDel="00000000" w:rsidR="00000000" w:rsidRPr="00000000">
        <w:rPr>
          <w:rtl w:val="0"/>
        </w:rPr>
        <w:t xml:space="preserve"> </w:t>
      </w:r>
      <w:hyperlink r:id="rId7">
        <w:r w:rsidDel="00000000" w:rsidR="00000000" w:rsidRPr="00000000">
          <w:rPr>
            <w:color w:val="1155cc"/>
            <w:u w:val="single"/>
            <w:rtl w:val="0"/>
          </w:rPr>
          <w:t xml:space="preserve">https://www.eia.gov/electricity/data/state/</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shd w:fill="ffffff" w:val="clear"/>
        <w:spacing w:line="335.99999999999994" w:lineRule="auto"/>
        <w:ind w:left="1020" w:right="300" w:hanging="360"/>
        <w:rPr>
          <w:b w:val="1"/>
        </w:rPr>
      </w:pPr>
      <w:r w:rsidDel="00000000" w:rsidR="00000000" w:rsidRPr="00000000">
        <w:rPr>
          <w:b w:val="1"/>
          <w:sz w:val="24"/>
          <w:szCs w:val="24"/>
          <w:rtl w:val="0"/>
        </w:rPr>
        <w:t xml:space="preserve">EIA-923 Power Plant Operations Report (released: 10/4/2024)</w:t>
      </w:r>
    </w:p>
    <w:p w:rsidR="00000000" w:rsidDel="00000000" w:rsidP="00000000" w:rsidRDefault="00000000" w:rsidRPr="00000000" w14:paraId="00000020">
      <w:pPr>
        <w:numPr>
          <w:ilvl w:val="0"/>
          <w:numId w:val="4"/>
        </w:numPr>
        <w:shd w:fill="ffffff" w:val="clear"/>
        <w:spacing w:line="335.99999999999994" w:lineRule="auto"/>
        <w:ind w:left="1020" w:right="300" w:hanging="360"/>
        <w:rPr>
          <w:b w:val="1"/>
        </w:rPr>
      </w:pPr>
      <w:r w:rsidDel="00000000" w:rsidR="00000000" w:rsidRPr="00000000">
        <w:rPr>
          <w:sz w:val="24"/>
          <w:szCs w:val="24"/>
          <w:rtl w:val="0"/>
        </w:rPr>
        <w:t xml:space="preserve">Net Generation by State by Type of Producer by Energy Source (EIA-906, EIA-920, and EIA-923)</w:t>
      </w:r>
      <w:r w:rsidDel="00000000" w:rsidR="00000000" w:rsidRPr="00000000">
        <w:rPr>
          <w:sz w:val="24"/>
          <w:szCs w:val="24"/>
          <w:vertAlign w:val="superscript"/>
          <w:rtl w:val="0"/>
        </w:rPr>
        <w:t xml:space="preserve">1</w:t>
      </w:r>
    </w:p>
    <w:p w:rsidR="00000000" w:rsidDel="00000000" w:rsidP="00000000" w:rsidRDefault="00000000" w:rsidRPr="00000000" w14:paraId="00000021">
      <w:pPr>
        <w:numPr>
          <w:ilvl w:val="0"/>
          <w:numId w:val="4"/>
        </w:numPr>
        <w:shd w:fill="ffffff" w:val="clear"/>
        <w:spacing w:line="335.99999999999994" w:lineRule="auto"/>
        <w:ind w:left="1020" w:right="300" w:hanging="360"/>
        <w:rPr>
          <w:b w:val="1"/>
        </w:rPr>
      </w:pPr>
      <w:r w:rsidDel="00000000" w:rsidR="00000000" w:rsidRPr="00000000">
        <w:rPr>
          <w:i w:val="1"/>
          <w:color w:val="333333"/>
          <w:sz w:val="24"/>
          <w:szCs w:val="24"/>
          <w:rtl w:val="0"/>
        </w:rPr>
        <w:t xml:space="preserve">Date range:</w:t>
      </w:r>
      <w:r w:rsidDel="00000000" w:rsidR="00000000" w:rsidRPr="00000000">
        <w:rPr>
          <w:sz w:val="24"/>
          <w:szCs w:val="24"/>
          <w:rtl w:val="0"/>
        </w:rPr>
        <w:t xml:space="preserve"> 1990 – 2023</w:t>
      </w:r>
    </w:p>
    <w:p w:rsidR="00000000" w:rsidDel="00000000" w:rsidP="00000000" w:rsidRDefault="00000000" w:rsidRPr="00000000" w14:paraId="00000022">
      <w:pPr>
        <w:numPr>
          <w:ilvl w:val="0"/>
          <w:numId w:val="4"/>
        </w:numPr>
        <w:shd w:fill="ffffff" w:val="clear"/>
        <w:spacing w:line="335.99999999999994" w:lineRule="auto"/>
        <w:ind w:left="1120" w:right="300" w:hanging="360"/>
        <w:rPr>
          <w:b w:val="1"/>
        </w:rPr>
      </w:pPr>
      <w:r w:rsidDel="00000000" w:rsidR="00000000" w:rsidRPr="00000000">
        <w:rPr>
          <w:i w:val="1"/>
          <w:sz w:val="24"/>
          <w:szCs w:val="24"/>
          <w:rtl w:val="0"/>
        </w:rPr>
        <w:t xml:space="preserve">Available formats:</w:t>
      </w:r>
      <w:r w:rsidDel="00000000" w:rsidR="00000000" w:rsidRPr="00000000">
        <w:rPr>
          <w:sz w:val="24"/>
          <w:szCs w:val="24"/>
          <w:rtl w:val="0"/>
        </w:rPr>
        <w:t xml:space="preserve"> </w:t>
      </w:r>
      <w:hyperlink r:id="rId8">
        <w:r w:rsidDel="00000000" w:rsidR="00000000" w:rsidRPr="00000000">
          <w:rPr>
            <w:color w:val="007eb5"/>
            <w:sz w:val="24"/>
            <w:szCs w:val="24"/>
            <w:rtl w:val="0"/>
          </w:rPr>
          <w:t xml:space="preserve">XLS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This dataset is ideal because it offers granular, multi-decade data on generation by energy type and geography, allowing for a robust longitudinal state-level analysis.</w:t>
      </w:r>
      <w:r w:rsidDel="00000000" w:rsidR="00000000" w:rsidRPr="00000000">
        <w:rPr>
          <w:rtl w:val="0"/>
        </w:rPr>
      </w:r>
    </w:p>
    <w:p w:rsidR="00000000" w:rsidDel="00000000" w:rsidP="00000000" w:rsidRDefault="00000000" w:rsidRPr="00000000" w14:paraId="00000026">
      <w:pPr>
        <w:pStyle w:val="Heading2"/>
        <w:rPr/>
      </w:pPr>
      <w:bookmarkStart w:colFirst="0" w:colLast="0" w:name="_9vqspsb6a8oq" w:id="10"/>
      <w:bookmarkEnd w:id="10"/>
      <w:r w:rsidDel="00000000" w:rsidR="00000000" w:rsidRPr="00000000">
        <w:rPr>
          <w:rtl w:val="0"/>
        </w:rPr>
        <w:t xml:space="preserve">Outcome Variable:</w:t>
      </w:r>
    </w:p>
    <w:p w:rsidR="00000000" w:rsidDel="00000000" w:rsidP="00000000" w:rsidRDefault="00000000" w:rsidRPr="00000000" w14:paraId="00000027">
      <w:pPr>
        <w:spacing w:line="360" w:lineRule="auto"/>
        <w:rPr/>
      </w:pPr>
      <w:r w:rsidDel="00000000" w:rsidR="00000000" w:rsidRPr="00000000">
        <w:rPr>
          <w:rtl w:val="0"/>
        </w:rPr>
        <w:t xml:space="preserve">Fossil fuel-based electricity generation per state per year (combined coal, natural gas, petroleum).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qg74z7yqtr6r" w:id="11"/>
      <w:bookmarkEnd w:id="11"/>
      <w:r w:rsidDel="00000000" w:rsidR="00000000" w:rsidRPr="00000000">
        <w:rPr>
          <w:rtl w:val="0"/>
        </w:rPr>
        <w:t xml:space="preserve">Predictor Variable(s):</w:t>
      </w:r>
    </w:p>
    <w:p w:rsidR="00000000" w:rsidDel="00000000" w:rsidP="00000000" w:rsidRDefault="00000000" w:rsidRPr="00000000" w14:paraId="0000002A">
      <w:pPr>
        <w:numPr>
          <w:ilvl w:val="0"/>
          <w:numId w:val="3"/>
        </w:numPr>
        <w:spacing w:line="360" w:lineRule="auto"/>
        <w:ind w:left="720" w:hanging="360"/>
        <w:rPr>
          <w:u w:val="none"/>
        </w:rPr>
      </w:pPr>
      <w:r w:rsidDel="00000000" w:rsidR="00000000" w:rsidRPr="00000000">
        <w:rPr>
          <w:rtl w:val="0"/>
        </w:rPr>
        <w:t xml:space="preserve">Renewable electricity generation (solar, wind, hydro, geothermal, biomass)</w:t>
      </w:r>
    </w:p>
    <w:p w:rsidR="00000000" w:rsidDel="00000000" w:rsidP="00000000" w:rsidRDefault="00000000" w:rsidRPr="00000000" w14:paraId="0000002B">
      <w:pPr>
        <w:numPr>
          <w:ilvl w:val="0"/>
          <w:numId w:val="3"/>
        </w:numPr>
        <w:spacing w:line="360" w:lineRule="auto"/>
        <w:ind w:left="720" w:hanging="360"/>
        <w:rPr>
          <w:u w:val="none"/>
        </w:rPr>
      </w:pPr>
      <w:r w:rsidDel="00000000" w:rsidR="00000000" w:rsidRPr="00000000">
        <w:rPr>
          <w:rtl w:val="0"/>
        </w:rPr>
        <w:t xml:space="preserve">Time (year)</w:t>
      </w:r>
    </w:p>
    <w:p w:rsidR="00000000" w:rsidDel="00000000" w:rsidP="00000000" w:rsidRDefault="00000000" w:rsidRPr="00000000" w14:paraId="0000002C">
      <w:pPr>
        <w:numPr>
          <w:ilvl w:val="0"/>
          <w:numId w:val="3"/>
        </w:numPr>
        <w:spacing w:line="360" w:lineRule="auto"/>
        <w:ind w:left="720" w:hanging="360"/>
        <w:rPr>
          <w:u w:val="none"/>
        </w:rPr>
      </w:pPr>
      <w:r w:rsidDel="00000000" w:rsidR="00000000" w:rsidRPr="00000000">
        <w:rPr>
          <w:rtl w:val="0"/>
        </w:rPr>
        <w:t xml:space="preserve">State-specific fixed effects</w:t>
      </w:r>
      <w:r w:rsidDel="00000000" w:rsidR="00000000" w:rsidRPr="00000000">
        <w:rPr>
          <w:rtl w:val="0"/>
        </w:rPr>
      </w:r>
    </w:p>
    <w:p w:rsidR="00000000" w:rsidDel="00000000" w:rsidP="00000000" w:rsidRDefault="00000000" w:rsidRPr="00000000" w14:paraId="0000002D">
      <w:pPr>
        <w:numPr>
          <w:ilvl w:val="1"/>
          <w:numId w:val="3"/>
        </w:numPr>
        <w:spacing w:line="360" w:lineRule="auto"/>
        <w:ind w:left="1440" w:hanging="360"/>
        <w:rPr>
          <w:u w:val="none"/>
        </w:rPr>
      </w:pPr>
      <w:r w:rsidDel="00000000" w:rsidR="00000000" w:rsidRPr="00000000">
        <w:rPr>
          <w:b w:val="1"/>
          <w:rtl w:val="0"/>
        </w:rPr>
        <w:t xml:space="preserve">Renewable  Portfolio Standards (RPS)</w:t>
      </w:r>
      <w:r w:rsidDel="00000000" w:rsidR="00000000" w:rsidRPr="00000000">
        <w:rPr>
          <w:rtl w:val="0"/>
        </w:rPr>
        <w:t xml:space="preserve">: State laws that require utilities to generate or purchase a certain percentage of electricity from renewable sources.</w:t>
      </w:r>
    </w:p>
    <w:p w:rsidR="00000000" w:rsidDel="00000000" w:rsidP="00000000" w:rsidRDefault="00000000" w:rsidRPr="00000000" w14:paraId="0000002E">
      <w:pPr>
        <w:numPr>
          <w:ilvl w:val="1"/>
          <w:numId w:val="3"/>
        </w:numPr>
        <w:spacing w:line="360" w:lineRule="auto"/>
        <w:ind w:left="1440" w:hanging="360"/>
        <w:rPr>
          <w:b w:val="1"/>
        </w:rPr>
      </w:pPr>
      <w:r w:rsidDel="00000000" w:rsidR="00000000" w:rsidRPr="00000000">
        <w:rPr>
          <w:b w:val="1"/>
          <w:rtl w:val="0"/>
        </w:rPr>
        <w:t xml:space="preserve">Net Metering Policies</w:t>
      </w:r>
      <w:r w:rsidDel="00000000" w:rsidR="00000000" w:rsidRPr="00000000">
        <w:rPr>
          <w:rtl w:val="0"/>
        </w:rPr>
        <w:t xml:space="preserve">: Allows consumers (homes/businesses) with solar panels to send excess electricity back to the grid and get credited.</w:t>
      </w:r>
    </w:p>
    <w:p w:rsidR="00000000" w:rsidDel="00000000" w:rsidP="00000000" w:rsidRDefault="00000000" w:rsidRPr="00000000" w14:paraId="0000002F">
      <w:pPr>
        <w:numPr>
          <w:ilvl w:val="1"/>
          <w:numId w:val="3"/>
        </w:numPr>
        <w:spacing w:line="360" w:lineRule="auto"/>
        <w:ind w:left="1440" w:hanging="360"/>
        <w:rPr>
          <w:b w:val="1"/>
        </w:rPr>
      </w:pPr>
      <w:r w:rsidDel="00000000" w:rsidR="00000000" w:rsidRPr="00000000">
        <w:rPr>
          <w:b w:val="1"/>
          <w:rtl w:val="0"/>
        </w:rPr>
        <w:t xml:space="preserve">Energy Storage Incentives</w:t>
      </w:r>
      <w:r w:rsidDel="00000000" w:rsidR="00000000" w:rsidRPr="00000000">
        <w:rPr>
          <w:rtl w:val="0"/>
        </w:rPr>
        <w:t xml:space="preserve">:  Policies or subsidies to promote grid-scale or residential battery storage</w:t>
      </w:r>
    </w:p>
    <w:p w:rsidR="00000000" w:rsidDel="00000000" w:rsidP="00000000" w:rsidRDefault="00000000" w:rsidRPr="00000000" w14:paraId="00000030">
      <w:pPr>
        <w:numPr>
          <w:ilvl w:val="1"/>
          <w:numId w:val="3"/>
        </w:numPr>
        <w:spacing w:line="360" w:lineRule="auto"/>
        <w:ind w:left="1440" w:hanging="360"/>
        <w:rPr>
          <w:b w:val="1"/>
        </w:rPr>
      </w:pPr>
      <w:r w:rsidDel="00000000" w:rsidR="00000000" w:rsidRPr="00000000">
        <w:rPr>
          <w:b w:val="1"/>
          <w:rtl w:val="0"/>
        </w:rPr>
        <w:t xml:space="preserve">Carbon Pricing / Emissions Trading</w:t>
      </w:r>
      <w:r w:rsidDel="00000000" w:rsidR="00000000" w:rsidRPr="00000000">
        <w:rPr>
          <w:rtl w:val="0"/>
        </w:rPr>
        <w:t xml:space="preserve">: Assigning a cost to carbon emissions through a carbon tax or cap-and-trade system.</w:t>
      </w:r>
    </w:p>
    <w:p w:rsidR="00000000" w:rsidDel="00000000" w:rsidP="00000000" w:rsidRDefault="00000000" w:rsidRPr="00000000" w14:paraId="00000031">
      <w:pPr>
        <w:numPr>
          <w:ilvl w:val="1"/>
          <w:numId w:val="3"/>
        </w:numPr>
        <w:spacing w:line="360" w:lineRule="auto"/>
        <w:ind w:left="1440" w:hanging="360"/>
        <w:rPr>
          <w:b w:val="1"/>
        </w:rPr>
      </w:pPr>
      <w:r w:rsidDel="00000000" w:rsidR="00000000" w:rsidRPr="00000000">
        <w:rPr>
          <w:b w:val="1"/>
          <w:rtl w:val="0"/>
        </w:rPr>
        <w:t xml:space="preserve">Utility Decoupling and Grid Modernization Mandates</w:t>
      </w:r>
      <w:r w:rsidDel="00000000" w:rsidR="00000000" w:rsidRPr="00000000">
        <w:rPr>
          <w:rtl w:val="0"/>
        </w:rPr>
        <w:t xml:space="preserve">: Decoupling separates utility profits from electricity sales volume, promoting efficiency and renewables.</w:t>
      </w:r>
    </w:p>
    <w:p w:rsidR="00000000" w:rsidDel="00000000" w:rsidP="00000000" w:rsidRDefault="00000000" w:rsidRPr="00000000" w14:paraId="00000032">
      <w:pPr>
        <w:numPr>
          <w:ilvl w:val="1"/>
          <w:numId w:val="3"/>
        </w:numPr>
        <w:spacing w:line="360" w:lineRule="auto"/>
        <w:ind w:left="1440" w:hanging="360"/>
        <w:rPr>
          <w:b w:val="1"/>
        </w:rPr>
      </w:pPr>
      <w:r w:rsidDel="00000000" w:rsidR="00000000" w:rsidRPr="00000000">
        <w:rPr>
          <w:b w:val="1"/>
          <w:rtl w:val="0"/>
        </w:rPr>
        <w:t xml:space="preserve">Coal Phase-Out Targets</w:t>
      </w:r>
      <w:r w:rsidDel="00000000" w:rsidR="00000000" w:rsidRPr="00000000">
        <w:rPr>
          <w:rtl w:val="0"/>
        </w:rPr>
        <w:t xml:space="preserve">: State commitments to close coal plants by a certain year.</w:t>
      </w:r>
    </w:p>
    <w:p w:rsidR="00000000" w:rsidDel="00000000" w:rsidP="00000000" w:rsidRDefault="00000000" w:rsidRPr="00000000" w14:paraId="00000033">
      <w:pPr>
        <w:numPr>
          <w:ilvl w:val="0"/>
          <w:numId w:val="3"/>
        </w:numPr>
        <w:spacing w:line="360" w:lineRule="auto"/>
        <w:ind w:left="720" w:hanging="360"/>
        <w:rPr>
          <w:u w:val="none"/>
        </w:rPr>
      </w:pPr>
      <w:r w:rsidDel="00000000" w:rsidR="00000000" w:rsidRPr="00000000">
        <w:rPr>
          <w:rtl w:val="0"/>
        </w:rPr>
        <w:t xml:space="preserve">Possible control variables: population, total electricity demand, GDP per state (if available)</w:t>
      </w:r>
    </w:p>
    <w:p w:rsidR="00000000" w:rsidDel="00000000" w:rsidP="00000000" w:rsidRDefault="00000000" w:rsidRPr="00000000" w14:paraId="00000034">
      <w:pPr>
        <w:pStyle w:val="Heading2"/>
        <w:rPr/>
      </w:pPr>
      <w:bookmarkStart w:colFirst="0" w:colLast="0" w:name="_ygjuf0um70wq" w:id="12"/>
      <w:bookmarkEnd w:id="12"/>
      <w:r w:rsidDel="00000000" w:rsidR="00000000" w:rsidRPr="00000000">
        <w:rPr>
          <w:rtl w:val="0"/>
        </w:rPr>
      </w:r>
    </w:p>
    <w:p w:rsidR="00000000" w:rsidDel="00000000" w:rsidP="00000000" w:rsidRDefault="00000000" w:rsidRPr="00000000" w14:paraId="00000035">
      <w:pPr>
        <w:pStyle w:val="Heading2"/>
        <w:rPr/>
      </w:pPr>
      <w:bookmarkStart w:colFirst="0" w:colLast="0" w:name="_k33bvkv5dbdi" w:id="13"/>
      <w:bookmarkEnd w:id="13"/>
      <w:r w:rsidDel="00000000" w:rsidR="00000000" w:rsidRPr="00000000">
        <w:rPr>
          <w:rtl w:val="0"/>
        </w:rPr>
        <w:t xml:space="preserve">Analysis Plan:</w:t>
      </w:r>
    </w:p>
    <w:p w:rsidR="00000000" w:rsidDel="00000000" w:rsidP="00000000" w:rsidRDefault="00000000" w:rsidRPr="00000000" w14:paraId="00000036">
      <w:pPr>
        <w:numPr>
          <w:ilvl w:val="0"/>
          <w:numId w:val="8"/>
        </w:numPr>
        <w:spacing w:line="360" w:lineRule="auto"/>
        <w:ind w:left="720" w:hanging="360"/>
        <w:rPr>
          <w:u w:val="none"/>
        </w:rPr>
      </w:pPr>
      <w:r w:rsidDel="00000000" w:rsidR="00000000" w:rsidRPr="00000000">
        <w:rPr>
          <w:rtl w:val="0"/>
        </w:rPr>
        <w:t xml:space="preserve">Clean and filter the EIA data for the years 2010-2023 for all U.S. states.</w:t>
      </w:r>
    </w:p>
    <w:p w:rsidR="00000000" w:rsidDel="00000000" w:rsidP="00000000" w:rsidRDefault="00000000" w:rsidRPr="00000000" w14:paraId="00000037">
      <w:pPr>
        <w:numPr>
          <w:ilvl w:val="0"/>
          <w:numId w:val="8"/>
        </w:numPr>
        <w:spacing w:line="360" w:lineRule="auto"/>
        <w:ind w:left="720" w:hanging="360"/>
        <w:rPr>
          <w:u w:val="none"/>
        </w:rPr>
      </w:pPr>
      <w:r w:rsidDel="00000000" w:rsidR="00000000" w:rsidRPr="00000000">
        <w:rPr>
          <w:rtl w:val="0"/>
        </w:rPr>
        <w:t xml:space="preserve">Calculate total annual MWh for fossil fuels and renewables by state.</w:t>
      </w:r>
    </w:p>
    <w:p w:rsidR="00000000" w:rsidDel="00000000" w:rsidP="00000000" w:rsidRDefault="00000000" w:rsidRPr="00000000" w14:paraId="00000038">
      <w:pPr>
        <w:numPr>
          <w:ilvl w:val="0"/>
          <w:numId w:val="8"/>
        </w:numPr>
        <w:spacing w:line="360" w:lineRule="auto"/>
        <w:ind w:left="720" w:hanging="360"/>
        <w:rPr>
          <w:u w:val="none"/>
        </w:rPr>
      </w:pPr>
      <w:r w:rsidDel="00000000" w:rsidR="00000000" w:rsidRPr="00000000">
        <w:rPr>
          <w:rtl w:val="0"/>
        </w:rPr>
        <w:t xml:space="preserve">Use </w:t>
      </w:r>
      <w:r w:rsidDel="00000000" w:rsidR="00000000" w:rsidRPr="00000000">
        <w:rPr>
          <w:b w:val="1"/>
          <w:rtl w:val="0"/>
        </w:rPr>
        <w:t xml:space="preserve">panel data aggregation (fixed effects model)</w:t>
      </w:r>
      <w:r w:rsidDel="00000000" w:rsidR="00000000" w:rsidRPr="00000000">
        <w:rPr>
          <w:rtl w:val="0"/>
        </w:rPr>
        <w:t xml:space="preserve"> to estimate whether increases in renewable generation predict decreases in fossil fuel use, controlling for time and state-specific differences.</w:t>
      </w:r>
    </w:p>
    <w:p w:rsidR="00000000" w:rsidDel="00000000" w:rsidP="00000000" w:rsidRDefault="00000000" w:rsidRPr="00000000" w14:paraId="00000039">
      <w:pPr>
        <w:numPr>
          <w:ilvl w:val="0"/>
          <w:numId w:val="8"/>
        </w:numPr>
        <w:spacing w:line="360" w:lineRule="auto"/>
        <w:ind w:left="720" w:hanging="360"/>
        <w:rPr>
          <w:u w:val="none"/>
        </w:rPr>
      </w:pPr>
      <w:r w:rsidDel="00000000" w:rsidR="00000000" w:rsidRPr="00000000">
        <w:rPr>
          <w:rtl w:val="0"/>
        </w:rPr>
        <w:t xml:space="preserve">Optionally visualize key trends (e.g., line plots or scatterplots of states with high renewable adoption like California vs. those with low uptake).</w:t>
      </w:r>
      <w:r w:rsidDel="00000000" w:rsidR="00000000" w:rsidRPr="00000000">
        <w:rPr>
          <w:rtl w:val="0"/>
        </w:rPr>
      </w:r>
    </w:p>
    <w:p w:rsidR="00000000" w:rsidDel="00000000" w:rsidP="00000000" w:rsidRDefault="00000000" w:rsidRPr="00000000" w14:paraId="0000003A">
      <w:pPr>
        <w:pStyle w:val="Heading2"/>
        <w:rPr/>
      </w:pPr>
      <w:bookmarkStart w:colFirst="0" w:colLast="0" w:name="_bes7dnrnudws" w:id="14"/>
      <w:bookmarkEnd w:id="14"/>
      <w:r w:rsidDel="00000000" w:rsidR="00000000" w:rsidRPr="00000000">
        <w:rPr>
          <w:rtl w:val="0"/>
        </w:rPr>
        <w:t xml:space="preserve">Potential Pitfalls:</w:t>
      </w:r>
    </w:p>
    <w:p w:rsidR="00000000" w:rsidDel="00000000" w:rsidP="00000000" w:rsidRDefault="00000000" w:rsidRPr="00000000" w14:paraId="0000003B">
      <w:pPr>
        <w:numPr>
          <w:ilvl w:val="0"/>
          <w:numId w:val="7"/>
        </w:numPr>
        <w:spacing w:line="360" w:lineRule="auto"/>
        <w:ind w:left="720" w:hanging="360"/>
        <w:rPr>
          <w:u w:val="none"/>
        </w:rPr>
      </w:pPr>
      <w:r w:rsidDel="00000000" w:rsidR="00000000" w:rsidRPr="00000000">
        <w:rPr>
          <w:rtl w:val="0"/>
        </w:rPr>
        <w:t xml:space="preserve">Some states may experience concurrent increases in both fossil and renewable generation due to </w:t>
      </w:r>
      <w:commentRangeStart w:id="0"/>
      <w:commentRangeStart w:id="1"/>
      <w:r w:rsidDel="00000000" w:rsidR="00000000" w:rsidRPr="00000000">
        <w:rPr>
          <w:rtl w:val="0"/>
        </w:rPr>
        <w:t xml:space="preserve">rising electricity demand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confounding the results.</w:t>
      </w:r>
    </w:p>
    <w:p w:rsidR="00000000" w:rsidDel="00000000" w:rsidP="00000000" w:rsidRDefault="00000000" w:rsidRPr="00000000" w14:paraId="0000003C">
      <w:pPr>
        <w:numPr>
          <w:ilvl w:val="0"/>
          <w:numId w:val="7"/>
        </w:numPr>
        <w:spacing w:line="360" w:lineRule="auto"/>
        <w:ind w:left="720" w:hanging="360"/>
        <w:rPr>
          <w:u w:val="none"/>
        </w:rPr>
      </w:pPr>
      <w:r w:rsidDel="00000000" w:rsidR="00000000" w:rsidRPr="00000000">
        <w:rPr>
          <w:rtl w:val="0"/>
        </w:rPr>
        <w:t xml:space="preserve">Incomplete control for economic or policy variables may bias causal inference.</w:t>
      </w:r>
    </w:p>
    <w:p w:rsidR="00000000" w:rsidDel="00000000" w:rsidP="00000000" w:rsidRDefault="00000000" w:rsidRPr="00000000" w14:paraId="0000003D">
      <w:pPr>
        <w:numPr>
          <w:ilvl w:val="0"/>
          <w:numId w:val="7"/>
        </w:numPr>
        <w:spacing w:line="360" w:lineRule="auto"/>
        <w:ind w:left="720" w:hanging="360"/>
        <w:rPr>
          <w:u w:val="none"/>
        </w:rPr>
      </w:pPr>
      <w:r w:rsidDel="00000000" w:rsidR="00000000" w:rsidRPr="00000000">
        <w:rPr>
          <w:rtl w:val="0"/>
        </w:rPr>
        <w:t xml:space="preserve">Non-linearity: relationships may vary by source (e.g. , wind may displace coal more than hydro).</w:t>
      </w:r>
    </w:p>
    <w:p w:rsidR="00000000" w:rsidDel="00000000" w:rsidP="00000000" w:rsidRDefault="00000000" w:rsidRPr="00000000" w14:paraId="0000003E">
      <w:pPr>
        <w:pStyle w:val="Heading2"/>
        <w:rPr/>
      </w:pPr>
      <w:bookmarkStart w:colFirst="0" w:colLast="0" w:name="_7gs95kt8re1p" w:id="15"/>
      <w:bookmarkEnd w:id="15"/>
      <w:r w:rsidDel="00000000" w:rsidR="00000000" w:rsidRPr="00000000">
        <w:rPr>
          <w:rtl w:val="0"/>
        </w:rPr>
        <w:t xml:space="preserve">Success Criteria:</w:t>
      </w:r>
    </w:p>
    <w:p w:rsidR="00000000" w:rsidDel="00000000" w:rsidP="00000000" w:rsidRDefault="00000000" w:rsidRPr="00000000" w14:paraId="0000003F">
      <w:pPr>
        <w:spacing w:line="360" w:lineRule="auto"/>
        <w:ind w:left="0" w:firstLine="0"/>
        <w:rPr/>
      </w:pPr>
      <w:r w:rsidDel="00000000" w:rsidR="00000000" w:rsidRPr="00000000">
        <w:rPr>
          <w:rtl w:val="0"/>
        </w:rPr>
        <w:t xml:space="preserve">The question is considered “answered” if we can determine whether or not renewable generation growth statistically predicts fossil fuel reduction.</w:t>
      </w:r>
    </w:p>
    <w:p w:rsidR="00000000" w:rsidDel="00000000" w:rsidP="00000000" w:rsidRDefault="00000000" w:rsidRPr="00000000" w14:paraId="00000040">
      <w:pPr>
        <w:spacing w:line="360" w:lineRule="auto"/>
        <w:ind w:left="0" w:firstLine="0"/>
        <w:rPr/>
      </w:pPr>
      <w:r w:rsidDel="00000000" w:rsidR="00000000" w:rsidRPr="00000000">
        <w:rPr>
          <w:rtl w:val="0"/>
        </w:rPr>
        <w:t xml:space="preserve">The hypothesis is supported if the regression results show a significant </w:t>
      </w:r>
      <w:r w:rsidDel="00000000" w:rsidR="00000000" w:rsidRPr="00000000">
        <w:rPr>
          <w:b w:val="1"/>
          <w:rtl w:val="0"/>
        </w:rPr>
        <w:t xml:space="preserve">negative</w:t>
      </w:r>
      <w:r w:rsidDel="00000000" w:rsidR="00000000" w:rsidRPr="00000000">
        <w:rPr>
          <w:rtl w:val="0"/>
        </w:rPr>
        <w:t xml:space="preserve"> coefficient between renewable MWh and fossil fuel MWh  per state-year.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1"/>
        <w:rPr/>
      </w:pPr>
      <w:bookmarkStart w:colFirst="0" w:colLast="0" w:name="_yyqb9gguo8cd" w:id="16"/>
      <w:bookmarkEnd w:id="16"/>
      <w:r w:rsidDel="00000000" w:rsidR="00000000" w:rsidRPr="00000000">
        <w:rPr>
          <w:rtl w:val="0"/>
        </w:rPr>
        <w:t xml:space="preserve">Technical Details:</w:t>
      </w:r>
    </w:p>
    <w:p w:rsidR="00000000" w:rsidDel="00000000" w:rsidP="00000000" w:rsidRDefault="00000000" w:rsidRPr="00000000" w14:paraId="00000043">
      <w:pPr>
        <w:pStyle w:val="Heading2"/>
        <w:rPr/>
      </w:pPr>
      <w:bookmarkStart w:colFirst="0" w:colLast="0" w:name="_2oc4htnvqjfk" w:id="17"/>
      <w:bookmarkEnd w:id="17"/>
      <w:r w:rsidDel="00000000" w:rsidR="00000000" w:rsidRPr="00000000">
        <w:rPr>
          <w:rtl w:val="0"/>
        </w:rPr>
        <w:t xml:space="preserve">Programming Language:</w:t>
      </w:r>
    </w:p>
    <w:p w:rsidR="00000000" w:rsidDel="00000000" w:rsidP="00000000" w:rsidRDefault="00000000" w:rsidRPr="00000000" w14:paraId="00000044">
      <w:pPr>
        <w:rPr/>
      </w:pPr>
      <w:r w:rsidDel="00000000" w:rsidR="00000000" w:rsidRPr="00000000">
        <w:rPr>
          <w:rtl w:val="0"/>
        </w:rPr>
        <w:t xml:space="preserve">Python (with pandas, statsmodels, matplotlib, seaborn for EDA and regression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jkbilxr2efdh" w:id="18"/>
      <w:bookmarkEnd w:id="18"/>
      <w:r w:rsidDel="00000000" w:rsidR="00000000" w:rsidRPr="00000000">
        <w:rPr>
          <w:rtl w:val="0"/>
        </w:rPr>
        <w:t xml:space="preserve">Other Tools/Resources:</w:t>
      </w:r>
    </w:p>
    <w:p w:rsidR="00000000" w:rsidDel="00000000" w:rsidP="00000000" w:rsidRDefault="00000000" w:rsidRPr="00000000" w14:paraId="00000047">
      <w:pPr>
        <w:spacing w:line="360" w:lineRule="auto"/>
        <w:rPr/>
      </w:pPr>
      <w:r w:rsidDel="00000000" w:rsidR="00000000" w:rsidRPr="00000000">
        <w:rPr>
          <w:rtl w:val="0"/>
        </w:rPr>
        <w:t xml:space="preserve">Jupyter Notebook, EIA Excel/CSV files, optional census datasets for state-level controls (e.g., demand/population)</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2"/>
        <w:rPr/>
      </w:pPr>
      <w:bookmarkStart w:colFirst="0" w:colLast="0" w:name="_rliha3mhz4rc" w:id="19"/>
      <w:bookmarkEnd w:id="19"/>
      <w:r w:rsidDel="00000000" w:rsidR="00000000" w:rsidRPr="00000000">
        <w:rPr>
          <w:rtl w:val="0"/>
        </w:rPr>
        <w:t xml:space="preserve">Github Repository:</w:t>
      </w:r>
    </w:p>
    <w:p w:rsidR="00000000" w:rsidDel="00000000" w:rsidP="00000000" w:rsidRDefault="00000000" w:rsidRPr="00000000" w14:paraId="0000004A">
      <w:pPr>
        <w:rPr/>
      </w:pPr>
      <w:hyperlink r:id="rId9">
        <w:r w:rsidDel="00000000" w:rsidR="00000000" w:rsidRPr="00000000">
          <w:rPr>
            <w:color w:val="1155cc"/>
            <w:u w:val="single"/>
            <w:rtl w:val="0"/>
          </w:rPr>
          <w:t xml:space="preserve">TaxMuttle/DSE6311</w:t>
        </w:r>
      </w:hyperlink>
      <w:r w:rsidDel="00000000" w:rsidR="00000000" w:rsidRPr="00000000">
        <w:rPr>
          <w:rtl w:val="0"/>
        </w:rPr>
      </w:r>
    </w:p>
    <w:p w:rsidR="00000000" w:rsidDel="00000000" w:rsidP="00000000" w:rsidRDefault="00000000" w:rsidRPr="00000000" w14:paraId="0000004B">
      <w:pPr>
        <w:pStyle w:val="Heading1"/>
        <w:rPr/>
      </w:pPr>
      <w:bookmarkStart w:colFirst="0" w:colLast="0" w:name="_s3pzhwpwi2bh" w:id="20"/>
      <w:bookmarkEnd w:id="20"/>
      <w:r w:rsidDel="00000000" w:rsidR="00000000" w:rsidRPr="00000000">
        <w:rPr>
          <w:rtl w:val="0"/>
        </w:rPr>
      </w:r>
    </w:p>
    <w:p w:rsidR="00000000" w:rsidDel="00000000" w:rsidP="00000000" w:rsidRDefault="00000000" w:rsidRPr="00000000" w14:paraId="0000004C">
      <w:pPr>
        <w:pStyle w:val="Heading1"/>
        <w:rPr/>
      </w:pPr>
      <w:bookmarkStart w:colFirst="0" w:colLast="0" w:name="_y6e5e9hzk52f" w:id="21"/>
      <w:bookmarkEnd w:id="21"/>
      <w:r w:rsidDel="00000000" w:rsidR="00000000" w:rsidRPr="00000000">
        <w:rPr>
          <w:rtl w:val="0"/>
        </w:rPr>
        <w:t xml:space="preserve">GenAI</w:t>
      </w:r>
    </w:p>
    <w:p w:rsidR="00000000" w:rsidDel="00000000" w:rsidP="00000000" w:rsidRDefault="00000000" w:rsidRPr="00000000" w14:paraId="0000004D">
      <w:pPr>
        <w:numPr>
          <w:ilvl w:val="0"/>
          <w:numId w:val="9"/>
        </w:numPr>
        <w:spacing w:line="360" w:lineRule="auto"/>
        <w:ind w:left="720" w:hanging="360"/>
        <w:rPr>
          <w:u w:val="none"/>
        </w:rPr>
      </w:pPr>
      <w:r w:rsidDel="00000000" w:rsidR="00000000" w:rsidRPr="00000000">
        <w:rPr>
          <w:rtl w:val="0"/>
        </w:rPr>
        <w:t xml:space="preserve">We used ChatGPT</w:t>
      </w:r>
    </w:p>
    <w:p w:rsidR="00000000" w:rsidDel="00000000" w:rsidP="00000000" w:rsidRDefault="00000000" w:rsidRPr="00000000" w14:paraId="0000004E">
      <w:pPr>
        <w:numPr>
          <w:ilvl w:val="0"/>
          <w:numId w:val="9"/>
        </w:numPr>
        <w:spacing w:line="360" w:lineRule="auto"/>
        <w:ind w:left="720" w:hanging="360"/>
        <w:rPr>
          <w:u w:val="none"/>
        </w:rPr>
      </w:pPr>
      <w:r w:rsidDel="00000000" w:rsidR="00000000" w:rsidRPr="00000000">
        <w:rPr>
          <w:rtl w:val="0"/>
        </w:rPr>
        <w:t xml:space="preserve">Prompt: </w:t>
      </w:r>
      <w:r w:rsidDel="00000000" w:rsidR="00000000" w:rsidRPr="00000000">
        <w:rPr>
          <w:b w:val="1"/>
          <w:i w:val="1"/>
          <w:color w:val="273540"/>
          <w:sz w:val="24"/>
          <w:szCs w:val="24"/>
          <w:highlight w:val="white"/>
          <w:rtl w:val="0"/>
        </w:rPr>
        <w:t xml:space="preserve">Background &amp; Question</w:t>
      </w:r>
    </w:p>
    <w:p w:rsidR="00000000" w:rsidDel="00000000" w:rsidP="00000000" w:rsidRDefault="00000000" w:rsidRPr="00000000" w14:paraId="0000004F">
      <w:pPr>
        <w:numPr>
          <w:ilvl w:val="0"/>
          <w:numId w:val="5"/>
        </w:numPr>
        <w:spacing w:after="0" w:afterAutospacing="0" w:line="360" w:lineRule="auto"/>
        <w:ind w:left="1100" w:hanging="360"/>
      </w:pPr>
      <w:r w:rsidDel="00000000" w:rsidR="00000000" w:rsidRPr="00000000">
        <w:rPr>
          <w:color w:val="273540"/>
          <w:sz w:val="24"/>
          <w:szCs w:val="24"/>
          <w:highlight w:val="white"/>
          <w:rtl w:val="0"/>
        </w:rPr>
        <w:t xml:space="preserve">A defined research question that serves a need or fills a niche</w:t>
      </w:r>
    </w:p>
    <w:p w:rsidR="00000000" w:rsidDel="00000000" w:rsidP="00000000" w:rsidRDefault="00000000" w:rsidRPr="00000000" w14:paraId="00000050">
      <w:pPr>
        <w:numPr>
          <w:ilvl w:val="1"/>
          <w:numId w:val="5"/>
        </w:numPr>
        <w:spacing w:after="0" w:afterAutospacing="0" w:line="360" w:lineRule="auto"/>
        <w:ind w:left="2200" w:hanging="360"/>
      </w:pPr>
      <w:r w:rsidDel="00000000" w:rsidR="00000000" w:rsidRPr="00000000">
        <w:rPr>
          <w:color w:val="273540"/>
          <w:sz w:val="24"/>
          <w:szCs w:val="24"/>
          <w:highlight w:val="white"/>
          <w:rtl w:val="0"/>
        </w:rPr>
        <w:t xml:space="preserve">What is the question?</w:t>
      </w:r>
    </w:p>
    <w:p w:rsidR="00000000" w:rsidDel="00000000" w:rsidP="00000000" w:rsidRDefault="00000000" w:rsidRPr="00000000" w14:paraId="00000051">
      <w:pPr>
        <w:numPr>
          <w:ilvl w:val="1"/>
          <w:numId w:val="5"/>
        </w:numPr>
        <w:spacing w:after="0" w:afterAutospacing="0" w:line="360" w:lineRule="auto"/>
        <w:ind w:left="2200" w:hanging="360"/>
      </w:pPr>
      <w:r w:rsidDel="00000000" w:rsidR="00000000" w:rsidRPr="00000000">
        <w:rPr>
          <w:color w:val="273540"/>
          <w:sz w:val="24"/>
          <w:szCs w:val="24"/>
          <w:highlight w:val="white"/>
          <w:rtl w:val="0"/>
        </w:rPr>
        <w:t xml:space="preserve">What need or niche does it fill?</w:t>
      </w:r>
    </w:p>
    <w:p w:rsidR="00000000" w:rsidDel="00000000" w:rsidP="00000000" w:rsidRDefault="00000000" w:rsidRPr="00000000" w14:paraId="00000052">
      <w:pPr>
        <w:numPr>
          <w:ilvl w:val="1"/>
          <w:numId w:val="5"/>
        </w:numPr>
        <w:spacing w:after="0" w:afterAutospacing="0" w:line="360" w:lineRule="auto"/>
        <w:ind w:left="2200" w:hanging="360"/>
      </w:pPr>
      <w:r w:rsidDel="00000000" w:rsidR="00000000" w:rsidRPr="00000000">
        <w:rPr>
          <w:color w:val="273540"/>
          <w:sz w:val="24"/>
          <w:szCs w:val="24"/>
          <w:highlight w:val="white"/>
          <w:rtl w:val="0"/>
        </w:rPr>
        <w:t xml:space="preserve">Why is it worth your time/effort to explore this question?</w:t>
      </w:r>
    </w:p>
    <w:p w:rsidR="00000000" w:rsidDel="00000000" w:rsidP="00000000" w:rsidRDefault="00000000" w:rsidRPr="00000000" w14:paraId="00000053">
      <w:pPr>
        <w:numPr>
          <w:ilvl w:val="1"/>
          <w:numId w:val="5"/>
        </w:numPr>
        <w:spacing w:after="0" w:afterAutospacing="0" w:line="360" w:lineRule="auto"/>
        <w:ind w:left="2200" w:hanging="360"/>
      </w:pPr>
      <w:r w:rsidDel="00000000" w:rsidR="00000000" w:rsidRPr="00000000">
        <w:rPr>
          <w:color w:val="273540"/>
          <w:sz w:val="24"/>
          <w:szCs w:val="24"/>
          <w:highlight w:val="white"/>
          <w:rtl w:val="0"/>
        </w:rPr>
        <w:t xml:space="preserve">Is your question novel / original? If not, why not? (</w:t>
      </w:r>
      <w:r w:rsidDel="00000000" w:rsidR="00000000" w:rsidRPr="00000000">
        <w:rPr>
          <w:b w:val="1"/>
          <w:color w:val="047898"/>
          <w:sz w:val="24"/>
          <w:szCs w:val="24"/>
          <w:highlight w:val="white"/>
          <w:rtl w:val="0"/>
        </w:rPr>
        <w:t xml:space="preserve">Sometimes this is okay.</w:t>
      </w:r>
      <w:r w:rsidDel="00000000" w:rsidR="00000000" w:rsidRPr="00000000">
        <w:rPr>
          <w:color w:val="273540"/>
          <w:sz w:val="24"/>
          <w:szCs w:val="24"/>
          <w:highlight w:val="white"/>
          <w:rtl w:val="0"/>
        </w:rPr>
        <w:t xml:space="preserve">)</w:t>
      </w:r>
    </w:p>
    <w:p w:rsidR="00000000" w:rsidDel="00000000" w:rsidP="00000000" w:rsidRDefault="00000000" w:rsidRPr="00000000" w14:paraId="00000054">
      <w:pPr>
        <w:numPr>
          <w:ilvl w:val="0"/>
          <w:numId w:val="5"/>
        </w:numPr>
        <w:spacing w:after="0" w:afterAutospacing="0" w:line="360" w:lineRule="auto"/>
        <w:ind w:left="1100" w:hanging="360"/>
      </w:pPr>
      <w:r w:rsidDel="00000000" w:rsidR="00000000" w:rsidRPr="00000000">
        <w:rPr>
          <w:color w:val="273540"/>
          <w:sz w:val="24"/>
          <w:szCs w:val="24"/>
          <w:highlight w:val="white"/>
          <w:rtl w:val="0"/>
        </w:rPr>
        <w:t xml:space="preserve">A hypothesis and prediction. </w:t>
      </w:r>
      <w:r w:rsidDel="00000000" w:rsidR="00000000" w:rsidRPr="00000000">
        <w:rPr>
          <w:color w:val="273540"/>
          <w:sz w:val="24"/>
          <w:szCs w:val="24"/>
          <w:highlight w:val="white"/>
          <w:u w:val="single"/>
          <w:rtl w:val="0"/>
        </w:rPr>
        <w:t xml:space="preserve">Remember, these are not the same thing.</w:t>
      </w:r>
    </w:p>
    <w:p w:rsidR="00000000" w:rsidDel="00000000" w:rsidP="00000000" w:rsidRDefault="00000000" w:rsidRPr="00000000" w14:paraId="00000055">
      <w:pPr>
        <w:numPr>
          <w:ilvl w:val="1"/>
          <w:numId w:val="5"/>
        </w:numPr>
        <w:spacing w:after="100" w:line="360" w:lineRule="auto"/>
        <w:ind w:left="2200" w:hanging="360"/>
      </w:pPr>
      <w:r w:rsidDel="00000000" w:rsidR="00000000" w:rsidRPr="00000000">
        <w:rPr>
          <w:color w:val="ba372a"/>
          <w:sz w:val="24"/>
          <w:szCs w:val="24"/>
          <w:highlight w:val="white"/>
          <w:rtl w:val="0"/>
        </w:rPr>
        <w:t xml:space="preserve">Generating hypotheses and predictions can be tricky. You will not be penalized if you don't get it right the first time. We will work on this together.</w:t>
      </w:r>
    </w:p>
    <w:p w:rsidR="00000000" w:rsidDel="00000000" w:rsidP="00000000" w:rsidRDefault="00000000" w:rsidRPr="00000000" w14:paraId="00000056">
      <w:pPr>
        <w:spacing w:after="180" w:before="180" w:line="360" w:lineRule="auto"/>
        <w:rPr>
          <w:b w:val="1"/>
          <w:i w:val="1"/>
          <w:color w:val="273540"/>
          <w:sz w:val="24"/>
          <w:szCs w:val="24"/>
          <w:highlight w:val="white"/>
        </w:rPr>
      </w:pPr>
      <w:r w:rsidDel="00000000" w:rsidR="00000000" w:rsidRPr="00000000">
        <w:rPr>
          <w:b w:val="1"/>
          <w:i w:val="1"/>
          <w:color w:val="273540"/>
          <w:sz w:val="24"/>
          <w:szCs w:val="24"/>
          <w:highlight w:val="white"/>
          <w:rtl w:val="0"/>
        </w:rPr>
        <w:t xml:space="preserve">Data &amp; Analysis</w:t>
      </w:r>
    </w:p>
    <w:p w:rsidR="00000000" w:rsidDel="00000000" w:rsidP="00000000" w:rsidRDefault="00000000" w:rsidRPr="00000000" w14:paraId="00000057">
      <w:pPr>
        <w:numPr>
          <w:ilvl w:val="0"/>
          <w:numId w:val="1"/>
        </w:numPr>
        <w:spacing w:after="0" w:afterAutospacing="0" w:line="360" w:lineRule="auto"/>
        <w:ind w:left="1100" w:hanging="360"/>
      </w:pPr>
      <w:r w:rsidDel="00000000" w:rsidR="00000000" w:rsidRPr="00000000">
        <w:rPr>
          <w:color w:val="273540"/>
          <w:sz w:val="24"/>
          <w:szCs w:val="24"/>
          <w:highlight w:val="white"/>
          <w:rtl w:val="0"/>
        </w:rPr>
        <w:t xml:space="preserve">What data set(s) have you found that you think are a good match for your question. Why?</w:t>
      </w:r>
    </w:p>
    <w:p w:rsidR="00000000" w:rsidDel="00000000" w:rsidP="00000000" w:rsidRDefault="00000000" w:rsidRPr="00000000" w14:paraId="00000058">
      <w:pPr>
        <w:numPr>
          <w:ilvl w:val="1"/>
          <w:numId w:val="1"/>
        </w:numPr>
        <w:spacing w:after="0" w:afterAutospacing="0" w:line="360" w:lineRule="auto"/>
        <w:ind w:left="2200" w:hanging="360"/>
      </w:pPr>
      <w:r w:rsidDel="00000000" w:rsidR="00000000" w:rsidRPr="00000000">
        <w:rPr>
          <w:color w:val="273540"/>
          <w:sz w:val="24"/>
          <w:szCs w:val="24"/>
          <w:highlight w:val="white"/>
          <w:rtl w:val="0"/>
        </w:rPr>
        <w:t xml:space="preserve">Make sure to provide a link to a data source.</w:t>
      </w:r>
    </w:p>
    <w:p w:rsidR="00000000" w:rsidDel="00000000" w:rsidP="00000000" w:rsidRDefault="00000000" w:rsidRPr="00000000" w14:paraId="00000059">
      <w:pPr>
        <w:numPr>
          <w:ilvl w:val="0"/>
          <w:numId w:val="10"/>
        </w:numPr>
        <w:spacing w:after="0" w:afterAutospacing="0" w:line="360" w:lineRule="auto"/>
        <w:ind w:left="1100" w:hanging="360"/>
      </w:pPr>
      <w:r w:rsidDel="00000000" w:rsidR="00000000" w:rsidRPr="00000000">
        <w:rPr>
          <w:color w:val="273540"/>
          <w:sz w:val="24"/>
          <w:szCs w:val="24"/>
          <w:highlight w:val="white"/>
          <w:rtl w:val="0"/>
        </w:rPr>
        <w:t xml:space="preserve">What response / outcome variable will you use?</w:t>
      </w:r>
    </w:p>
    <w:p w:rsidR="00000000" w:rsidDel="00000000" w:rsidP="00000000" w:rsidRDefault="00000000" w:rsidRPr="00000000" w14:paraId="0000005A">
      <w:pPr>
        <w:numPr>
          <w:ilvl w:val="0"/>
          <w:numId w:val="10"/>
        </w:numPr>
        <w:spacing w:after="0" w:afterAutospacing="0" w:line="360" w:lineRule="auto"/>
        <w:ind w:left="1100" w:hanging="360"/>
      </w:pPr>
      <w:r w:rsidDel="00000000" w:rsidR="00000000" w:rsidRPr="00000000">
        <w:rPr>
          <w:color w:val="273540"/>
          <w:sz w:val="24"/>
          <w:szCs w:val="24"/>
          <w:highlight w:val="white"/>
          <w:rtl w:val="0"/>
        </w:rPr>
        <w:t xml:space="preserve">What predictor variable(s) will you use?</w:t>
      </w:r>
    </w:p>
    <w:p w:rsidR="00000000" w:rsidDel="00000000" w:rsidP="00000000" w:rsidRDefault="00000000" w:rsidRPr="00000000" w14:paraId="0000005B">
      <w:pPr>
        <w:numPr>
          <w:ilvl w:val="0"/>
          <w:numId w:val="10"/>
        </w:numPr>
        <w:spacing w:after="0" w:afterAutospacing="0" w:line="360" w:lineRule="auto"/>
        <w:ind w:left="1100" w:hanging="360"/>
      </w:pPr>
      <w:r w:rsidDel="00000000" w:rsidR="00000000" w:rsidRPr="00000000">
        <w:rPr>
          <w:color w:val="273540"/>
          <w:sz w:val="24"/>
          <w:szCs w:val="24"/>
          <w:highlight w:val="white"/>
          <w:rtl w:val="0"/>
        </w:rPr>
        <w:t xml:space="preserve">What is your tentative analysis plan?</w:t>
      </w:r>
    </w:p>
    <w:p w:rsidR="00000000" w:rsidDel="00000000" w:rsidP="00000000" w:rsidRDefault="00000000" w:rsidRPr="00000000" w14:paraId="0000005C">
      <w:pPr>
        <w:numPr>
          <w:ilvl w:val="1"/>
          <w:numId w:val="10"/>
        </w:numPr>
        <w:spacing w:after="0" w:afterAutospacing="0" w:line="360" w:lineRule="auto"/>
        <w:ind w:left="2200" w:hanging="360"/>
      </w:pPr>
      <w:r w:rsidDel="00000000" w:rsidR="00000000" w:rsidRPr="00000000">
        <w:rPr>
          <w:color w:val="273540"/>
          <w:sz w:val="24"/>
          <w:szCs w:val="24"/>
          <w:highlight w:val="white"/>
          <w:rtl w:val="0"/>
        </w:rPr>
        <w:t xml:space="preserve">Are there any pitfalls you can see with this plan? Anything that could topple your idea?</w:t>
      </w:r>
    </w:p>
    <w:p w:rsidR="00000000" w:rsidDel="00000000" w:rsidP="00000000" w:rsidRDefault="00000000" w:rsidRPr="00000000" w14:paraId="0000005D">
      <w:pPr>
        <w:numPr>
          <w:ilvl w:val="0"/>
          <w:numId w:val="10"/>
        </w:numPr>
        <w:spacing w:after="0" w:afterAutospacing="0" w:line="360" w:lineRule="auto"/>
        <w:ind w:left="1100" w:hanging="360"/>
      </w:pPr>
      <w:r w:rsidDel="00000000" w:rsidR="00000000" w:rsidRPr="00000000">
        <w:rPr>
          <w:color w:val="273540"/>
          <w:sz w:val="24"/>
          <w:szCs w:val="24"/>
          <w:highlight w:val="white"/>
          <w:rtl w:val="0"/>
        </w:rPr>
        <w:t xml:space="preserve">How will you know if your question is answered?</w:t>
      </w:r>
    </w:p>
    <w:p w:rsidR="00000000" w:rsidDel="00000000" w:rsidP="00000000" w:rsidRDefault="00000000" w:rsidRPr="00000000" w14:paraId="0000005E">
      <w:pPr>
        <w:numPr>
          <w:ilvl w:val="0"/>
          <w:numId w:val="10"/>
        </w:numPr>
        <w:spacing w:after="100" w:line="360" w:lineRule="auto"/>
        <w:ind w:left="1100" w:hanging="360"/>
      </w:pPr>
      <w:r w:rsidDel="00000000" w:rsidR="00000000" w:rsidRPr="00000000">
        <w:rPr>
          <w:color w:val="273540"/>
          <w:sz w:val="24"/>
          <w:szCs w:val="24"/>
          <w:highlight w:val="white"/>
          <w:rtl w:val="0"/>
        </w:rPr>
        <w:t xml:space="preserve">How will you know if your hypothesis is supported?</w:t>
      </w:r>
    </w:p>
    <w:p w:rsidR="00000000" w:rsidDel="00000000" w:rsidP="00000000" w:rsidRDefault="00000000" w:rsidRPr="00000000" w14:paraId="0000005F">
      <w:pPr>
        <w:spacing w:after="180" w:before="180" w:line="360" w:lineRule="auto"/>
        <w:rPr>
          <w:b w:val="1"/>
          <w:i w:val="1"/>
          <w:color w:val="273540"/>
          <w:sz w:val="24"/>
          <w:szCs w:val="24"/>
          <w:highlight w:val="white"/>
        </w:rPr>
      </w:pPr>
      <w:r w:rsidDel="00000000" w:rsidR="00000000" w:rsidRPr="00000000">
        <w:rPr>
          <w:b w:val="1"/>
          <w:i w:val="1"/>
          <w:color w:val="273540"/>
          <w:sz w:val="24"/>
          <w:szCs w:val="24"/>
          <w:highlight w:val="white"/>
          <w:rtl w:val="0"/>
        </w:rPr>
        <w:t xml:space="preserve">Technical Details</w:t>
      </w:r>
    </w:p>
    <w:p w:rsidR="00000000" w:rsidDel="00000000" w:rsidP="00000000" w:rsidRDefault="00000000" w:rsidRPr="00000000" w14:paraId="00000060">
      <w:pPr>
        <w:numPr>
          <w:ilvl w:val="0"/>
          <w:numId w:val="6"/>
        </w:numPr>
        <w:spacing w:after="0" w:afterAutospacing="0" w:line="360" w:lineRule="auto"/>
        <w:ind w:left="1100" w:hanging="360"/>
      </w:pPr>
      <w:r w:rsidDel="00000000" w:rsidR="00000000" w:rsidRPr="00000000">
        <w:rPr>
          <w:color w:val="273540"/>
          <w:sz w:val="24"/>
          <w:szCs w:val="24"/>
          <w:highlight w:val="white"/>
          <w:rtl w:val="0"/>
        </w:rPr>
        <w:t xml:space="preserve">What language do you plan to code in?</w:t>
      </w:r>
    </w:p>
    <w:p w:rsidR="00000000" w:rsidDel="00000000" w:rsidP="00000000" w:rsidRDefault="00000000" w:rsidRPr="00000000" w14:paraId="00000061">
      <w:pPr>
        <w:numPr>
          <w:ilvl w:val="0"/>
          <w:numId w:val="6"/>
        </w:numPr>
        <w:spacing w:after="0" w:afterAutospacing="0" w:line="360" w:lineRule="auto"/>
        <w:ind w:left="1100" w:hanging="360"/>
      </w:pPr>
      <w:r w:rsidDel="00000000" w:rsidR="00000000" w:rsidRPr="00000000">
        <w:rPr>
          <w:color w:val="273540"/>
          <w:sz w:val="24"/>
          <w:szCs w:val="24"/>
          <w:highlight w:val="white"/>
          <w:rtl w:val="0"/>
        </w:rPr>
        <w:t xml:space="preserve">Are there any other resources will you need?</w:t>
      </w:r>
    </w:p>
    <w:p w:rsidR="00000000" w:rsidDel="00000000" w:rsidP="00000000" w:rsidRDefault="00000000" w:rsidRPr="00000000" w14:paraId="00000062">
      <w:pPr>
        <w:numPr>
          <w:ilvl w:val="0"/>
          <w:numId w:val="6"/>
        </w:numPr>
        <w:spacing w:after="100" w:line="360" w:lineRule="auto"/>
        <w:ind w:left="1100" w:hanging="360"/>
      </w:pPr>
      <w:r w:rsidDel="00000000" w:rsidR="00000000" w:rsidRPr="00000000">
        <w:rPr>
          <w:color w:val="273540"/>
          <w:sz w:val="24"/>
          <w:szCs w:val="24"/>
          <w:highlight w:val="white"/>
          <w:rtl w:val="0"/>
        </w:rPr>
        <w:t xml:space="preserve">What is the link to your GitHub repo?</w:t>
      </w:r>
    </w:p>
    <w:p w:rsidR="00000000" w:rsidDel="00000000" w:rsidP="00000000" w:rsidRDefault="00000000" w:rsidRPr="00000000" w14:paraId="00000063">
      <w:pPr>
        <w:spacing w:after="100" w:line="360" w:lineRule="auto"/>
        <w:rPr>
          <w:color w:val="273540"/>
          <w:sz w:val="24"/>
          <w:szCs w:val="24"/>
          <w:highlight w:val="white"/>
        </w:rPr>
      </w:pPr>
      <w:r w:rsidDel="00000000" w:rsidR="00000000" w:rsidRPr="00000000">
        <w:rPr>
          <w:color w:val="273540"/>
          <w:sz w:val="24"/>
          <w:szCs w:val="24"/>
          <w:highlight w:val="white"/>
          <w:rtl w:val="0"/>
        </w:rPr>
        <w:t xml:space="preserve">Please have the topic revolve around Energy.</w:t>
      </w:r>
    </w:p>
    <w:p w:rsidR="00000000" w:rsidDel="00000000" w:rsidP="00000000" w:rsidRDefault="00000000" w:rsidRPr="00000000" w14:paraId="00000064">
      <w:pPr>
        <w:spacing w:after="180" w:before="180" w:line="360" w:lineRule="auto"/>
        <w:rPr>
          <w:color w:val="273540"/>
          <w:sz w:val="24"/>
          <w:szCs w:val="24"/>
          <w:highlight w:val="white"/>
        </w:rPr>
      </w:pPr>
      <w:r w:rsidDel="00000000" w:rsidR="00000000" w:rsidRPr="00000000">
        <w:rPr>
          <w:color w:val="273540"/>
          <w:sz w:val="24"/>
          <w:szCs w:val="24"/>
          <w:highlight w:val="white"/>
          <w:rtl w:val="0"/>
        </w:rPr>
        <w:t xml:space="preserve"> </w:t>
      </w:r>
    </w:p>
    <w:p w:rsidR="00000000" w:rsidDel="00000000" w:rsidP="00000000" w:rsidRDefault="00000000" w:rsidRPr="00000000" w14:paraId="00000065">
      <w:pPr>
        <w:spacing w:after="180" w:before="180" w:line="360" w:lineRule="auto"/>
        <w:rPr/>
      </w:pPr>
      <w:r w:rsidDel="00000000" w:rsidR="00000000" w:rsidRPr="00000000">
        <w:rPr>
          <w:rtl w:val="0"/>
        </w:rPr>
      </w:r>
    </w:p>
    <w:p w:rsidR="00000000" w:rsidDel="00000000" w:rsidP="00000000" w:rsidRDefault="00000000" w:rsidRPr="00000000" w14:paraId="00000066">
      <w:pPr>
        <w:numPr>
          <w:ilvl w:val="0"/>
          <w:numId w:val="9"/>
        </w:numPr>
        <w:spacing w:line="360" w:lineRule="auto"/>
        <w:ind w:left="720" w:hanging="360"/>
        <w:rPr>
          <w:u w:val="none"/>
        </w:rPr>
      </w:pPr>
      <w:r w:rsidDel="00000000" w:rsidR="00000000" w:rsidRPr="00000000">
        <w:rPr>
          <w:rtl w:val="0"/>
        </w:rPr>
        <w:t xml:space="preserve">We validated by checking with Gemini</w:t>
      </w:r>
      <w:r w:rsidDel="00000000" w:rsidR="00000000" w:rsidRPr="00000000">
        <w:rPr>
          <w:rtl w:val="0"/>
        </w:rPr>
      </w:r>
    </w:p>
    <w:p w:rsidR="00000000" w:rsidDel="00000000" w:rsidP="00000000" w:rsidRDefault="00000000" w:rsidRPr="00000000" w14:paraId="00000067">
      <w:pPr>
        <w:pStyle w:val="Heading1"/>
        <w:rPr/>
      </w:pPr>
      <w:bookmarkStart w:colFirst="0" w:colLast="0" w:name="_628oex9twspg" w:id="22"/>
      <w:bookmarkEnd w:id="22"/>
      <w:r w:rsidDel="00000000" w:rsidR="00000000" w:rsidRPr="00000000">
        <w:rPr>
          <w:rtl w:val="0"/>
        </w:rPr>
      </w:r>
    </w:p>
    <w:p w:rsidR="00000000" w:rsidDel="00000000" w:rsidP="00000000" w:rsidRDefault="00000000" w:rsidRPr="00000000" w14:paraId="00000068">
      <w:pPr>
        <w:pStyle w:val="Heading1"/>
        <w:rPr/>
      </w:pPr>
      <w:bookmarkStart w:colFirst="0" w:colLast="0" w:name="_3j8h1ozhsm3d" w:id="23"/>
      <w:bookmarkEnd w:id="23"/>
      <w:r w:rsidDel="00000000" w:rsidR="00000000" w:rsidRPr="00000000">
        <w:rPr>
          <w:rtl w:val="0"/>
        </w:rPr>
        <w:t xml:space="preserve">Sources: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spacing w:line="360" w:lineRule="auto"/>
        <w:ind w:left="720" w:hanging="360"/>
        <w:rPr>
          <w:u w:val="none"/>
        </w:rPr>
      </w:pPr>
      <w:r w:rsidDel="00000000" w:rsidR="00000000" w:rsidRPr="00000000">
        <w:rPr>
          <w:b w:val="1"/>
          <w:rtl w:val="0"/>
        </w:rPr>
        <w:t xml:space="preserve">International Energy Agency.</w:t>
      </w:r>
      <w:r w:rsidDel="00000000" w:rsidR="00000000" w:rsidRPr="00000000">
        <w:rPr>
          <w:rtl w:val="0"/>
        </w:rPr>
        <w:t xml:space="preserve"> </w:t>
      </w:r>
      <w:r w:rsidDel="00000000" w:rsidR="00000000" w:rsidRPr="00000000">
        <w:rPr>
          <w:i w:val="1"/>
          <w:rtl w:val="0"/>
        </w:rPr>
        <w:t xml:space="preserve">World Energy Outlook 2023</w:t>
      </w:r>
      <w:r w:rsidDel="00000000" w:rsidR="00000000" w:rsidRPr="00000000">
        <w:rPr>
          <w:rtl w:val="0"/>
        </w:rPr>
        <w:t xml:space="preserve">. IEA, 2023, </w:t>
      </w:r>
      <w:hyperlink r:id="rId10">
        <w:r w:rsidDel="00000000" w:rsidR="00000000" w:rsidRPr="00000000">
          <w:rPr>
            <w:color w:val="1155cc"/>
            <w:u w:val="single"/>
            <w:rtl w:val="0"/>
          </w:rPr>
          <w:t xml:space="preserve">https://www.iea.org/reports/world-energy-outlook-2023</w:t>
        </w:r>
      </w:hyperlink>
      <w:r w:rsidDel="00000000" w:rsidR="00000000" w:rsidRPr="00000000">
        <w:rPr>
          <w:rtl w:val="0"/>
        </w:rPr>
        <w:t xml:space="preserve">.</w:t>
      </w:r>
    </w:p>
    <w:p w:rsidR="00000000" w:rsidDel="00000000" w:rsidP="00000000" w:rsidRDefault="00000000" w:rsidRPr="00000000" w14:paraId="0000006B">
      <w:pPr>
        <w:spacing w:line="360" w:lineRule="auto"/>
        <w:ind w:left="720" w:firstLine="0"/>
        <w:rPr/>
      </w:pPr>
      <w:r w:rsidDel="00000000" w:rsidR="00000000" w:rsidRPr="00000000">
        <w:rPr>
          <w:rtl w:val="0"/>
        </w:rPr>
      </w:r>
    </w:p>
    <w:p w:rsidR="00000000" w:rsidDel="00000000" w:rsidP="00000000" w:rsidRDefault="00000000" w:rsidRPr="00000000" w14:paraId="0000006C">
      <w:pPr>
        <w:numPr>
          <w:ilvl w:val="0"/>
          <w:numId w:val="2"/>
        </w:numPr>
        <w:spacing w:line="360" w:lineRule="auto"/>
        <w:ind w:left="720" w:hanging="360"/>
        <w:rPr>
          <w:u w:val="none"/>
        </w:rPr>
      </w:pPr>
      <w:r w:rsidDel="00000000" w:rsidR="00000000" w:rsidRPr="00000000">
        <w:rPr>
          <w:rtl w:val="0"/>
        </w:rPr>
        <w:t xml:space="preserve">Carley, Sanya, and David M. Konisky. "The Justice and Equity Implications of the Clean Energy Transition." </w:t>
      </w:r>
      <w:r w:rsidDel="00000000" w:rsidR="00000000" w:rsidRPr="00000000">
        <w:rPr>
          <w:i w:val="1"/>
          <w:rtl w:val="0"/>
        </w:rPr>
        <w:t xml:space="preserve">Energy Policy</w:t>
      </w:r>
      <w:r w:rsidDel="00000000" w:rsidR="00000000" w:rsidRPr="00000000">
        <w:rPr>
          <w:rtl w:val="0"/>
        </w:rPr>
        <w:t xml:space="preserve">, vol. 143, 2020, 111726. Elsevier, </w:t>
      </w:r>
      <w:hyperlink r:id="rId11">
        <w:r w:rsidDel="00000000" w:rsidR="00000000" w:rsidRPr="00000000">
          <w:rPr>
            <w:color w:val="1155cc"/>
            <w:u w:val="single"/>
            <w:rtl w:val="0"/>
          </w:rPr>
          <w:t xml:space="preserve">https://doi.org/10.1016/j.enpol.2020.111726</w:t>
        </w:r>
      </w:hyperlink>
      <w:r w:rsidDel="00000000" w:rsidR="00000000" w:rsidRPr="00000000">
        <w:rPr>
          <w:rtl w:val="0"/>
        </w:rPr>
        <w:t xml:space="preserve">.</w:t>
      </w:r>
    </w:p>
    <w:p w:rsidR="00000000" w:rsidDel="00000000" w:rsidP="00000000" w:rsidRDefault="00000000" w:rsidRPr="00000000" w14:paraId="0000006D">
      <w:pPr>
        <w:spacing w:line="360" w:lineRule="auto"/>
        <w:ind w:left="720" w:firstLine="0"/>
        <w:rPr/>
      </w:pPr>
      <w:r w:rsidDel="00000000" w:rsidR="00000000" w:rsidRPr="00000000">
        <w:rPr>
          <w:rtl w:val="0"/>
        </w:rPr>
      </w:r>
    </w:p>
    <w:p w:rsidR="00000000" w:rsidDel="00000000" w:rsidP="00000000" w:rsidRDefault="00000000" w:rsidRPr="00000000" w14:paraId="0000006E">
      <w:pPr>
        <w:numPr>
          <w:ilvl w:val="0"/>
          <w:numId w:val="2"/>
        </w:numPr>
        <w:spacing w:line="360" w:lineRule="auto"/>
        <w:ind w:left="720" w:hanging="360"/>
        <w:rPr>
          <w:u w:val="none"/>
        </w:rPr>
      </w:pPr>
      <w:r w:rsidDel="00000000" w:rsidR="00000000" w:rsidRPr="00000000">
        <w:rPr>
          <w:rtl w:val="0"/>
        </w:rPr>
        <w:t xml:space="preserve"> </w:t>
      </w:r>
      <w:r w:rsidDel="00000000" w:rsidR="00000000" w:rsidRPr="00000000">
        <w:rPr>
          <w:b w:val="1"/>
          <w:rtl w:val="0"/>
        </w:rPr>
        <w:t xml:space="preserve">International Renewable Energy Agency (IRENA).</w:t>
      </w:r>
      <w:r w:rsidDel="00000000" w:rsidR="00000000" w:rsidRPr="00000000">
        <w:rPr>
          <w:rtl w:val="0"/>
        </w:rPr>
        <w:t xml:space="preserve"> </w:t>
      </w:r>
      <w:r w:rsidDel="00000000" w:rsidR="00000000" w:rsidRPr="00000000">
        <w:rPr>
          <w:i w:val="1"/>
          <w:rtl w:val="0"/>
        </w:rPr>
        <w:t xml:space="preserve">Renewable Power Generation Costs in 2022</w:t>
      </w:r>
      <w:r w:rsidDel="00000000" w:rsidR="00000000" w:rsidRPr="00000000">
        <w:rPr>
          <w:rtl w:val="0"/>
        </w:rPr>
        <w:t xml:space="preserve">. IRENA, 2022, </w:t>
      </w:r>
      <w:hyperlink r:id="rId12">
        <w:r w:rsidDel="00000000" w:rsidR="00000000" w:rsidRPr="00000000">
          <w:rPr>
            <w:color w:val="1155cc"/>
            <w:u w:val="single"/>
            <w:rtl w:val="0"/>
          </w:rPr>
          <w:t xml:space="preserve">https://www.irena.org/Publications</w:t>
        </w:r>
      </w:hyperlink>
      <w:r w:rsidDel="00000000" w:rsidR="00000000" w:rsidRPr="00000000">
        <w:rPr>
          <w:rtl w:val="0"/>
        </w:rPr>
        <w:t xml:space="preserve">.</w:t>
      </w:r>
    </w:p>
    <w:p w:rsidR="00000000" w:rsidDel="00000000" w:rsidP="00000000" w:rsidRDefault="00000000" w:rsidRPr="00000000" w14:paraId="0000006F">
      <w:pPr>
        <w:spacing w:line="360" w:lineRule="auto"/>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elissa Best" w:id="0" w:date="2025-07-13T02:37:51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find data that shows the demand increase?</w:t>
      </w:r>
    </w:p>
  </w:comment>
  <w:comment w:author="Kevin Puduseril" w:id="1" w:date="2025-07-13T20:41:4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U.S. Energy Information Administration (EIA) data, which directly tracks total electricity consumption by state and sector over time. https://www.eia.gov/electricity/data/state/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73540"/>
        <w:sz w:val="24"/>
        <w:szCs w:val="24"/>
        <w:highlight w:val="white"/>
        <w:u w:val="none"/>
      </w:rPr>
    </w:lvl>
    <w:lvl w:ilvl="1">
      <w:start w:val="1"/>
      <w:numFmt w:val="bullet"/>
      <w:lvlText w:val="○"/>
      <w:lvlJc w:val="left"/>
      <w:pPr>
        <w:ind w:left="1440" w:hanging="360"/>
      </w:pPr>
      <w:rPr>
        <w:rFonts w:ascii="Arial" w:cs="Arial" w:eastAsia="Arial" w:hAnsi="Arial"/>
        <w:color w:val="273540"/>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540"/>
        <w:sz w:val="24"/>
        <w:szCs w:val="24"/>
        <w:highlight w:val="white"/>
        <w:u w:val="none"/>
      </w:rPr>
    </w:lvl>
    <w:lvl w:ilvl="1">
      <w:start w:val="1"/>
      <w:numFmt w:val="bullet"/>
      <w:lvlText w:val="○"/>
      <w:lvlJc w:val="left"/>
      <w:pPr>
        <w:ind w:left="1440" w:hanging="360"/>
      </w:pPr>
      <w:rPr>
        <w:rFonts w:ascii="Arial" w:cs="Arial" w:eastAsia="Arial" w:hAnsi="Arial"/>
        <w:color w:val="273540"/>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54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540"/>
        <w:sz w:val="24"/>
        <w:szCs w:val="24"/>
        <w:highlight w:val="white"/>
        <w:u w:val="none"/>
      </w:rPr>
    </w:lvl>
    <w:lvl w:ilvl="1">
      <w:start w:val="1"/>
      <w:numFmt w:val="bullet"/>
      <w:lvlText w:val="○"/>
      <w:lvlJc w:val="left"/>
      <w:pPr>
        <w:ind w:left="1440" w:hanging="360"/>
      </w:pPr>
      <w:rPr>
        <w:rFonts w:ascii="Arial" w:cs="Arial" w:eastAsia="Arial" w:hAnsi="Arial"/>
        <w:color w:val="273540"/>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enpol.2020.111726" TargetMode="External"/><Relationship Id="rId10" Type="http://schemas.openxmlformats.org/officeDocument/2006/relationships/hyperlink" Target="https://www.iea.org/reports/world-energy-outlook-2023" TargetMode="External"/><Relationship Id="rId13" Type="http://schemas.openxmlformats.org/officeDocument/2006/relationships/header" Target="header1.xml"/><Relationship Id="rId12" Type="http://schemas.openxmlformats.org/officeDocument/2006/relationships/hyperlink" Target="https://www.irena.org/Publica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TaxMuttle/DSE631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ia.gov/electricity/data/state/" TargetMode="External"/><Relationship Id="rId8" Type="http://schemas.openxmlformats.org/officeDocument/2006/relationships/hyperlink" Target="https://www.eia.gov/electricity/data/state/annual_generation_state.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