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line="480" w:lineRule="auto"/>
        <w:rPr/>
      </w:pPr>
      <w:bookmarkStart w:colFirst="0" w:colLast="0" w:name="_uunqc7hmj903" w:id="0"/>
      <w:bookmarkEnd w:id="0"/>
      <w:r w:rsidDel="00000000" w:rsidR="00000000" w:rsidRPr="00000000">
        <w:rPr>
          <w:rtl w:val="0"/>
        </w:rPr>
        <w:t xml:space="preserve">Finalized Project Proposal</w:t>
      </w:r>
    </w:p>
    <w:p w:rsidR="00000000" w:rsidDel="00000000" w:rsidP="00000000" w:rsidRDefault="00000000" w:rsidRPr="00000000" w14:paraId="00000002">
      <w:pPr>
        <w:pStyle w:val="Heading1"/>
        <w:spacing w:line="480" w:lineRule="auto"/>
        <w:rPr/>
      </w:pPr>
      <w:bookmarkStart w:colFirst="0" w:colLast="0" w:name="_8rtohwctq5nd" w:id="1"/>
      <w:bookmarkEnd w:id="1"/>
      <w:r w:rsidDel="00000000" w:rsidR="00000000" w:rsidRPr="00000000">
        <w:rPr>
          <w:rtl w:val="0"/>
        </w:rPr>
        <w:t xml:space="preserve">Basics</w:t>
      </w:r>
    </w:p>
    <w:p w:rsidR="00000000" w:rsidDel="00000000" w:rsidP="00000000" w:rsidRDefault="00000000" w:rsidRPr="00000000" w14:paraId="00000003">
      <w:pPr>
        <w:pStyle w:val="Heading2"/>
        <w:spacing w:line="480" w:lineRule="auto"/>
        <w:rPr/>
      </w:pPr>
      <w:bookmarkStart w:colFirst="0" w:colLast="0" w:name="_dp8fembbt347" w:id="2"/>
      <w:bookmarkEnd w:id="2"/>
      <w:r w:rsidDel="00000000" w:rsidR="00000000" w:rsidRPr="00000000">
        <w:rPr>
          <w:rtl w:val="0"/>
        </w:rPr>
        <w:t xml:space="preserve">Team Lead: Maxwell Tuttle</w:t>
      </w:r>
    </w:p>
    <w:p w:rsidR="00000000" w:rsidDel="00000000" w:rsidP="00000000" w:rsidRDefault="00000000" w:rsidRPr="00000000" w14:paraId="00000004">
      <w:pPr>
        <w:pStyle w:val="Heading2"/>
        <w:spacing w:line="480" w:lineRule="auto"/>
        <w:rPr/>
      </w:pPr>
      <w:bookmarkStart w:colFirst="0" w:colLast="0" w:name="_a713okedke97" w:id="3"/>
      <w:bookmarkEnd w:id="3"/>
      <w:r w:rsidDel="00000000" w:rsidR="00000000" w:rsidRPr="00000000">
        <w:rPr>
          <w:rtl w:val="0"/>
        </w:rPr>
        <w:t xml:space="preserve">Recorder: Melissa Best</w:t>
      </w:r>
    </w:p>
    <w:p w:rsidR="00000000" w:rsidDel="00000000" w:rsidP="00000000" w:rsidRDefault="00000000" w:rsidRPr="00000000" w14:paraId="00000005">
      <w:pPr>
        <w:pStyle w:val="Heading2"/>
        <w:spacing w:line="480" w:lineRule="auto"/>
        <w:rPr/>
      </w:pPr>
      <w:bookmarkStart w:colFirst="0" w:colLast="0" w:name="_lrl6s8yt73kl" w:id="4"/>
      <w:bookmarkEnd w:id="4"/>
      <w:r w:rsidDel="00000000" w:rsidR="00000000" w:rsidRPr="00000000">
        <w:rPr>
          <w:rtl w:val="0"/>
        </w:rPr>
        <w:t xml:space="preserve">Spokesperson: Kevin Puduseril</w:t>
      </w:r>
    </w:p>
    <w:p w:rsidR="00000000" w:rsidDel="00000000" w:rsidP="00000000" w:rsidRDefault="00000000" w:rsidRPr="00000000" w14:paraId="00000006">
      <w:pPr>
        <w:spacing w:line="480" w:lineRule="auto"/>
        <w:rPr/>
      </w:pPr>
      <w:r w:rsidDel="00000000" w:rsidR="00000000" w:rsidRPr="00000000">
        <w:rPr>
          <w:rtl w:val="0"/>
        </w:rPr>
      </w:r>
    </w:p>
    <w:p w:rsidR="00000000" w:rsidDel="00000000" w:rsidP="00000000" w:rsidRDefault="00000000" w:rsidRPr="00000000" w14:paraId="00000007">
      <w:pPr>
        <w:pStyle w:val="Heading2"/>
        <w:spacing w:line="480" w:lineRule="auto"/>
        <w:rPr>
          <w:b w:val="1"/>
        </w:rPr>
      </w:pPr>
      <w:bookmarkStart w:colFirst="0" w:colLast="0" w:name="_gvnga6t5sthj" w:id="5"/>
      <w:bookmarkEnd w:id="5"/>
      <w:r w:rsidDel="00000000" w:rsidR="00000000" w:rsidRPr="00000000">
        <w:rPr>
          <w:b w:val="1"/>
          <w:rtl w:val="0"/>
        </w:rPr>
        <w:t xml:space="preserve">Background &amp; Question</w:t>
      </w:r>
    </w:p>
    <w:p w:rsidR="00000000" w:rsidDel="00000000" w:rsidP="00000000" w:rsidRDefault="00000000" w:rsidRPr="00000000" w14:paraId="00000008">
      <w:pPr>
        <w:pStyle w:val="Heading3"/>
        <w:spacing w:line="480" w:lineRule="auto"/>
        <w:rPr/>
      </w:pPr>
      <w:bookmarkStart w:colFirst="0" w:colLast="0" w:name="_thg4qbi31mzg" w:id="6"/>
      <w:bookmarkEnd w:id="6"/>
      <w:r w:rsidDel="00000000" w:rsidR="00000000" w:rsidRPr="00000000">
        <w:rPr>
          <w:rtl w:val="0"/>
        </w:rPr>
        <w:t xml:space="preserve">Research Question:</w:t>
      </w:r>
    </w:p>
    <w:p w:rsidR="00000000" w:rsidDel="00000000" w:rsidP="00000000" w:rsidRDefault="00000000" w:rsidRPr="00000000" w14:paraId="00000009">
      <w:pPr>
        <w:spacing w:line="480" w:lineRule="auto"/>
        <w:rPr/>
      </w:pPr>
      <w:r w:rsidDel="00000000" w:rsidR="00000000" w:rsidRPr="00000000">
        <w:rPr>
          <w:rtl w:val="0"/>
        </w:rPr>
        <w:t xml:space="preserve">What combination of state characteristics (political leaning, grid capacity, median income, existing energy mix, etc.) and renewable energy policy designs (Renewable Portfolio Standard targets, subsidy types, etc.) best predicts a successful change in fossil fuel shares per state in the U.S.?</w:t>
      </w:r>
    </w:p>
    <w:p w:rsidR="00000000" w:rsidDel="00000000" w:rsidP="00000000" w:rsidRDefault="00000000" w:rsidRPr="00000000" w14:paraId="0000000A">
      <w:pPr>
        <w:spacing w:line="480" w:lineRule="auto"/>
        <w:rPr/>
      </w:pPr>
      <w:r w:rsidDel="00000000" w:rsidR="00000000" w:rsidRPr="00000000">
        <w:rPr>
          <w:rtl w:val="0"/>
        </w:rPr>
      </w:r>
    </w:p>
    <w:p w:rsidR="00000000" w:rsidDel="00000000" w:rsidP="00000000" w:rsidRDefault="00000000" w:rsidRPr="00000000" w14:paraId="0000000B">
      <w:pPr>
        <w:pStyle w:val="Heading3"/>
        <w:spacing w:line="480" w:lineRule="auto"/>
        <w:rPr/>
      </w:pPr>
      <w:bookmarkStart w:colFirst="0" w:colLast="0" w:name="_k33yq1mpt1fd" w:id="7"/>
      <w:bookmarkEnd w:id="7"/>
      <w:r w:rsidDel="00000000" w:rsidR="00000000" w:rsidRPr="00000000">
        <w:rPr>
          <w:rtl w:val="0"/>
        </w:rPr>
        <w:t xml:space="preserve">Motivation:</w:t>
      </w:r>
    </w:p>
    <w:p w:rsidR="00000000" w:rsidDel="00000000" w:rsidP="00000000" w:rsidRDefault="00000000" w:rsidRPr="00000000" w14:paraId="0000000C">
      <w:pPr>
        <w:spacing w:line="480" w:lineRule="auto"/>
        <w:rPr/>
      </w:pPr>
      <w:r w:rsidDel="00000000" w:rsidR="00000000" w:rsidRPr="00000000">
        <w:rPr>
          <w:rtl w:val="0"/>
        </w:rPr>
        <w:t xml:space="preserve">As climate concerns grow, U.S. states are progressively adopting policies to lower their reliance on fossil fuels. However, the effectiveness of these policies vary considerably. Some states see quick adoption of renewables, while others grapple to make meaningful transitions. This inconsistency suggests that success is affected by more than policy alone — foundational state characteristics may play a key role.</w:t>
      </w:r>
    </w:p>
    <w:p w:rsidR="00000000" w:rsidDel="00000000" w:rsidP="00000000" w:rsidRDefault="00000000" w:rsidRPr="00000000" w14:paraId="0000000D">
      <w:pPr>
        <w:spacing w:line="480" w:lineRule="auto"/>
        <w:rPr/>
      </w:pPr>
      <w:r w:rsidDel="00000000" w:rsidR="00000000" w:rsidRPr="00000000">
        <w:rPr>
          <w:rtl w:val="0"/>
        </w:rPr>
      </w:r>
    </w:p>
    <w:p w:rsidR="00000000" w:rsidDel="00000000" w:rsidP="00000000" w:rsidRDefault="00000000" w:rsidRPr="00000000" w14:paraId="0000000E">
      <w:pPr>
        <w:pStyle w:val="Heading3"/>
        <w:spacing w:line="480" w:lineRule="auto"/>
        <w:rPr/>
      </w:pPr>
      <w:bookmarkStart w:colFirst="0" w:colLast="0" w:name="_21e1ixx7bok6" w:id="8"/>
      <w:bookmarkEnd w:id="8"/>
      <w:r w:rsidDel="00000000" w:rsidR="00000000" w:rsidRPr="00000000">
        <w:rPr>
          <w:rtl w:val="0"/>
        </w:rPr>
        <w:t xml:space="preserve">Need/Niche:</w:t>
      </w:r>
    </w:p>
    <w:p w:rsidR="00000000" w:rsidDel="00000000" w:rsidP="00000000" w:rsidRDefault="00000000" w:rsidRPr="00000000" w14:paraId="0000000F">
      <w:pPr>
        <w:spacing w:line="480" w:lineRule="auto"/>
        <w:rPr/>
      </w:pPr>
      <w:r w:rsidDel="00000000" w:rsidR="00000000" w:rsidRPr="00000000">
        <w:rPr>
          <w:rtl w:val="0"/>
        </w:rPr>
        <w:t xml:space="preserve">Present-day literature (Carley, 2009; Fischlein &amp; Smith, 2013; Shrimali &amp; Kniefel, 2011) frequently evaluates the success of energy policies in isolation (e.g., Renewable Portfolio Standard effectiveness), but relatively few studies examine the interaction between policy design and structural state-level features (like income or political climate). Our study fills this niche by recognizing which combinations of conditions and policies are most predictive of fossil fuel displacement success.</w:t>
      </w:r>
    </w:p>
    <w:p w:rsidR="00000000" w:rsidDel="00000000" w:rsidP="00000000" w:rsidRDefault="00000000" w:rsidRPr="00000000" w14:paraId="00000010">
      <w:pPr>
        <w:spacing w:line="480" w:lineRule="auto"/>
        <w:rPr/>
      </w:pPr>
      <w:r w:rsidDel="00000000" w:rsidR="00000000" w:rsidRPr="00000000">
        <w:rPr>
          <w:rtl w:val="0"/>
        </w:rPr>
      </w:r>
    </w:p>
    <w:p w:rsidR="00000000" w:rsidDel="00000000" w:rsidP="00000000" w:rsidRDefault="00000000" w:rsidRPr="00000000" w14:paraId="00000011">
      <w:pPr>
        <w:pStyle w:val="Heading3"/>
        <w:spacing w:line="480" w:lineRule="auto"/>
        <w:rPr/>
      </w:pPr>
      <w:bookmarkStart w:colFirst="0" w:colLast="0" w:name="_sb4txdiafq0j" w:id="9"/>
      <w:bookmarkEnd w:id="9"/>
      <w:r w:rsidDel="00000000" w:rsidR="00000000" w:rsidRPr="00000000">
        <w:rPr>
          <w:rtl w:val="0"/>
        </w:rPr>
        <w:t xml:space="preserve">Why This Question Matters:</w:t>
      </w:r>
    </w:p>
    <w:p w:rsidR="00000000" w:rsidDel="00000000" w:rsidP="00000000" w:rsidRDefault="00000000" w:rsidRPr="00000000" w14:paraId="00000012">
      <w:pPr>
        <w:spacing w:line="480" w:lineRule="auto"/>
        <w:rPr/>
      </w:pPr>
      <w:r w:rsidDel="00000000" w:rsidR="00000000" w:rsidRPr="00000000">
        <w:rPr>
          <w:rtl w:val="0"/>
        </w:rPr>
        <w:t xml:space="preserve">The findings can guide policymakers and other interested parties in creating realistic, context-sensitive energy policies. By comprehending the conditions under which fossil fuel displacement is most successful, states can avoid one-size-fits-all strategies and take on tailored approaches. </w:t>
      </w:r>
    </w:p>
    <w:p w:rsidR="00000000" w:rsidDel="00000000" w:rsidP="00000000" w:rsidRDefault="00000000" w:rsidRPr="00000000" w14:paraId="00000013">
      <w:pPr>
        <w:spacing w:line="480" w:lineRule="auto"/>
        <w:rPr/>
      </w:pPr>
      <w:r w:rsidDel="00000000" w:rsidR="00000000" w:rsidRPr="00000000">
        <w:rPr>
          <w:rtl w:val="0"/>
        </w:rPr>
      </w:r>
    </w:p>
    <w:p w:rsidR="00000000" w:rsidDel="00000000" w:rsidP="00000000" w:rsidRDefault="00000000" w:rsidRPr="00000000" w14:paraId="00000014">
      <w:pPr>
        <w:pStyle w:val="Heading3"/>
        <w:spacing w:line="480" w:lineRule="auto"/>
        <w:rPr/>
      </w:pPr>
      <w:bookmarkStart w:colFirst="0" w:colLast="0" w:name="_qu4yjvxre69y" w:id="10"/>
      <w:bookmarkEnd w:id="10"/>
      <w:r w:rsidDel="00000000" w:rsidR="00000000" w:rsidRPr="00000000">
        <w:rPr>
          <w:rtl w:val="0"/>
        </w:rPr>
        <w:t xml:space="preserve">Novelty &amp; Originality:</w:t>
      </w:r>
    </w:p>
    <w:p w:rsidR="00000000" w:rsidDel="00000000" w:rsidP="00000000" w:rsidRDefault="00000000" w:rsidRPr="00000000" w14:paraId="00000015">
      <w:pPr>
        <w:spacing w:line="480" w:lineRule="auto"/>
        <w:rPr/>
      </w:pPr>
      <w:r w:rsidDel="00000000" w:rsidR="00000000" w:rsidRPr="00000000">
        <w:rPr>
          <w:rtl w:val="0"/>
        </w:rPr>
        <w:t xml:space="preserve">Even though some studies analyze Renewable Portfolio Standard targets or clean energy adoption singly, few blend multi-dimensional state-level predictors with policy features in a comparative model across all 50 states. This project is original in its comparative approach using predictive modeling and machine learning tools to expose key drivers.</w:t>
      </w:r>
    </w:p>
    <w:p w:rsidR="00000000" w:rsidDel="00000000" w:rsidP="00000000" w:rsidRDefault="00000000" w:rsidRPr="00000000" w14:paraId="00000016">
      <w:pPr>
        <w:pStyle w:val="Heading2"/>
        <w:spacing w:line="480" w:lineRule="auto"/>
        <w:rPr>
          <w:b w:val="1"/>
        </w:rPr>
      </w:pPr>
      <w:bookmarkStart w:colFirst="0" w:colLast="0" w:name="_bh7x4ybeo5r5" w:id="11"/>
      <w:bookmarkEnd w:id="11"/>
      <w:r w:rsidDel="00000000" w:rsidR="00000000" w:rsidRPr="00000000">
        <w:rPr>
          <w:b w:val="1"/>
          <w:rtl w:val="0"/>
        </w:rPr>
        <w:t xml:space="preserve">Hypothesis &amp; Prediction</w:t>
      </w:r>
    </w:p>
    <w:p w:rsidR="00000000" w:rsidDel="00000000" w:rsidP="00000000" w:rsidRDefault="00000000" w:rsidRPr="00000000" w14:paraId="00000017">
      <w:pPr>
        <w:pStyle w:val="Heading3"/>
        <w:spacing w:line="480" w:lineRule="auto"/>
        <w:rPr/>
      </w:pPr>
      <w:bookmarkStart w:colFirst="0" w:colLast="0" w:name="_2k71i6ao4koi" w:id="12"/>
      <w:bookmarkEnd w:id="12"/>
      <w:r w:rsidDel="00000000" w:rsidR="00000000" w:rsidRPr="00000000">
        <w:rPr>
          <w:rtl w:val="0"/>
        </w:rPr>
        <w:t xml:space="preserve">Hypothesis:</w:t>
      </w:r>
    </w:p>
    <w:p w:rsidR="00000000" w:rsidDel="00000000" w:rsidP="00000000" w:rsidRDefault="00000000" w:rsidRPr="00000000" w14:paraId="00000018">
      <w:pPr>
        <w:spacing w:line="480" w:lineRule="auto"/>
        <w:rPr/>
      </w:pPr>
      <w:r w:rsidDel="00000000" w:rsidR="00000000" w:rsidRPr="00000000">
        <w:rPr>
          <w:rtl w:val="0"/>
        </w:rPr>
        <w:t xml:space="preserve">States with supportive political climates (e.g., liberal leaning), high grid capacity, higher median incomes, and ambitious, well-designed renewable energy policies (e.g., binding Renewable Portfolio Standard with financial incentives) will be more successful in displacing fossil fuel energy sources.</w:t>
      </w:r>
    </w:p>
    <w:p w:rsidR="00000000" w:rsidDel="00000000" w:rsidP="00000000" w:rsidRDefault="00000000" w:rsidRPr="00000000" w14:paraId="00000019">
      <w:pPr>
        <w:spacing w:line="480" w:lineRule="auto"/>
        <w:rPr/>
      </w:pPr>
      <w:r w:rsidDel="00000000" w:rsidR="00000000" w:rsidRPr="00000000">
        <w:rPr>
          <w:rtl w:val="0"/>
        </w:rPr>
      </w:r>
    </w:p>
    <w:p w:rsidR="00000000" w:rsidDel="00000000" w:rsidP="00000000" w:rsidRDefault="00000000" w:rsidRPr="00000000" w14:paraId="0000001A">
      <w:pPr>
        <w:pStyle w:val="Heading3"/>
        <w:spacing w:line="480" w:lineRule="auto"/>
        <w:rPr/>
      </w:pPr>
      <w:bookmarkStart w:colFirst="0" w:colLast="0" w:name="_jmobtxm0ofbo" w:id="13"/>
      <w:bookmarkEnd w:id="13"/>
      <w:r w:rsidDel="00000000" w:rsidR="00000000" w:rsidRPr="00000000">
        <w:rPr>
          <w:rtl w:val="0"/>
        </w:rPr>
        <w:t xml:space="preserve">Prediction:</w:t>
      </w:r>
    </w:p>
    <w:p w:rsidR="00000000" w:rsidDel="00000000" w:rsidP="00000000" w:rsidRDefault="00000000" w:rsidRPr="00000000" w14:paraId="0000001B">
      <w:pPr>
        <w:spacing w:line="480" w:lineRule="auto"/>
        <w:rPr/>
      </w:pPr>
      <w:r w:rsidDel="00000000" w:rsidR="00000000" w:rsidRPr="00000000">
        <w:rPr>
          <w:rtl w:val="0"/>
        </w:rPr>
        <w:t xml:space="preserve">A machine learning classifier or regression model will show that the above features are significantly and positively associated with a greater percentage-point reduction in fossil fuel energy share over the past decade, compared to other states.</w:t>
      </w:r>
    </w:p>
    <w:p w:rsidR="00000000" w:rsidDel="00000000" w:rsidP="00000000" w:rsidRDefault="00000000" w:rsidRPr="00000000" w14:paraId="0000001C">
      <w:pPr>
        <w:spacing w:line="480" w:lineRule="auto"/>
        <w:rPr/>
      </w:pPr>
      <w:r w:rsidDel="00000000" w:rsidR="00000000" w:rsidRPr="00000000">
        <w:rPr>
          <w:rtl w:val="0"/>
        </w:rPr>
      </w:r>
    </w:p>
    <w:p w:rsidR="00000000" w:rsidDel="00000000" w:rsidP="00000000" w:rsidRDefault="00000000" w:rsidRPr="00000000" w14:paraId="0000001D">
      <w:pPr>
        <w:spacing w:line="480" w:lineRule="auto"/>
        <w:rPr/>
      </w:pPr>
      <w:r w:rsidDel="00000000" w:rsidR="00000000" w:rsidRPr="00000000">
        <w:rPr>
          <w:rtl w:val="0"/>
        </w:rPr>
      </w:r>
    </w:p>
    <w:p w:rsidR="00000000" w:rsidDel="00000000" w:rsidP="00000000" w:rsidRDefault="00000000" w:rsidRPr="00000000" w14:paraId="0000001E">
      <w:pPr>
        <w:spacing w:line="480" w:lineRule="auto"/>
        <w:rPr/>
      </w:pPr>
      <w:r w:rsidDel="00000000" w:rsidR="00000000" w:rsidRPr="00000000">
        <w:rPr>
          <w:rtl w:val="0"/>
        </w:rPr>
      </w:r>
    </w:p>
    <w:p w:rsidR="00000000" w:rsidDel="00000000" w:rsidP="00000000" w:rsidRDefault="00000000" w:rsidRPr="00000000" w14:paraId="0000001F">
      <w:pPr>
        <w:spacing w:line="480" w:lineRule="auto"/>
        <w:rPr/>
      </w:pPr>
      <w:r w:rsidDel="00000000" w:rsidR="00000000" w:rsidRPr="00000000">
        <w:rPr>
          <w:rtl w:val="0"/>
        </w:rPr>
      </w:r>
    </w:p>
    <w:p w:rsidR="00000000" w:rsidDel="00000000" w:rsidP="00000000" w:rsidRDefault="00000000" w:rsidRPr="00000000" w14:paraId="00000020">
      <w:pPr>
        <w:spacing w:line="480" w:lineRule="auto"/>
        <w:rPr/>
      </w:pPr>
      <w:r w:rsidDel="00000000" w:rsidR="00000000" w:rsidRPr="00000000">
        <w:rPr>
          <w:rtl w:val="0"/>
        </w:rPr>
      </w:r>
    </w:p>
    <w:p w:rsidR="00000000" w:rsidDel="00000000" w:rsidP="00000000" w:rsidRDefault="00000000" w:rsidRPr="00000000" w14:paraId="00000021">
      <w:pPr>
        <w:spacing w:line="480" w:lineRule="auto"/>
        <w:rPr/>
      </w:pPr>
      <w:r w:rsidDel="00000000" w:rsidR="00000000" w:rsidRPr="00000000">
        <w:rPr>
          <w:rtl w:val="0"/>
        </w:rPr>
      </w:r>
    </w:p>
    <w:p w:rsidR="00000000" w:rsidDel="00000000" w:rsidP="00000000" w:rsidRDefault="00000000" w:rsidRPr="00000000" w14:paraId="00000022">
      <w:pPr>
        <w:pStyle w:val="Heading2"/>
        <w:spacing w:line="480" w:lineRule="auto"/>
        <w:rPr/>
      </w:pPr>
      <w:bookmarkStart w:colFirst="0" w:colLast="0" w:name="_dvk2krxop2ea" w:id="14"/>
      <w:bookmarkEnd w:id="14"/>
      <w:r w:rsidDel="00000000" w:rsidR="00000000" w:rsidRPr="00000000">
        <w:rPr>
          <w:b w:val="1"/>
          <w:rtl w:val="0"/>
        </w:rPr>
        <w:t xml:space="preserve">Data &amp; Analysis</w:t>
      </w:r>
      <w:r w:rsidDel="00000000" w:rsidR="00000000" w:rsidRPr="00000000">
        <w:rPr>
          <w:rtl w:val="0"/>
        </w:rPr>
      </w:r>
    </w:p>
    <w:p w:rsidR="00000000" w:rsidDel="00000000" w:rsidP="00000000" w:rsidRDefault="00000000" w:rsidRPr="00000000" w14:paraId="00000023">
      <w:pPr>
        <w:pStyle w:val="Heading3"/>
        <w:numPr>
          <w:ilvl w:val="0"/>
          <w:numId w:val="3"/>
        </w:numPr>
        <w:spacing w:after="0" w:afterAutospacing="0" w:line="480" w:lineRule="auto"/>
        <w:ind w:left="720" w:hanging="360"/>
      </w:pPr>
      <w:bookmarkStart w:colFirst="0" w:colLast="0" w:name="_zctibdh2kdpd" w:id="15"/>
      <w:bookmarkEnd w:id="15"/>
      <w:r w:rsidDel="00000000" w:rsidR="00000000" w:rsidRPr="00000000">
        <w:rPr>
          <w:rtl w:val="0"/>
        </w:rPr>
        <w:t xml:space="preserve">U.S. EIA “Net Generation by State by Type of Producer by Energy Source”</w:t>
      </w:r>
    </w:p>
    <w:p w:rsidR="00000000" w:rsidDel="00000000" w:rsidP="00000000" w:rsidRDefault="00000000" w:rsidRPr="00000000" w14:paraId="00000024">
      <w:pPr>
        <w:numPr>
          <w:ilvl w:val="0"/>
          <w:numId w:val="11"/>
        </w:numPr>
        <w:spacing w:line="480" w:lineRule="auto"/>
        <w:ind w:left="1440" w:hanging="360"/>
        <w:rPr/>
      </w:pPr>
      <w:r w:rsidDel="00000000" w:rsidR="00000000" w:rsidRPr="00000000">
        <w:rPr>
          <w:rtl w:val="0"/>
        </w:rPr>
        <w:t xml:space="preserve">We will use the </w:t>
      </w:r>
      <w:r w:rsidDel="00000000" w:rsidR="00000000" w:rsidRPr="00000000">
        <w:rPr>
          <w:b w:val="1"/>
          <w:rtl w:val="0"/>
        </w:rPr>
        <w:t xml:space="preserve">U.S. Energy Information Administration (EIA)</w:t>
      </w:r>
      <w:r w:rsidDel="00000000" w:rsidR="00000000" w:rsidRPr="00000000">
        <w:rPr>
          <w:rtl w:val="0"/>
        </w:rPr>
        <w:t xml:space="preserve">’s “Net Generation by State by Type of Producer by Energy Source” dataset. It provides detailed annual electricity generation (in MWh) by energy source (e.g., solar, wind, coal, natural gas, etc.) from 1990 to the most recent available year.</w:t>
      </w:r>
    </w:p>
    <w:p w:rsidR="00000000" w:rsidDel="00000000" w:rsidP="00000000" w:rsidRDefault="00000000" w:rsidRPr="00000000" w14:paraId="00000025">
      <w:pPr>
        <w:spacing w:line="480" w:lineRule="auto"/>
        <w:ind w:left="720" w:firstLine="0"/>
        <w:rPr/>
      </w:pPr>
      <w:r w:rsidDel="00000000" w:rsidR="00000000" w:rsidRPr="00000000">
        <w:rPr>
          <w:rtl w:val="0"/>
        </w:rPr>
      </w:r>
    </w:p>
    <w:p w:rsidR="00000000" w:rsidDel="00000000" w:rsidP="00000000" w:rsidRDefault="00000000" w:rsidRPr="00000000" w14:paraId="00000026">
      <w:pPr>
        <w:numPr>
          <w:ilvl w:val="0"/>
          <w:numId w:val="14"/>
        </w:numPr>
        <w:spacing w:line="480" w:lineRule="auto"/>
        <w:ind w:left="1440" w:hanging="360"/>
        <w:rPr/>
      </w:pPr>
      <w:r w:rsidDel="00000000" w:rsidR="00000000" w:rsidRPr="00000000">
        <w:rPr>
          <w:b w:val="1"/>
          <w:rtl w:val="0"/>
        </w:rPr>
        <w:t xml:space="preserve">Link:</w:t>
      </w:r>
      <w:r w:rsidDel="00000000" w:rsidR="00000000" w:rsidRPr="00000000">
        <w:rPr>
          <w:rtl w:val="0"/>
        </w:rPr>
        <w:t xml:space="preserve"> </w:t>
      </w:r>
      <w:hyperlink r:id="rId6">
        <w:r w:rsidDel="00000000" w:rsidR="00000000" w:rsidRPr="00000000">
          <w:rPr>
            <w:color w:val="1155cc"/>
            <w:u w:val="single"/>
            <w:rtl w:val="0"/>
          </w:rPr>
          <w:t xml:space="preserve">https://www.eia.gov/electricity/data/state/</w:t>
        </w:r>
      </w:hyperlink>
      <w:r w:rsidDel="00000000" w:rsidR="00000000" w:rsidRPr="00000000">
        <w:rPr>
          <w:rtl w:val="0"/>
        </w:rPr>
      </w:r>
    </w:p>
    <w:p w:rsidR="00000000" w:rsidDel="00000000" w:rsidP="00000000" w:rsidRDefault="00000000" w:rsidRPr="00000000" w14:paraId="00000027">
      <w:pPr>
        <w:numPr>
          <w:ilvl w:val="0"/>
          <w:numId w:val="14"/>
        </w:numPr>
        <w:shd w:fill="ffffff" w:val="clear"/>
        <w:spacing w:line="480" w:lineRule="auto"/>
        <w:ind w:left="1440" w:right="300" w:hanging="360"/>
        <w:rPr>
          <w:b w:val="1"/>
        </w:rPr>
      </w:pPr>
      <w:r w:rsidDel="00000000" w:rsidR="00000000" w:rsidRPr="00000000">
        <w:rPr>
          <w:b w:val="1"/>
          <w:rtl w:val="0"/>
        </w:rPr>
        <w:t xml:space="preserve">EIA-923 Power Plant Operations Report (released: 10/4/2024)</w:t>
      </w:r>
    </w:p>
    <w:p w:rsidR="00000000" w:rsidDel="00000000" w:rsidP="00000000" w:rsidRDefault="00000000" w:rsidRPr="00000000" w14:paraId="00000028">
      <w:pPr>
        <w:numPr>
          <w:ilvl w:val="0"/>
          <w:numId w:val="14"/>
        </w:numPr>
        <w:shd w:fill="ffffff" w:val="clear"/>
        <w:spacing w:line="480" w:lineRule="auto"/>
        <w:ind w:left="1440" w:right="300" w:hanging="360"/>
        <w:rPr/>
      </w:pPr>
      <w:r w:rsidDel="00000000" w:rsidR="00000000" w:rsidRPr="00000000">
        <w:rPr>
          <w:rtl w:val="0"/>
        </w:rPr>
        <w:t xml:space="preserve">Net Generation by State by Type of Producer by Energy Source (EIA-906, EIA-920, and EIA-923)</w:t>
      </w:r>
      <w:r w:rsidDel="00000000" w:rsidR="00000000" w:rsidRPr="00000000">
        <w:rPr>
          <w:vertAlign w:val="superscript"/>
          <w:rtl w:val="0"/>
        </w:rPr>
        <w:t xml:space="preserve">1</w:t>
      </w:r>
    </w:p>
    <w:p w:rsidR="00000000" w:rsidDel="00000000" w:rsidP="00000000" w:rsidRDefault="00000000" w:rsidRPr="00000000" w14:paraId="00000029">
      <w:pPr>
        <w:numPr>
          <w:ilvl w:val="0"/>
          <w:numId w:val="14"/>
        </w:numPr>
        <w:shd w:fill="ffffff" w:val="clear"/>
        <w:spacing w:line="480" w:lineRule="auto"/>
        <w:ind w:left="1440" w:right="300" w:hanging="360"/>
        <w:rPr/>
      </w:pPr>
      <w:r w:rsidDel="00000000" w:rsidR="00000000" w:rsidRPr="00000000">
        <w:rPr>
          <w:i w:val="1"/>
          <w:color w:val="333333"/>
          <w:rtl w:val="0"/>
        </w:rPr>
        <w:t xml:space="preserve">Date range:</w:t>
      </w:r>
      <w:r w:rsidDel="00000000" w:rsidR="00000000" w:rsidRPr="00000000">
        <w:rPr>
          <w:rtl w:val="0"/>
        </w:rPr>
        <w:t xml:space="preserve"> 1990 – 2023</w:t>
      </w:r>
    </w:p>
    <w:p w:rsidR="00000000" w:rsidDel="00000000" w:rsidP="00000000" w:rsidRDefault="00000000" w:rsidRPr="00000000" w14:paraId="0000002A">
      <w:pPr>
        <w:numPr>
          <w:ilvl w:val="1"/>
          <w:numId w:val="14"/>
        </w:numPr>
        <w:shd w:fill="ffffff" w:val="clear"/>
        <w:spacing w:line="480" w:lineRule="auto"/>
        <w:ind w:left="2160" w:right="300" w:hanging="360"/>
        <w:rPr/>
      </w:pPr>
      <w:r w:rsidDel="00000000" w:rsidR="00000000" w:rsidRPr="00000000">
        <w:rPr>
          <w:i w:val="1"/>
          <w:rtl w:val="0"/>
        </w:rPr>
        <w:t xml:space="preserve">Available formats:</w:t>
      </w:r>
      <w:r w:rsidDel="00000000" w:rsidR="00000000" w:rsidRPr="00000000">
        <w:rPr>
          <w:rtl w:val="0"/>
        </w:rPr>
        <w:t xml:space="preserve"> </w:t>
      </w:r>
      <w:hyperlink r:id="rId7">
        <w:r w:rsidDel="00000000" w:rsidR="00000000" w:rsidRPr="00000000">
          <w:rPr>
            <w:color w:val="007eb5"/>
            <w:rtl w:val="0"/>
          </w:rPr>
          <w:t xml:space="preserve">XLS</w:t>
        </w:r>
      </w:hyperlink>
      <w:r w:rsidDel="00000000" w:rsidR="00000000" w:rsidRPr="00000000">
        <w:rPr>
          <w:rtl w:val="0"/>
        </w:rPr>
      </w:r>
    </w:p>
    <w:p w:rsidR="00000000" w:rsidDel="00000000" w:rsidP="00000000" w:rsidRDefault="00000000" w:rsidRPr="00000000" w14:paraId="0000002B">
      <w:pPr>
        <w:numPr>
          <w:ilvl w:val="0"/>
          <w:numId w:val="14"/>
        </w:numPr>
        <w:spacing w:line="480" w:lineRule="auto"/>
        <w:ind w:left="1440" w:hanging="360"/>
        <w:rPr/>
      </w:pPr>
      <w:r w:rsidDel="00000000" w:rsidR="00000000" w:rsidRPr="00000000">
        <w:rPr>
          <w:rtl w:val="0"/>
        </w:rPr>
        <w:t xml:space="preserve">This dataset is ideal because it offers granular, multi-decade data on generation by energy type and geography, allowing for a robust longitudinal state-level analysis.</w:t>
      </w:r>
    </w:p>
    <w:p w:rsidR="00000000" w:rsidDel="00000000" w:rsidP="00000000" w:rsidRDefault="00000000" w:rsidRPr="00000000" w14:paraId="0000002C">
      <w:pPr>
        <w:spacing w:line="480" w:lineRule="auto"/>
        <w:ind w:left="720" w:firstLine="0"/>
        <w:rPr/>
      </w:pPr>
      <w:r w:rsidDel="00000000" w:rsidR="00000000" w:rsidRPr="00000000">
        <w:rPr>
          <w:rtl w:val="0"/>
        </w:rPr>
      </w:r>
    </w:p>
    <w:p w:rsidR="00000000" w:rsidDel="00000000" w:rsidP="00000000" w:rsidRDefault="00000000" w:rsidRPr="00000000" w14:paraId="0000002D">
      <w:pPr>
        <w:pStyle w:val="Heading3"/>
        <w:numPr>
          <w:ilvl w:val="0"/>
          <w:numId w:val="3"/>
        </w:numPr>
        <w:spacing w:line="480" w:lineRule="auto"/>
        <w:ind w:left="720" w:hanging="360"/>
        <w:rPr/>
      </w:pPr>
      <w:bookmarkStart w:colFirst="0" w:colLast="0" w:name="_ezmfegj7t8qq" w:id="16"/>
      <w:bookmarkEnd w:id="16"/>
      <w:r w:rsidDel="00000000" w:rsidR="00000000" w:rsidRPr="00000000">
        <w:rPr>
          <w:rtl w:val="0"/>
        </w:rPr>
        <w:t xml:space="preserve">U.S. EIA State Energy Data System</w:t>
      </w:r>
    </w:p>
    <w:p w:rsidR="00000000" w:rsidDel="00000000" w:rsidP="00000000" w:rsidRDefault="00000000" w:rsidRPr="00000000" w14:paraId="0000002E">
      <w:pPr>
        <w:numPr>
          <w:ilvl w:val="0"/>
          <w:numId w:val="7"/>
        </w:numPr>
        <w:spacing w:after="200" w:before="200" w:line="480" w:lineRule="auto"/>
        <w:ind w:left="1440" w:hanging="360"/>
        <w:rPr>
          <w:u w:val="none"/>
        </w:rPr>
      </w:pPr>
      <w:r w:rsidDel="00000000" w:rsidR="00000000" w:rsidRPr="00000000">
        <w:rPr>
          <w:rtl w:val="0"/>
        </w:rPr>
        <w:t xml:space="preserve">Use: Annual energy generation mix by source (coal, natural gas, renewables, etc.) for each U.S. state</w:t>
      </w:r>
    </w:p>
    <w:p w:rsidR="00000000" w:rsidDel="00000000" w:rsidP="00000000" w:rsidRDefault="00000000" w:rsidRPr="00000000" w14:paraId="0000002F">
      <w:pPr>
        <w:numPr>
          <w:ilvl w:val="0"/>
          <w:numId w:val="7"/>
        </w:numPr>
        <w:spacing w:after="200" w:before="200" w:line="480" w:lineRule="auto"/>
        <w:ind w:left="1440" w:hanging="360"/>
        <w:rPr>
          <w:u w:val="none"/>
        </w:rPr>
      </w:pPr>
      <w:r w:rsidDel="00000000" w:rsidR="00000000" w:rsidRPr="00000000">
        <w:rPr>
          <w:rtl w:val="0"/>
        </w:rPr>
        <w:t xml:space="preserve">Main Site:</w:t>
      </w:r>
      <w:hyperlink r:id="rId8">
        <w:r w:rsidDel="00000000" w:rsidR="00000000" w:rsidRPr="00000000">
          <w:rPr>
            <w:color w:val="1155cc"/>
            <w:u w:val="single"/>
            <w:rtl w:val="0"/>
          </w:rPr>
          <w:t xml:space="preserve">https://www.eia.gov/state/seds/</w:t>
        </w:r>
      </w:hyperlink>
      <w:r w:rsidDel="00000000" w:rsidR="00000000" w:rsidRPr="00000000">
        <w:rPr>
          <w:rtl w:val="0"/>
        </w:rPr>
      </w:r>
    </w:p>
    <w:p w:rsidR="00000000" w:rsidDel="00000000" w:rsidP="00000000" w:rsidRDefault="00000000" w:rsidRPr="00000000" w14:paraId="00000030">
      <w:pPr>
        <w:numPr>
          <w:ilvl w:val="0"/>
          <w:numId w:val="7"/>
        </w:numPr>
        <w:spacing w:after="200" w:before="200" w:line="480" w:lineRule="auto"/>
        <w:ind w:left="1440" w:hanging="360"/>
        <w:rPr>
          <w:u w:val="none"/>
        </w:rPr>
      </w:pPr>
      <w:r w:rsidDel="00000000" w:rsidR="00000000" w:rsidRPr="00000000">
        <w:rPr>
          <w:rtl w:val="0"/>
        </w:rPr>
        <w:t xml:space="preserve">Direct Download: </w:t>
      </w:r>
      <w:hyperlink r:id="rId9">
        <w:r w:rsidDel="00000000" w:rsidR="00000000" w:rsidRPr="00000000">
          <w:rPr>
            <w:color w:val="1155cc"/>
            <w:u w:val="single"/>
            <w:rtl w:val="0"/>
          </w:rPr>
          <w:t xml:space="preserve">https://www.eia.gov/state/seds/seds-data-complete.php</w:t>
        </w:r>
      </w:hyperlink>
      <w:r w:rsidDel="00000000" w:rsidR="00000000" w:rsidRPr="00000000">
        <w:rPr>
          <w:rtl w:val="0"/>
        </w:rPr>
      </w:r>
    </w:p>
    <w:p w:rsidR="00000000" w:rsidDel="00000000" w:rsidP="00000000" w:rsidRDefault="00000000" w:rsidRPr="00000000" w14:paraId="00000031">
      <w:pPr>
        <w:numPr>
          <w:ilvl w:val="0"/>
          <w:numId w:val="7"/>
        </w:numPr>
        <w:spacing w:after="200" w:line="480" w:lineRule="auto"/>
        <w:ind w:left="1440" w:hanging="360"/>
        <w:rPr>
          <w:u w:val="none"/>
        </w:rPr>
      </w:pPr>
      <w:hyperlink r:id="rId10">
        <w:r w:rsidDel="00000000" w:rsidR="00000000" w:rsidRPr="00000000">
          <w:rPr>
            <w:color w:val="1155cc"/>
            <w:u w:val="single"/>
            <w:rtl w:val="0"/>
          </w:rPr>
          <w:t xml:space="preserve">Use_all_btu.xlsx</w:t>
        </w:r>
      </w:hyperlink>
      <w:r w:rsidDel="00000000" w:rsidR="00000000" w:rsidRPr="00000000">
        <w:rPr>
          <w:rtl w:val="0"/>
        </w:rPr>
      </w:r>
    </w:p>
    <w:p w:rsidR="00000000" w:rsidDel="00000000" w:rsidP="00000000" w:rsidRDefault="00000000" w:rsidRPr="00000000" w14:paraId="00000032">
      <w:pPr>
        <w:numPr>
          <w:ilvl w:val="1"/>
          <w:numId w:val="7"/>
        </w:numPr>
        <w:spacing w:after="200" w:line="480" w:lineRule="auto"/>
        <w:ind w:left="2160" w:hanging="360"/>
        <w:rPr>
          <w:u w:val="none"/>
        </w:rPr>
      </w:pPr>
      <w:r w:rsidDel="00000000" w:rsidR="00000000" w:rsidRPr="00000000">
        <w:rPr>
          <w:rtl w:val="0"/>
        </w:rPr>
        <w:t xml:space="preserve">This file contains total energy consumption by fuel type, sector, state, and year, measured in billion BTUs.</w:t>
      </w:r>
    </w:p>
    <w:p w:rsidR="00000000" w:rsidDel="00000000" w:rsidP="00000000" w:rsidRDefault="00000000" w:rsidRPr="00000000" w14:paraId="00000033">
      <w:pPr>
        <w:numPr>
          <w:ilvl w:val="0"/>
          <w:numId w:val="7"/>
        </w:numPr>
        <w:spacing w:after="200" w:line="480" w:lineRule="auto"/>
        <w:ind w:left="1440" w:hanging="360"/>
        <w:rPr>
          <w:u w:val="none"/>
        </w:rPr>
      </w:pPr>
      <w:hyperlink r:id="rId11">
        <w:r w:rsidDel="00000000" w:rsidR="00000000" w:rsidRPr="00000000">
          <w:rPr>
            <w:color w:val="1155cc"/>
            <w:u w:val="single"/>
            <w:rtl w:val="0"/>
          </w:rPr>
          <w:t xml:space="preserve">Codes_and_Descriptions.xlsx</w:t>
        </w:r>
      </w:hyperlink>
      <w:r w:rsidDel="00000000" w:rsidR="00000000" w:rsidRPr="00000000">
        <w:rPr>
          <w:rtl w:val="0"/>
        </w:rPr>
      </w:r>
    </w:p>
    <w:p w:rsidR="00000000" w:rsidDel="00000000" w:rsidP="00000000" w:rsidRDefault="00000000" w:rsidRPr="00000000" w14:paraId="00000034">
      <w:pPr>
        <w:numPr>
          <w:ilvl w:val="1"/>
          <w:numId w:val="7"/>
        </w:numPr>
        <w:spacing w:after="200" w:line="480" w:lineRule="auto"/>
        <w:ind w:left="2160" w:hanging="360"/>
        <w:rPr>
          <w:u w:val="none"/>
        </w:rPr>
      </w:pPr>
      <w:r w:rsidDel="00000000" w:rsidR="00000000" w:rsidRPr="00000000">
        <w:rPr>
          <w:rtl w:val="0"/>
        </w:rPr>
        <w:t xml:space="preserve">This file defines the MSN codes used in the main data file so we can identify</w:t>
      </w:r>
    </w:p>
    <w:p w:rsidR="00000000" w:rsidDel="00000000" w:rsidP="00000000" w:rsidRDefault="00000000" w:rsidRPr="00000000" w14:paraId="00000035">
      <w:pPr>
        <w:numPr>
          <w:ilvl w:val="2"/>
          <w:numId w:val="7"/>
        </w:numPr>
        <w:spacing w:after="200" w:line="480" w:lineRule="auto"/>
        <w:ind w:left="2880" w:hanging="360"/>
        <w:rPr>
          <w:u w:val="none"/>
        </w:rPr>
      </w:pPr>
      <w:r w:rsidDel="00000000" w:rsidR="00000000" w:rsidRPr="00000000">
        <w:rPr>
          <w:rtl w:val="0"/>
        </w:rPr>
        <w:t xml:space="preserve">What each row represents</w:t>
      </w:r>
    </w:p>
    <w:p w:rsidR="00000000" w:rsidDel="00000000" w:rsidP="00000000" w:rsidRDefault="00000000" w:rsidRPr="00000000" w14:paraId="00000036">
      <w:pPr>
        <w:numPr>
          <w:ilvl w:val="2"/>
          <w:numId w:val="7"/>
        </w:numPr>
        <w:spacing w:after="200" w:line="480" w:lineRule="auto"/>
        <w:ind w:left="2880" w:hanging="360"/>
        <w:rPr>
          <w:u w:val="none"/>
        </w:rPr>
      </w:pPr>
      <w:r w:rsidDel="00000000" w:rsidR="00000000" w:rsidRPr="00000000">
        <w:rPr>
          <w:rtl w:val="0"/>
        </w:rPr>
        <w:t xml:space="preserve">Which fuel and sector it corresponds to</w:t>
      </w:r>
    </w:p>
    <w:p w:rsidR="00000000" w:rsidDel="00000000" w:rsidP="00000000" w:rsidRDefault="00000000" w:rsidRPr="00000000" w14:paraId="00000037">
      <w:pPr>
        <w:numPr>
          <w:ilvl w:val="0"/>
          <w:numId w:val="7"/>
        </w:numPr>
        <w:spacing w:after="200" w:line="480" w:lineRule="auto"/>
        <w:ind w:left="1440" w:hanging="360"/>
        <w:rPr>
          <w:u w:val="none"/>
        </w:rPr>
      </w:pPr>
      <w:r w:rsidDel="00000000" w:rsidR="00000000" w:rsidRPr="00000000">
        <w:rPr>
          <w:rtl w:val="0"/>
        </w:rPr>
        <w:t xml:space="preserve">U.S. Energy Information Administration. </w:t>
      </w:r>
      <w:r w:rsidDel="00000000" w:rsidR="00000000" w:rsidRPr="00000000">
        <w:rPr>
          <w:i w:val="1"/>
          <w:rtl w:val="0"/>
        </w:rPr>
        <w:t xml:space="preserve">State Energy Data System (SEDS)</w:t>
      </w:r>
      <w:r w:rsidDel="00000000" w:rsidR="00000000" w:rsidRPr="00000000">
        <w:rPr>
          <w:rtl w:val="0"/>
        </w:rPr>
        <w:t xml:space="preserve">. Retrieved from </w:t>
      </w:r>
      <w:hyperlink r:id="rId12">
        <w:r w:rsidDel="00000000" w:rsidR="00000000" w:rsidRPr="00000000">
          <w:rPr>
            <w:color w:val="1155cc"/>
            <w:u w:val="single"/>
            <w:rtl w:val="0"/>
          </w:rPr>
          <w:t xml:space="preserve">https://www.eia.gov/state/seds/</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8">
      <w:pPr>
        <w:spacing w:line="480" w:lineRule="auto"/>
        <w:ind w:left="720" w:firstLine="0"/>
        <w:rPr/>
      </w:pPr>
      <w:r w:rsidDel="00000000" w:rsidR="00000000" w:rsidRPr="00000000">
        <w:rPr>
          <w:rtl w:val="0"/>
        </w:rPr>
      </w:r>
    </w:p>
    <w:p w:rsidR="00000000" w:rsidDel="00000000" w:rsidP="00000000" w:rsidRDefault="00000000" w:rsidRPr="00000000" w14:paraId="00000039">
      <w:pPr>
        <w:pStyle w:val="Heading3"/>
        <w:numPr>
          <w:ilvl w:val="0"/>
          <w:numId w:val="3"/>
        </w:numPr>
        <w:spacing w:line="480" w:lineRule="auto"/>
        <w:ind w:left="720" w:hanging="360"/>
      </w:pPr>
      <w:bookmarkStart w:colFirst="0" w:colLast="0" w:name="_9cxebsqsjlha" w:id="17"/>
      <w:bookmarkEnd w:id="17"/>
      <w:r w:rsidDel="00000000" w:rsidR="00000000" w:rsidRPr="00000000">
        <w:rPr>
          <w:rtl w:val="0"/>
        </w:rPr>
        <w:t xml:space="preserve">DSIRE (Database of State Incentives for Renewables &amp; Efficiency)</w:t>
      </w:r>
    </w:p>
    <w:p w:rsidR="00000000" w:rsidDel="00000000" w:rsidP="00000000" w:rsidRDefault="00000000" w:rsidRPr="00000000" w14:paraId="0000003A">
      <w:pPr>
        <w:numPr>
          <w:ilvl w:val="0"/>
          <w:numId w:val="8"/>
        </w:numPr>
        <w:spacing w:before="200" w:line="480" w:lineRule="auto"/>
        <w:ind w:left="1440" w:hanging="360"/>
        <w:rPr>
          <w:u w:val="none"/>
        </w:rPr>
      </w:pPr>
      <w:r w:rsidDel="00000000" w:rsidR="00000000" w:rsidRPr="00000000">
        <w:rPr>
          <w:rtl w:val="0"/>
        </w:rPr>
        <w:t xml:space="preserve">Purpose: State-level policy data - Renewable Portfolio Standards (RPS), tax credits, subsidies, etc.</w:t>
      </w:r>
    </w:p>
    <w:p w:rsidR="00000000" w:rsidDel="00000000" w:rsidP="00000000" w:rsidRDefault="00000000" w:rsidRPr="00000000" w14:paraId="0000003B">
      <w:pPr>
        <w:numPr>
          <w:ilvl w:val="0"/>
          <w:numId w:val="8"/>
        </w:numPr>
        <w:spacing w:before="200" w:line="480" w:lineRule="auto"/>
        <w:ind w:left="1440" w:hanging="360"/>
        <w:rPr>
          <w:u w:val="none"/>
        </w:rPr>
      </w:pPr>
      <w:r w:rsidDel="00000000" w:rsidR="00000000" w:rsidRPr="00000000">
        <w:rPr>
          <w:rtl w:val="0"/>
        </w:rPr>
        <w:t xml:space="preserve">Main site: </w:t>
      </w:r>
      <w:hyperlink r:id="rId13">
        <w:r w:rsidDel="00000000" w:rsidR="00000000" w:rsidRPr="00000000">
          <w:rPr>
            <w:color w:val="1155cc"/>
            <w:u w:val="single"/>
            <w:rtl w:val="0"/>
          </w:rPr>
          <w:t xml:space="preserve">https://www.dsireusa.org/</w:t>
        </w:r>
      </w:hyperlink>
      <w:r w:rsidDel="00000000" w:rsidR="00000000" w:rsidRPr="00000000">
        <w:rPr>
          <w:rtl w:val="0"/>
        </w:rPr>
        <w:t xml:space="preserve"> </w:t>
      </w:r>
    </w:p>
    <w:p w:rsidR="00000000" w:rsidDel="00000000" w:rsidP="00000000" w:rsidRDefault="00000000" w:rsidRPr="00000000" w14:paraId="0000003C">
      <w:pPr>
        <w:numPr>
          <w:ilvl w:val="0"/>
          <w:numId w:val="8"/>
        </w:numPr>
        <w:spacing w:before="200" w:line="480" w:lineRule="auto"/>
        <w:ind w:left="1440" w:hanging="360"/>
        <w:rPr>
          <w:u w:val="none"/>
        </w:rPr>
      </w:pPr>
      <w:r w:rsidDel="00000000" w:rsidR="00000000" w:rsidRPr="00000000">
        <w:rPr>
          <w:rtl w:val="0"/>
        </w:rPr>
        <w:t xml:space="preserve">State policy search: </w:t>
      </w:r>
      <w:hyperlink r:id="rId14">
        <w:r w:rsidDel="00000000" w:rsidR="00000000" w:rsidRPr="00000000">
          <w:rPr>
            <w:color w:val="1155cc"/>
            <w:u w:val="single"/>
            <w:rtl w:val="0"/>
          </w:rPr>
          <w:t xml:space="preserve">https://www.dsireusa.org/resources/detailed-summary-maps/</w:t>
        </w:r>
      </w:hyperlink>
      <w:r w:rsidDel="00000000" w:rsidR="00000000" w:rsidRPr="00000000">
        <w:rPr>
          <w:rtl w:val="0"/>
        </w:rPr>
        <w:t xml:space="preserve"> </w:t>
      </w:r>
    </w:p>
    <w:p w:rsidR="00000000" w:rsidDel="00000000" w:rsidP="00000000" w:rsidRDefault="00000000" w:rsidRPr="00000000" w14:paraId="0000003D">
      <w:pPr>
        <w:numPr>
          <w:ilvl w:val="0"/>
          <w:numId w:val="8"/>
        </w:numPr>
        <w:spacing w:before="200" w:line="480" w:lineRule="auto"/>
        <w:ind w:left="1440" w:hanging="360"/>
        <w:rPr>
          <w:u w:val="none"/>
        </w:rPr>
      </w:pPr>
      <w:r w:rsidDel="00000000" w:rsidR="00000000" w:rsidRPr="00000000">
        <w:rPr>
          <w:rtl w:val="0"/>
        </w:rPr>
        <w:t xml:space="preserve">North Carolina Clean Energy Technology Center. </w:t>
      </w:r>
      <w:r w:rsidDel="00000000" w:rsidR="00000000" w:rsidRPr="00000000">
        <w:rPr>
          <w:i w:val="1"/>
          <w:rtl w:val="0"/>
        </w:rPr>
        <w:t xml:space="preserve">Database of State Incentives for Renewables &amp; Efficiency (DSIRE)</w:t>
      </w:r>
      <w:r w:rsidDel="00000000" w:rsidR="00000000" w:rsidRPr="00000000">
        <w:rPr>
          <w:rtl w:val="0"/>
        </w:rPr>
        <w:t xml:space="preserve">. Retrieved from</w:t>
      </w:r>
      <w:hyperlink r:id="rId15">
        <w:r w:rsidDel="00000000" w:rsidR="00000000" w:rsidRPr="00000000">
          <w:rPr>
            <w:rtl w:val="0"/>
          </w:rPr>
          <w:t xml:space="preserve"> </w:t>
        </w:r>
      </w:hyperlink>
      <w:hyperlink r:id="rId16">
        <w:r w:rsidDel="00000000" w:rsidR="00000000" w:rsidRPr="00000000">
          <w:rPr>
            <w:color w:val="1155cc"/>
            <w:u w:val="single"/>
            <w:rtl w:val="0"/>
          </w:rPr>
          <w:t xml:space="preserve">https://www.dsireusa.org/</w:t>
        </w:r>
      </w:hyperlink>
      <w:r w:rsidDel="00000000" w:rsidR="00000000" w:rsidRPr="00000000">
        <w:rPr>
          <w:rtl w:val="0"/>
        </w:rPr>
      </w:r>
    </w:p>
    <w:p w:rsidR="00000000" w:rsidDel="00000000" w:rsidP="00000000" w:rsidRDefault="00000000" w:rsidRPr="00000000" w14:paraId="0000003E">
      <w:pPr>
        <w:spacing w:before="200" w:line="480" w:lineRule="auto"/>
        <w:ind w:left="0" w:firstLine="0"/>
        <w:rPr/>
      </w:pPr>
      <w:r w:rsidDel="00000000" w:rsidR="00000000" w:rsidRPr="00000000">
        <w:rPr>
          <w:rtl w:val="0"/>
        </w:rPr>
      </w:r>
    </w:p>
    <w:p w:rsidR="00000000" w:rsidDel="00000000" w:rsidP="00000000" w:rsidRDefault="00000000" w:rsidRPr="00000000" w14:paraId="0000003F">
      <w:pPr>
        <w:spacing w:line="480" w:lineRule="auto"/>
        <w:ind w:left="720" w:firstLine="0"/>
        <w:rPr/>
      </w:pPr>
      <w:r w:rsidDel="00000000" w:rsidR="00000000" w:rsidRPr="00000000">
        <w:rPr>
          <w:rtl w:val="0"/>
        </w:rPr>
      </w:r>
    </w:p>
    <w:p w:rsidR="00000000" w:rsidDel="00000000" w:rsidP="00000000" w:rsidRDefault="00000000" w:rsidRPr="00000000" w14:paraId="00000040">
      <w:pPr>
        <w:pStyle w:val="Heading3"/>
        <w:numPr>
          <w:ilvl w:val="0"/>
          <w:numId w:val="3"/>
        </w:numPr>
        <w:spacing w:line="480" w:lineRule="auto"/>
        <w:ind w:left="720" w:hanging="360"/>
      </w:pPr>
      <w:bookmarkStart w:colFirst="0" w:colLast="0" w:name="_252b0si4ex8b" w:id="18"/>
      <w:bookmarkEnd w:id="18"/>
      <w:r w:rsidDel="00000000" w:rsidR="00000000" w:rsidRPr="00000000">
        <w:rPr>
          <w:rtl w:val="0"/>
        </w:rPr>
        <w:t xml:space="preserve"> U.S. Census Bureau - American Community Survey (ACS)</w:t>
      </w:r>
    </w:p>
    <w:p w:rsidR="00000000" w:rsidDel="00000000" w:rsidP="00000000" w:rsidRDefault="00000000" w:rsidRPr="00000000" w14:paraId="00000041">
      <w:pPr>
        <w:numPr>
          <w:ilvl w:val="0"/>
          <w:numId w:val="5"/>
        </w:numPr>
        <w:spacing w:before="200" w:line="480" w:lineRule="auto"/>
        <w:ind w:left="1440" w:hanging="360"/>
        <w:rPr>
          <w:u w:val="none"/>
        </w:rPr>
      </w:pPr>
      <w:r w:rsidDel="00000000" w:rsidR="00000000" w:rsidRPr="00000000">
        <w:rPr>
          <w:rtl w:val="0"/>
        </w:rPr>
        <w:t xml:space="preserve">Purpose: Socioeconomic characteristics like median household income, education levels, etc.</w:t>
      </w:r>
    </w:p>
    <w:p w:rsidR="00000000" w:rsidDel="00000000" w:rsidP="00000000" w:rsidRDefault="00000000" w:rsidRPr="00000000" w14:paraId="00000042">
      <w:pPr>
        <w:numPr>
          <w:ilvl w:val="0"/>
          <w:numId w:val="5"/>
        </w:numPr>
        <w:spacing w:before="200" w:line="480" w:lineRule="auto"/>
        <w:ind w:left="1440" w:hanging="360"/>
        <w:rPr>
          <w:u w:val="none"/>
        </w:rPr>
      </w:pPr>
      <w:r w:rsidDel="00000000" w:rsidR="00000000" w:rsidRPr="00000000">
        <w:rPr>
          <w:rtl w:val="0"/>
        </w:rPr>
        <w:t xml:space="preserve">Main portal: </w:t>
      </w:r>
      <w:hyperlink r:id="rId17">
        <w:r w:rsidDel="00000000" w:rsidR="00000000" w:rsidRPr="00000000">
          <w:rPr>
            <w:color w:val="1155cc"/>
            <w:u w:val="single"/>
            <w:rtl w:val="0"/>
          </w:rPr>
          <w:t xml:space="preserve">https://data.census.gov/</w:t>
        </w:r>
      </w:hyperlink>
      <w:r w:rsidDel="00000000" w:rsidR="00000000" w:rsidRPr="00000000">
        <w:rPr>
          <w:rtl w:val="0"/>
        </w:rPr>
        <w:t xml:space="preserve"> </w:t>
      </w:r>
    </w:p>
    <w:p w:rsidR="00000000" w:rsidDel="00000000" w:rsidP="00000000" w:rsidRDefault="00000000" w:rsidRPr="00000000" w14:paraId="00000043">
      <w:pPr>
        <w:numPr>
          <w:ilvl w:val="1"/>
          <w:numId w:val="5"/>
        </w:numPr>
        <w:spacing w:before="200" w:line="480" w:lineRule="auto"/>
        <w:ind w:left="2160" w:hanging="360"/>
        <w:rPr>
          <w:u w:val="none"/>
        </w:rPr>
      </w:pPr>
      <w:r w:rsidDel="00000000" w:rsidR="00000000" w:rsidRPr="00000000">
        <w:rPr>
          <w:rtl w:val="0"/>
        </w:rPr>
        <w:t xml:space="preserve">Use search terms like:</w:t>
      </w:r>
    </w:p>
    <w:p w:rsidR="00000000" w:rsidDel="00000000" w:rsidP="00000000" w:rsidRDefault="00000000" w:rsidRPr="00000000" w14:paraId="00000044">
      <w:pPr>
        <w:numPr>
          <w:ilvl w:val="2"/>
          <w:numId w:val="5"/>
        </w:numPr>
        <w:spacing w:before="200" w:line="480" w:lineRule="auto"/>
        <w:ind w:left="2880" w:hanging="360"/>
        <w:rPr>
          <w:u w:val="none"/>
        </w:rPr>
      </w:pPr>
      <w:r w:rsidDel="00000000" w:rsidR="00000000" w:rsidRPr="00000000">
        <w:rPr>
          <w:rtl w:val="0"/>
        </w:rPr>
        <w:t xml:space="preserve">“Median Household Income by State”</w:t>
      </w:r>
    </w:p>
    <w:p w:rsidR="00000000" w:rsidDel="00000000" w:rsidP="00000000" w:rsidRDefault="00000000" w:rsidRPr="00000000" w14:paraId="00000045">
      <w:pPr>
        <w:numPr>
          <w:ilvl w:val="2"/>
          <w:numId w:val="5"/>
        </w:numPr>
        <w:spacing w:before="200" w:line="480" w:lineRule="auto"/>
        <w:ind w:left="2880" w:hanging="360"/>
        <w:rPr>
          <w:u w:val="none"/>
        </w:rPr>
      </w:pPr>
      <w:r w:rsidDel="00000000" w:rsidR="00000000" w:rsidRPr="00000000">
        <w:rPr>
          <w:rtl w:val="0"/>
        </w:rPr>
        <w:t xml:space="preserve">“Educational Attainment by State”</w:t>
      </w:r>
    </w:p>
    <w:p w:rsidR="00000000" w:rsidDel="00000000" w:rsidP="00000000" w:rsidRDefault="00000000" w:rsidRPr="00000000" w14:paraId="00000046">
      <w:pPr>
        <w:numPr>
          <w:ilvl w:val="1"/>
          <w:numId w:val="5"/>
        </w:numPr>
        <w:spacing w:before="200" w:line="480" w:lineRule="auto"/>
        <w:ind w:left="2160" w:hanging="360"/>
        <w:rPr>
          <w:u w:val="none"/>
        </w:rPr>
      </w:pPr>
      <w:r w:rsidDel="00000000" w:rsidR="00000000" w:rsidRPr="00000000">
        <w:rPr>
          <w:rtl w:val="0"/>
        </w:rPr>
        <w:t xml:space="preserve">Data found at: </w:t>
      </w:r>
      <w:hyperlink r:id="rId18">
        <w:r w:rsidDel="00000000" w:rsidR="00000000" w:rsidRPr="00000000">
          <w:rPr>
            <w:color w:val="1155cc"/>
            <w:u w:val="single"/>
            <w:rtl w:val="0"/>
          </w:rPr>
          <w:t xml:space="preserve">https://data.census.gov/table/ACSST1Y2010.S1901?q=median+household+income+by+state</w:t>
        </w:r>
      </w:hyperlink>
      <w:r w:rsidDel="00000000" w:rsidR="00000000" w:rsidRPr="00000000">
        <w:rPr>
          <w:rtl w:val="0"/>
        </w:rPr>
      </w:r>
    </w:p>
    <w:p w:rsidR="00000000" w:rsidDel="00000000" w:rsidP="00000000" w:rsidRDefault="00000000" w:rsidRPr="00000000" w14:paraId="00000047">
      <w:pPr>
        <w:numPr>
          <w:ilvl w:val="0"/>
          <w:numId w:val="5"/>
        </w:numPr>
        <w:spacing w:before="200" w:line="480" w:lineRule="auto"/>
        <w:ind w:left="1440" w:hanging="360"/>
        <w:rPr>
          <w:u w:val="none"/>
        </w:rPr>
      </w:pPr>
      <w:r w:rsidDel="00000000" w:rsidR="00000000" w:rsidRPr="00000000">
        <w:rPr>
          <w:rtl w:val="0"/>
        </w:rPr>
        <w:t xml:space="preserve">U.S. Census Bureau. </w:t>
      </w:r>
      <w:r w:rsidDel="00000000" w:rsidR="00000000" w:rsidRPr="00000000">
        <w:rPr>
          <w:i w:val="1"/>
          <w:rtl w:val="0"/>
        </w:rPr>
        <w:t xml:space="preserve">American Community Survey 5-Year Estimates</w:t>
      </w:r>
      <w:r w:rsidDel="00000000" w:rsidR="00000000" w:rsidRPr="00000000">
        <w:rPr>
          <w:rtl w:val="0"/>
        </w:rPr>
        <w:t xml:space="preserve">. Retrieved from </w:t>
      </w:r>
      <w:hyperlink r:id="rId19">
        <w:r w:rsidDel="00000000" w:rsidR="00000000" w:rsidRPr="00000000">
          <w:rPr>
            <w:color w:val="1155cc"/>
            <w:u w:val="single"/>
            <w:rtl w:val="0"/>
          </w:rPr>
          <w:t xml:space="preserve">https://data.census.gov/</w:t>
        </w:r>
      </w:hyperlink>
      <w:r w:rsidDel="00000000" w:rsidR="00000000" w:rsidRPr="00000000">
        <w:rPr>
          <w:rtl w:val="0"/>
        </w:rPr>
        <w:t xml:space="preserve"> </w:t>
      </w:r>
    </w:p>
    <w:p w:rsidR="00000000" w:rsidDel="00000000" w:rsidP="00000000" w:rsidRDefault="00000000" w:rsidRPr="00000000" w14:paraId="00000048">
      <w:pPr>
        <w:spacing w:line="480" w:lineRule="auto"/>
        <w:ind w:left="720" w:firstLine="0"/>
        <w:rPr/>
      </w:pPr>
      <w:r w:rsidDel="00000000" w:rsidR="00000000" w:rsidRPr="00000000">
        <w:rPr>
          <w:rtl w:val="0"/>
        </w:rPr>
      </w:r>
    </w:p>
    <w:p w:rsidR="00000000" w:rsidDel="00000000" w:rsidP="00000000" w:rsidRDefault="00000000" w:rsidRPr="00000000" w14:paraId="00000049">
      <w:pPr>
        <w:pStyle w:val="Heading3"/>
        <w:numPr>
          <w:ilvl w:val="0"/>
          <w:numId w:val="3"/>
        </w:numPr>
        <w:spacing w:after="0" w:afterAutospacing="0" w:line="480" w:lineRule="auto"/>
        <w:ind w:left="720" w:hanging="360"/>
      </w:pPr>
      <w:bookmarkStart w:colFirst="0" w:colLast="0" w:name="_10qjxxlhfa21" w:id="19"/>
      <w:bookmarkEnd w:id="19"/>
      <w:r w:rsidDel="00000000" w:rsidR="00000000" w:rsidRPr="00000000">
        <w:rPr>
          <w:rtl w:val="0"/>
        </w:rPr>
        <w:t xml:space="preserve">MIT Election Data and Science Lab</w:t>
      </w:r>
    </w:p>
    <w:p w:rsidR="00000000" w:rsidDel="00000000" w:rsidP="00000000" w:rsidRDefault="00000000" w:rsidRPr="00000000" w14:paraId="0000004A">
      <w:pPr>
        <w:numPr>
          <w:ilvl w:val="0"/>
          <w:numId w:val="2"/>
        </w:numPr>
        <w:spacing w:line="480" w:lineRule="auto"/>
        <w:ind w:left="1440" w:hanging="360"/>
        <w:rPr>
          <w:u w:val="none"/>
        </w:rPr>
      </w:pPr>
      <w:r w:rsidDel="00000000" w:rsidR="00000000" w:rsidRPr="00000000">
        <w:rPr>
          <w:rtl w:val="0"/>
        </w:rPr>
        <w:t xml:space="preserve">Purpose: Contains data for political voting of states for the year range of 1976-2020</w:t>
      </w:r>
    </w:p>
    <w:p w:rsidR="00000000" w:rsidDel="00000000" w:rsidP="00000000" w:rsidRDefault="00000000" w:rsidRPr="00000000" w14:paraId="0000004B">
      <w:pPr>
        <w:numPr>
          <w:ilvl w:val="0"/>
          <w:numId w:val="2"/>
        </w:numPr>
        <w:spacing w:line="480" w:lineRule="auto"/>
        <w:ind w:left="1440" w:hanging="360"/>
        <w:rPr>
          <w:u w:val="none"/>
        </w:rPr>
      </w:pPr>
      <w:r w:rsidDel="00000000" w:rsidR="00000000" w:rsidRPr="00000000">
        <w:rPr>
          <w:rtl w:val="0"/>
        </w:rPr>
        <w:t xml:space="preserve">Site: </w:t>
      </w:r>
      <w:hyperlink r:id="rId20">
        <w:r w:rsidDel="00000000" w:rsidR="00000000" w:rsidRPr="00000000">
          <w:rPr>
            <w:color w:val="1155cc"/>
            <w:u w:val="single"/>
            <w:rtl w:val="0"/>
          </w:rPr>
          <w:t xml:space="preserve">https://dataverse.harvard.edu/file.xhtml?fileId=10244938&amp;version=8.0&amp;toolType=PREVIEW</w:t>
        </w:r>
      </w:hyperlink>
      <w:r w:rsidDel="00000000" w:rsidR="00000000" w:rsidRPr="00000000">
        <w:rPr>
          <w:rtl w:val="0"/>
        </w:rPr>
      </w:r>
    </w:p>
    <w:p w:rsidR="00000000" w:rsidDel="00000000" w:rsidP="00000000" w:rsidRDefault="00000000" w:rsidRPr="00000000" w14:paraId="0000004C">
      <w:pPr>
        <w:numPr>
          <w:ilvl w:val="0"/>
          <w:numId w:val="2"/>
        </w:numPr>
        <w:spacing w:line="480" w:lineRule="auto"/>
        <w:ind w:left="1440" w:hanging="360"/>
        <w:rPr>
          <w:u w:val="none"/>
        </w:rPr>
      </w:pPr>
      <w:r w:rsidDel="00000000" w:rsidR="00000000" w:rsidRPr="00000000">
        <w:rPr>
          <w:rtl w:val="0"/>
        </w:rPr>
        <w:t xml:space="preserve">MIT Election Data and Science Lab. </w:t>
      </w:r>
      <w:r w:rsidDel="00000000" w:rsidR="00000000" w:rsidRPr="00000000">
        <w:rPr>
          <w:i w:val="1"/>
          <w:rtl w:val="0"/>
        </w:rPr>
        <w:t xml:space="preserve">State Presidential Election Returns 1976–2020</w:t>
      </w:r>
      <w:r w:rsidDel="00000000" w:rsidR="00000000" w:rsidRPr="00000000">
        <w:rPr>
          <w:rtl w:val="0"/>
        </w:rPr>
        <w:t xml:space="preserve">. Harvard Dataverse,</w:t>
      </w:r>
      <w:hyperlink r:id="rId21">
        <w:r w:rsidDel="00000000" w:rsidR="00000000" w:rsidRPr="00000000">
          <w:rPr>
            <w:rtl w:val="0"/>
          </w:rPr>
          <w:t xml:space="preserve"> </w:t>
        </w:r>
      </w:hyperlink>
      <w:hyperlink r:id="rId22">
        <w:r w:rsidDel="00000000" w:rsidR="00000000" w:rsidRPr="00000000">
          <w:rPr>
            <w:color w:val="1155cc"/>
            <w:u w:val="single"/>
            <w:rtl w:val="0"/>
          </w:rPr>
          <w:t xml:space="preserve">https://dataverse.harvard.edu/file.xhtml?fileId=10244938&amp;version=8.0&amp;toolType=PREVIEW</w:t>
        </w:r>
      </w:hyperlink>
      <w:r w:rsidDel="00000000" w:rsidR="00000000" w:rsidRPr="00000000">
        <w:rPr>
          <w:rtl w:val="0"/>
        </w:rPr>
      </w:r>
    </w:p>
    <w:p w:rsidR="00000000" w:rsidDel="00000000" w:rsidP="00000000" w:rsidRDefault="00000000" w:rsidRPr="00000000" w14:paraId="0000004D">
      <w:pPr>
        <w:spacing w:line="480" w:lineRule="auto"/>
        <w:rPr/>
      </w:pPr>
      <w:r w:rsidDel="00000000" w:rsidR="00000000" w:rsidRPr="00000000">
        <w:rPr>
          <w:rtl w:val="0"/>
        </w:rPr>
      </w:r>
    </w:p>
    <w:p w:rsidR="00000000" w:rsidDel="00000000" w:rsidP="00000000" w:rsidRDefault="00000000" w:rsidRPr="00000000" w14:paraId="0000004E">
      <w:pPr>
        <w:pStyle w:val="Heading3"/>
        <w:numPr>
          <w:ilvl w:val="0"/>
          <w:numId w:val="3"/>
        </w:numPr>
        <w:spacing w:line="480" w:lineRule="auto"/>
        <w:ind w:left="720" w:hanging="360"/>
      </w:pPr>
      <w:bookmarkStart w:colFirst="0" w:colLast="0" w:name="_y1fcvykdhx32" w:id="20"/>
      <w:bookmarkEnd w:id="20"/>
      <w:r w:rsidDel="00000000" w:rsidR="00000000" w:rsidRPr="00000000">
        <w:rPr>
          <w:rtl w:val="0"/>
        </w:rPr>
        <w:t xml:space="preserve">NREL (National Renewable Energy Laboratory) Grid Data &amp; Interconnection</w:t>
      </w:r>
    </w:p>
    <w:p w:rsidR="00000000" w:rsidDel="00000000" w:rsidP="00000000" w:rsidRDefault="00000000" w:rsidRPr="00000000" w14:paraId="0000004F">
      <w:pPr>
        <w:numPr>
          <w:ilvl w:val="0"/>
          <w:numId w:val="13"/>
        </w:numPr>
        <w:spacing w:before="200" w:line="480" w:lineRule="auto"/>
        <w:ind w:left="1440" w:hanging="360"/>
        <w:rPr>
          <w:u w:val="none"/>
        </w:rPr>
      </w:pPr>
      <w:r w:rsidDel="00000000" w:rsidR="00000000" w:rsidRPr="00000000">
        <w:rPr>
          <w:rtl w:val="0"/>
        </w:rPr>
        <w:t xml:space="preserve">Purpose: Information on grid capacity, interconnection queues, and renewable integration readiness</w:t>
      </w:r>
    </w:p>
    <w:p w:rsidR="00000000" w:rsidDel="00000000" w:rsidP="00000000" w:rsidRDefault="00000000" w:rsidRPr="00000000" w14:paraId="00000050">
      <w:pPr>
        <w:numPr>
          <w:ilvl w:val="0"/>
          <w:numId w:val="13"/>
        </w:numPr>
        <w:spacing w:before="200" w:line="480" w:lineRule="auto"/>
        <w:ind w:left="1440" w:hanging="360"/>
        <w:rPr>
          <w:u w:val="none"/>
        </w:rPr>
      </w:pPr>
      <w:r w:rsidDel="00000000" w:rsidR="00000000" w:rsidRPr="00000000">
        <w:rPr>
          <w:rtl w:val="0"/>
        </w:rPr>
        <w:t xml:space="preserve">Site: </w:t>
      </w:r>
      <w:hyperlink r:id="rId23">
        <w:r w:rsidDel="00000000" w:rsidR="00000000" w:rsidRPr="00000000">
          <w:rPr>
            <w:color w:val="1155cc"/>
            <w:u w:val="single"/>
            <w:rtl w:val="0"/>
          </w:rPr>
          <w:t xml:space="preserve">https://www.nrel.gov/grid/</w:t>
        </w:r>
      </w:hyperlink>
      <w:r w:rsidDel="00000000" w:rsidR="00000000" w:rsidRPr="00000000">
        <w:rPr>
          <w:rtl w:val="0"/>
        </w:rPr>
        <w:t xml:space="preserve"> </w:t>
      </w:r>
    </w:p>
    <w:p w:rsidR="00000000" w:rsidDel="00000000" w:rsidP="00000000" w:rsidRDefault="00000000" w:rsidRPr="00000000" w14:paraId="00000051">
      <w:pPr>
        <w:numPr>
          <w:ilvl w:val="0"/>
          <w:numId w:val="13"/>
        </w:numPr>
        <w:spacing w:before="200" w:line="480" w:lineRule="auto"/>
        <w:ind w:left="1440" w:hanging="360"/>
        <w:rPr>
          <w:u w:val="none"/>
        </w:rPr>
      </w:pPr>
      <w:r w:rsidDel="00000000" w:rsidR="00000000" w:rsidRPr="00000000">
        <w:rPr>
          <w:rtl w:val="0"/>
        </w:rPr>
        <w:t xml:space="preserve">Wind Integration National Dataset (WIND Toolkit)</w:t>
      </w:r>
    </w:p>
    <w:p w:rsidR="00000000" w:rsidDel="00000000" w:rsidP="00000000" w:rsidRDefault="00000000" w:rsidRPr="00000000" w14:paraId="00000052">
      <w:pPr>
        <w:numPr>
          <w:ilvl w:val="1"/>
          <w:numId w:val="13"/>
        </w:numPr>
        <w:spacing w:before="200" w:line="480" w:lineRule="auto"/>
        <w:ind w:left="2160" w:hanging="360"/>
        <w:rPr>
          <w:u w:val="none"/>
        </w:rPr>
      </w:pPr>
      <w:r w:rsidDel="00000000" w:rsidR="00000000" w:rsidRPr="00000000">
        <w:rPr>
          <w:rtl w:val="0"/>
        </w:rPr>
        <w:t xml:space="preserve">Provides state-level (and more granular) data on wind power potential and capacity</w:t>
      </w:r>
    </w:p>
    <w:p w:rsidR="00000000" w:rsidDel="00000000" w:rsidP="00000000" w:rsidRDefault="00000000" w:rsidRPr="00000000" w14:paraId="00000053">
      <w:pPr>
        <w:numPr>
          <w:ilvl w:val="1"/>
          <w:numId w:val="13"/>
        </w:numPr>
        <w:spacing w:before="200" w:line="480" w:lineRule="auto"/>
        <w:ind w:left="2160" w:hanging="360"/>
        <w:rPr>
          <w:u w:val="none"/>
        </w:rPr>
      </w:pPr>
      <w:r w:rsidDel="00000000" w:rsidR="00000000" w:rsidRPr="00000000">
        <w:rPr>
          <w:rtl w:val="0"/>
        </w:rPr>
        <w:t xml:space="preserve">Download the “Techno-Economic Summary and Index” CSV from the NREL data catalog—it contains grid-ready data for ~ 120,000 points across the U.S., including hub-height wind generation potential by location and state</w:t>
      </w:r>
    </w:p>
    <w:p w:rsidR="00000000" w:rsidDel="00000000" w:rsidP="00000000" w:rsidRDefault="00000000" w:rsidRPr="00000000" w14:paraId="00000054">
      <w:pPr>
        <w:numPr>
          <w:ilvl w:val="1"/>
          <w:numId w:val="13"/>
        </w:numPr>
        <w:spacing w:before="200" w:line="480" w:lineRule="auto"/>
        <w:ind w:left="2160" w:hanging="360"/>
        <w:rPr>
          <w:u w:val="none"/>
        </w:rPr>
      </w:pPr>
      <w:r w:rsidDel="00000000" w:rsidR="00000000" w:rsidRPr="00000000">
        <w:rPr>
          <w:rtl w:val="0"/>
        </w:rPr>
        <w:t xml:space="preserve">Further details and aggregated statistics can be accessed via the Wind Toolkit Application, NREL APIs, and AWS-hosted global bulk datasets.</w:t>
      </w:r>
    </w:p>
    <w:p w:rsidR="00000000" w:rsidDel="00000000" w:rsidP="00000000" w:rsidRDefault="00000000" w:rsidRPr="00000000" w14:paraId="00000055">
      <w:pPr>
        <w:numPr>
          <w:ilvl w:val="0"/>
          <w:numId w:val="13"/>
        </w:numPr>
        <w:spacing w:before="200" w:line="480" w:lineRule="auto"/>
        <w:ind w:left="1440" w:hanging="360"/>
        <w:rPr>
          <w:u w:val="none"/>
        </w:rPr>
      </w:pPr>
      <w:r w:rsidDel="00000000" w:rsidR="00000000" w:rsidRPr="00000000">
        <w:rPr>
          <w:rtl w:val="0"/>
        </w:rPr>
        <w:t xml:space="preserve">Solar Integration National Dataset Toolkit</w:t>
      </w:r>
    </w:p>
    <w:p w:rsidR="00000000" w:rsidDel="00000000" w:rsidP="00000000" w:rsidRDefault="00000000" w:rsidRPr="00000000" w14:paraId="00000056">
      <w:pPr>
        <w:numPr>
          <w:ilvl w:val="1"/>
          <w:numId w:val="13"/>
        </w:numPr>
        <w:spacing w:before="200" w:line="480" w:lineRule="auto"/>
        <w:ind w:left="2160" w:hanging="360"/>
        <w:rPr>
          <w:u w:val="none"/>
        </w:rPr>
      </w:pPr>
      <w:r w:rsidDel="00000000" w:rsidR="00000000" w:rsidRPr="00000000">
        <w:rPr>
          <w:rtl w:val="0"/>
        </w:rPr>
        <w:t xml:space="preserve">Offers simulated output from distributed and utility-scale solar plants</w:t>
      </w:r>
    </w:p>
    <w:p w:rsidR="00000000" w:rsidDel="00000000" w:rsidP="00000000" w:rsidRDefault="00000000" w:rsidRPr="00000000" w14:paraId="00000057">
      <w:pPr>
        <w:numPr>
          <w:ilvl w:val="1"/>
          <w:numId w:val="13"/>
        </w:numPr>
        <w:spacing w:before="200" w:line="480" w:lineRule="auto"/>
        <w:ind w:left="2160" w:hanging="360"/>
        <w:rPr>
          <w:u w:val="none"/>
        </w:rPr>
      </w:pPr>
      <w:r w:rsidDel="00000000" w:rsidR="00000000" w:rsidRPr="00000000">
        <w:rPr>
          <w:rtl w:val="0"/>
        </w:rPr>
        <w:t xml:space="preserve">Navigate to NREL’s Solar Power Data for Integration Studies and download individual state-level CSV files (either actual, day-ahead, or 4-hour ahead forecasts) for your state of interest</w:t>
      </w:r>
    </w:p>
    <w:p w:rsidR="00000000" w:rsidDel="00000000" w:rsidP="00000000" w:rsidRDefault="00000000" w:rsidRPr="00000000" w14:paraId="00000058">
      <w:pPr>
        <w:numPr>
          <w:ilvl w:val="1"/>
          <w:numId w:val="13"/>
        </w:numPr>
        <w:spacing w:before="200" w:line="480" w:lineRule="auto"/>
        <w:ind w:left="2160" w:hanging="360"/>
        <w:rPr>
          <w:u w:val="none"/>
        </w:rPr>
      </w:pPr>
      <w:r w:rsidDel="00000000" w:rsidR="00000000" w:rsidRPr="00000000">
        <w:rPr>
          <w:rtl w:val="0"/>
        </w:rPr>
        <w:t xml:space="preserve">These files include simulated power (MWh) by location and capacity, which we can aggregate by state.</w:t>
      </w:r>
    </w:p>
    <w:p w:rsidR="00000000" w:rsidDel="00000000" w:rsidP="00000000" w:rsidRDefault="00000000" w:rsidRPr="00000000" w14:paraId="00000059">
      <w:pPr>
        <w:numPr>
          <w:ilvl w:val="0"/>
          <w:numId w:val="13"/>
        </w:numPr>
        <w:spacing w:before="200" w:line="480" w:lineRule="auto"/>
        <w:ind w:left="1440" w:hanging="360"/>
        <w:rPr>
          <w:u w:val="none"/>
        </w:rPr>
      </w:pPr>
      <w:r w:rsidDel="00000000" w:rsidR="00000000" w:rsidRPr="00000000">
        <w:rPr>
          <w:rtl w:val="0"/>
        </w:rPr>
        <w:t xml:space="preserve">Grid Infrastructure &amp; Capacity Indicators</w:t>
      </w:r>
    </w:p>
    <w:p w:rsidR="00000000" w:rsidDel="00000000" w:rsidP="00000000" w:rsidRDefault="00000000" w:rsidRPr="00000000" w14:paraId="0000005A">
      <w:pPr>
        <w:numPr>
          <w:ilvl w:val="1"/>
          <w:numId w:val="13"/>
        </w:numPr>
        <w:spacing w:before="200" w:line="480" w:lineRule="auto"/>
        <w:ind w:left="2160" w:hanging="360"/>
        <w:rPr>
          <w:u w:val="none"/>
        </w:rPr>
      </w:pPr>
      <w:r w:rsidDel="00000000" w:rsidR="00000000" w:rsidRPr="00000000">
        <w:rPr>
          <w:rtl w:val="0"/>
        </w:rPr>
        <w:t xml:space="preserve">While NREL does not provide a single “grid capacity by state” file, we can derive indicators from:</w:t>
      </w:r>
    </w:p>
    <w:p w:rsidR="00000000" w:rsidDel="00000000" w:rsidP="00000000" w:rsidRDefault="00000000" w:rsidRPr="00000000" w14:paraId="0000005B">
      <w:pPr>
        <w:numPr>
          <w:ilvl w:val="2"/>
          <w:numId w:val="13"/>
        </w:numPr>
        <w:spacing w:before="200" w:line="480" w:lineRule="auto"/>
        <w:ind w:left="2880" w:hanging="360"/>
        <w:rPr>
          <w:u w:val="none"/>
        </w:rPr>
      </w:pPr>
      <w:r w:rsidDel="00000000" w:rsidR="00000000" w:rsidRPr="00000000">
        <w:rPr>
          <w:rtl w:val="0"/>
        </w:rPr>
        <w:t xml:space="preserve">NREL’s Grid Modernization Data &amp; Tools, accessible via the Grid Modernization portal, including transmission line maps and data layers — may require geospatial queries or CSV exports</w:t>
      </w:r>
    </w:p>
    <w:p w:rsidR="00000000" w:rsidDel="00000000" w:rsidP="00000000" w:rsidRDefault="00000000" w:rsidRPr="00000000" w14:paraId="0000005C">
      <w:pPr>
        <w:numPr>
          <w:ilvl w:val="2"/>
          <w:numId w:val="13"/>
        </w:numPr>
        <w:spacing w:before="200" w:line="480" w:lineRule="auto"/>
        <w:ind w:left="2880" w:hanging="360"/>
        <w:rPr>
          <w:u w:val="none"/>
        </w:rPr>
      </w:pPr>
      <w:r w:rsidDel="00000000" w:rsidR="00000000" w:rsidRPr="00000000">
        <w:rPr>
          <w:rtl w:val="0"/>
        </w:rPr>
        <w:t xml:space="preserve">The National Climate Database (NCDB) API and AWS datasets may provide regional climate and grid infrastructure overlays</w:t>
      </w:r>
    </w:p>
    <w:p w:rsidR="00000000" w:rsidDel="00000000" w:rsidP="00000000" w:rsidRDefault="00000000" w:rsidRPr="00000000" w14:paraId="0000005D">
      <w:pPr>
        <w:numPr>
          <w:ilvl w:val="0"/>
          <w:numId w:val="13"/>
        </w:numPr>
        <w:spacing w:before="200" w:line="480" w:lineRule="auto"/>
        <w:ind w:left="1440" w:hanging="360"/>
        <w:rPr>
          <w:u w:val="none"/>
        </w:rPr>
      </w:pPr>
      <w:r w:rsidDel="00000000" w:rsidR="00000000" w:rsidRPr="00000000">
        <w:rPr>
          <w:rtl w:val="0"/>
        </w:rPr>
        <w:t xml:space="preserve">National Renewable Energy Laboratory. </w:t>
      </w:r>
      <w:r w:rsidDel="00000000" w:rsidR="00000000" w:rsidRPr="00000000">
        <w:rPr>
          <w:i w:val="1"/>
          <w:rtl w:val="0"/>
        </w:rPr>
        <w:t xml:space="preserve">Interconnection Queue Analysis Tool</w:t>
      </w:r>
      <w:r w:rsidDel="00000000" w:rsidR="00000000" w:rsidRPr="00000000">
        <w:rPr>
          <w:rtl w:val="0"/>
        </w:rPr>
        <w:t xml:space="preserve"> and </w:t>
      </w:r>
      <w:r w:rsidDel="00000000" w:rsidR="00000000" w:rsidRPr="00000000">
        <w:rPr>
          <w:i w:val="1"/>
          <w:rtl w:val="0"/>
        </w:rPr>
        <w:t xml:space="preserve">Grid Modernization Data</w:t>
      </w:r>
      <w:r w:rsidDel="00000000" w:rsidR="00000000" w:rsidRPr="00000000">
        <w:rPr>
          <w:rtl w:val="0"/>
        </w:rPr>
        <w:t xml:space="preserve">. Retrieved from</w:t>
      </w:r>
      <w:hyperlink r:id="rId24">
        <w:r w:rsidDel="00000000" w:rsidR="00000000" w:rsidRPr="00000000">
          <w:rPr>
            <w:rtl w:val="0"/>
          </w:rPr>
          <w:t xml:space="preserve"> </w:t>
        </w:r>
      </w:hyperlink>
      <w:hyperlink r:id="rId25">
        <w:r w:rsidDel="00000000" w:rsidR="00000000" w:rsidRPr="00000000">
          <w:rPr>
            <w:color w:val="1155cc"/>
            <w:u w:val="single"/>
            <w:rtl w:val="0"/>
          </w:rPr>
          <w:t xml:space="preserve">https://www.nrel.gov/grid/</w:t>
        </w:r>
      </w:hyperlink>
      <w:r w:rsidDel="00000000" w:rsidR="00000000" w:rsidRPr="00000000">
        <w:rPr>
          <w:rtl w:val="0"/>
        </w:rPr>
      </w:r>
    </w:p>
    <w:p w:rsidR="00000000" w:rsidDel="00000000" w:rsidP="00000000" w:rsidRDefault="00000000" w:rsidRPr="00000000" w14:paraId="0000005E">
      <w:pPr>
        <w:spacing w:before="200" w:line="480" w:lineRule="auto"/>
        <w:ind w:left="0" w:firstLine="0"/>
        <w:rPr/>
      </w:pPr>
      <w:r w:rsidDel="00000000" w:rsidR="00000000" w:rsidRPr="00000000">
        <w:rPr>
          <w:rtl w:val="0"/>
        </w:rPr>
      </w:r>
    </w:p>
    <w:p w:rsidR="00000000" w:rsidDel="00000000" w:rsidP="00000000" w:rsidRDefault="00000000" w:rsidRPr="00000000" w14:paraId="0000005F">
      <w:pPr>
        <w:pStyle w:val="Heading3"/>
        <w:spacing w:before="200" w:line="480" w:lineRule="auto"/>
        <w:rPr/>
      </w:pPr>
      <w:bookmarkStart w:colFirst="0" w:colLast="0" w:name="_5heo8yxr6oen" w:id="21"/>
      <w:bookmarkEnd w:id="21"/>
      <w:r w:rsidDel="00000000" w:rsidR="00000000" w:rsidRPr="00000000">
        <w:rPr>
          <w:rtl w:val="0"/>
        </w:rPr>
        <w:t xml:space="preserve">Key Variables:</w:t>
      </w:r>
    </w:p>
    <w:p w:rsidR="00000000" w:rsidDel="00000000" w:rsidP="00000000" w:rsidRDefault="00000000" w:rsidRPr="00000000" w14:paraId="00000060">
      <w:pPr>
        <w:pStyle w:val="Heading3"/>
        <w:numPr>
          <w:ilvl w:val="0"/>
          <w:numId w:val="9"/>
        </w:numPr>
        <w:spacing w:line="480" w:lineRule="auto"/>
        <w:ind w:left="720" w:hanging="360"/>
        <w:rPr/>
      </w:pPr>
      <w:bookmarkStart w:colFirst="0" w:colLast="0" w:name="_oh9i5ws1569p" w:id="22"/>
      <w:bookmarkEnd w:id="22"/>
      <w:r w:rsidDel="00000000" w:rsidR="00000000" w:rsidRPr="00000000">
        <w:rPr>
          <w:rtl w:val="0"/>
        </w:rPr>
        <w:t xml:space="preserve">Outcome Variable:</w:t>
      </w:r>
    </w:p>
    <w:p w:rsidR="00000000" w:rsidDel="00000000" w:rsidP="00000000" w:rsidRDefault="00000000" w:rsidRPr="00000000" w14:paraId="00000061">
      <w:pPr>
        <w:numPr>
          <w:ilvl w:val="1"/>
          <w:numId w:val="9"/>
        </w:numPr>
        <w:spacing w:before="200" w:line="480" w:lineRule="auto"/>
        <w:ind w:left="1440" w:hanging="360"/>
      </w:pPr>
      <w:r w:rsidDel="00000000" w:rsidR="00000000" w:rsidRPr="00000000">
        <w:rPr>
          <w:rtl w:val="0"/>
        </w:rPr>
        <w:t xml:space="preserve">% reduction in fossil fuel energy share (2010 vs. 2022)</w:t>
      </w:r>
    </w:p>
    <w:p w:rsidR="00000000" w:rsidDel="00000000" w:rsidP="00000000" w:rsidRDefault="00000000" w:rsidRPr="00000000" w14:paraId="00000062">
      <w:pPr>
        <w:pStyle w:val="Heading3"/>
        <w:numPr>
          <w:ilvl w:val="0"/>
          <w:numId w:val="9"/>
        </w:numPr>
        <w:spacing w:after="80" w:afterAutospacing="0" w:before="200" w:line="480" w:lineRule="auto"/>
        <w:ind w:left="720" w:hanging="360"/>
        <w:rPr/>
      </w:pPr>
      <w:bookmarkStart w:colFirst="0" w:colLast="0" w:name="_qjlci8wdor1t" w:id="23"/>
      <w:bookmarkEnd w:id="23"/>
      <w:r w:rsidDel="00000000" w:rsidR="00000000" w:rsidRPr="00000000">
        <w:rPr>
          <w:rtl w:val="0"/>
        </w:rPr>
        <w:t xml:space="preserve">Predictor Variables:</w:t>
      </w:r>
    </w:p>
    <w:p w:rsidR="00000000" w:rsidDel="00000000" w:rsidP="00000000" w:rsidRDefault="00000000" w:rsidRPr="00000000" w14:paraId="00000063">
      <w:pPr>
        <w:pStyle w:val="Heading4"/>
        <w:numPr>
          <w:ilvl w:val="1"/>
          <w:numId w:val="9"/>
        </w:numPr>
        <w:spacing w:after="0" w:afterAutospacing="0" w:before="80" w:beforeAutospacing="0" w:line="480" w:lineRule="auto"/>
        <w:ind w:left="1440" w:hanging="360"/>
      </w:pPr>
      <w:bookmarkStart w:colFirst="0" w:colLast="0" w:name="_600cab2xvwaq" w:id="24"/>
      <w:bookmarkEnd w:id="24"/>
      <w:r w:rsidDel="00000000" w:rsidR="00000000" w:rsidRPr="00000000">
        <w:rPr>
          <w:rtl w:val="0"/>
        </w:rPr>
        <w:t xml:space="preserve">Structural:</w:t>
      </w:r>
    </w:p>
    <w:p w:rsidR="00000000" w:rsidDel="00000000" w:rsidP="00000000" w:rsidRDefault="00000000" w:rsidRPr="00000000" w14:paraId="00000064">
      <w:pPr>
        <w:pStyle w:val="Heading4"/>
        <w:numPr>
          <w:ilvl w:val="2"/>
          <w:numId w:val="9"/>
        </w:numPr>
        <w:spacing w:after="0" w:afterAutospacing="0" w:before="0" w:beforeAutospacing="0" w:line="480" w:lineRule="auto"/>
        <w:ind w:left="2160" w:hanging="360"/>
      </w:pPr>
      <w:bookmarkStart w:colFirst="0" w:colLast="0" w:name="_cf0xfi1djyco" w:id="25"/>
      <w:bookmarkEnd w:id="25"/>
      <w:r w:rsidDel="00000000" w:rsidR="00000000" w:rsidRPr="00000000">
        <w:rPr>
          <w:rtl w:val="0"/>
        </w:rPr>
        <w:t xml:space="preserve">Political Leaning</w:t>
      </w:r>
    </w:p>
    <w:p w:rsidR="00000000" w:rsidDel="00000000" w:rsidP="00000000" w:rsidRDefault="00000000" w:rsidRPr="00000000" w14:paraId="00000065">
      <w:pPr>
        <w:pStyle w:val="Heading4"/>
        <w:numPr>
          <w:ilvl w:val="2"/>
          <w:numId w:val="9"/>
        </w:numPr>
        <w:spacing w:after="0" w:afterAutospacing="0" w:before="0" w:beforeAutospacing="0" w:line="480" w:lineRule="auto"/>
        <w:ind w:left="2160" w:hanging="360"/>
      </w:pPr>
      <w:bookmarkStart w:colFirst="0" w:colLast="0" w:name="_d1phe513h66n" w:id="26"/>
      <w:bookmarkEnd w:id="26"/>
      <w:r w:rsidDel="00000000" w:rsidR="00000000" w:rsidRPr="00000000">
        <w:rPr>
          <w:rtl w:val="0"/>
        </w:rPr>
        <w:t xml:space="preserve">Median Household Income</w:t>
      </w:r>
    </w:p>
    <w:p w:rsidR="00000000" w:rsidDel="00000000" w:rsidP="00000000" w:rsidRDefault="00000000" w:rsidRPr="00000000" w14:paraId="00000066">
      <w:pPr>
        <w:pStyle w:val="Heading4"/>
        <w:numPr>
          <w:ilvl w:val="2"/>
          <w:numId w:val="9"/>
        </w:numPr>
        <w:spacing w:after="0" w:afterAutospacing="0" w:before="0" w:beforeAutospacing="0" w:line="480" w:lineRule="auto"/>
        <w:ind w:left="2160" w:hanging="360"/>
      </w:pPr>
      <w:bookmarkStart w:colFirst="0" w:colLast="0" w:name="_mc38c7l5whwr" w:id="27"/>
      <w:bookmarkEnd w:id="27"/>
      <w:r w:rsidDel="00000000" w:rsidR="00000000" w:rsidRPr="00000000">
        <w:rPr>
          <w:rtl w:val="0"/>
        </w:rPr>
        <w:t xml:space="preserve">Existing energy mix (baseline % fossil, wind, solar)</w:t>
      </w:r>
    </w:p>
    <w:p w:rsidR="00000000" w:rsidDel="00000000" w:rsidP="00000000" w:rsidRDefault="00000000" w:rsidRPr="00000000" w14:paraId="00000067">
      <w:pPr>
        <w:pStyle w:val="Heading4"/>
        <w:numPr>
          <w:ilvl w:val="2"/>
          <w:numId w:val="9"/>
        </w:numPr>
        <w:spacing w:before="0" w:beforeAutospacing="0" w:line="480" w:lineRule="auto"/>
        <w:ind w:left="2160" w:hanging="360"/>
      </w:pPr>
      <w:bookmarkStart w:colFirst="0" w:colLast="0" w:name="_buzdl5xvovl8" w:id="28"/>
      <w:bookmarkEnd w:id="28"/>
      <w:r w:rsidDel="00000000" w:rsidR="00000000" w:rsidRPr="00000000">
        <w:rPr>
          <w:rtl w:val="0"/>
        </w:rPr>
        <w:t xml:space="preserve">Grid capacity / infrastructure index</w:t>
      </w:r>
    </w:p>
    <w:p w:rsidR="00000000" w:rsidDel="00000000" w:rsidP="00000000" w:rsidRDefault="00000000" w:rsidRPr="00000000" w14:paraId="00000068">
      <w:pPr>
        <w:pStyle w:val="Heading4"/>
        <w:numPr>
          <w:ilvl w:val="1"/>
          <w:numId w:val="9"/>
        </w:numPr>
        <w:spacing w:before="200" w:line="480" w:lineRule="auto"/>
        <w:ind w:left="1440" w:hanging="360"/>
      </w:pPr>
      <w:bookmarkStart w:colFirst="0" w:colLast="0" w:name="_k2mbumfzjx00" w:id="29"/>
      <w:bookmarkEnd w:id="29"/>
      <w:r w:rsidDel="00000000" w:rsidR="00000000" w:rsidRPr="00000000">
        <w:rPr>
          <w:rtl w:val="0"/>
        </w:rPr>
        <w:t xml:space="preserve">Policy-Related:</w:t>
      </w:r>
    </w:p>
    <w:p w:rsidR="00000000" w:rsidDel="00000000" w:rsidP="00000000" w:rsidRDefault="00000000" w:rsidRPr="00000000" w14:paraId="00000069">
      <w:pPr>
        <w:numPr>
          <w:ilvl w:val="2"/>
          <w:numId w:val="9"/>
        </w:numPr>
        <w:spacing w:line="480" w:lineRule="auto"/>
        <w:ind w:left="2160" w:hanging="360"/>
      </w:pPr>
      <w:r w:rsidDel="00000000" w:rsidR="00000000" w:rsidRPr="00000000">
        <w:rPr>
          <w:rtl w:val="0"/>
        </w:rPr>
        <w:t xml:space="preserve">Renewable Portfolio Standard (RPS)  presence (binary or numeric)</w:t>
      </w:r>
    </w:p>
    <w:p w:rsidR="00000000" w:rsidDel="00000000" w:rsidP="00000000" w:rsidRDefault="00000000" w:rsidRPr="00000000" w14:paraId="0000006A">
      <w:pPr>
        <w:numPr>
          <w:ilvl w:val="2"/>
          <w:numId w:val="9"/>
        </w:numPr>
        <w:spacing w:line="480" w:lineRule="auto"/>
        <w:ind w:left="2160" w:hanging="360"/>
        <w:rPr>
          <w:u w:val="none"/>
        </w:rPr>
      </w:pPr>
      <w:r w:rsidDel="00000000" w:rsidR="00000000" w:rsidRPr="00000000">
        <w:rPr>
          <w:rtl w:val="0"/>
        </w:rPr>
        <w:t xml:space="preserve">RPS strength (target %, year)</w:t>
      </w:r>
    </w:p>
    <w:p w:rsidR="00000000" w:rsidDel="00000000" w:rsidP="00000000" w:rsidRDefault="00000000" w:rsidRPr="00000000" w14:paraId="0000006B">
      <w:pPr>
        <w:numPr>
          <w:ilvl w:val="2"/>
          <w:numId w:val="9"/>
        </w:numPr>
        <w:spacing w:line="480" w:lineRule="auto"/>
        <w:ind w:left="2160" w:hanging="360"/>
        <w:rPr>
          <w:u w:val="none"/>
        </w:rPr>
      </w:pPr>
      <w:r w:rsidDel="00000000" w:rsidR="00000000" w:rsidRPr="00000000">
        <w:rPr>
          <w:rtl w:val="0"/>
        </w:rPr>
        <w:t xml:space="preserve">Subsidy types (grants, tax credits, rebates)</w:t>
      </w:r>
    </w:p>
    <w:p w:rsidR="00000000" w:rsidDel="00000000" w:rsidP="00000000" w:rsidRDefault="00000000" w:rsidRPr="00000000" w14:paraId="0000006C">
      <w:pPr>
        <w:numPr>
          <w:ilvl w:val="2"/>
          <w:numId w:val="9"/>
        </w:numPr>
        <w:spacing w:line="480" w:lineRule="auto"/>
        <w:ind w:left="2160" w:hanging="360"/>
        <w:rPr>
          <w:u w:val="none"/>
        </w:rPr>
      </w:pPr>
      <w:r w:rsidDel="00000000" w:rsidR="00000000" w:rsidRPr="00000000">
        <w:rPr>
          <w:rtl w:val="0"/>
        </w:rPr>
        <w:t xml:space="preserve">Policy start year (or duration)</w:t>
      </w:r>
    </w:p>
    <w:p w:rsidR="00000000" w:rsidDel="00000000" w:rsidP="00000000" w:rsidRDefault="00000000" w:rsidRPr="00000000" w14:paraId="0000006D">
      <w:pPr>
        <w:numPr>
          <w:ilvl w:val="2"/>
          <w:numId w:val="9"/>
        </w:numPr>
        <w:spacing w:line="480" w:lineRule="auto"/>
        <w:ind w:left="2160" w:hanging="360"/>
        <w:rPr>
          <w:u w:val="none"/>
        </w:rPr>
      </w:pPr>
      <w:r w:rsidDel="00000000" w:rsidR="00000000" w:rsidRPr="00000000">
        <w:rPr>
          <w:rtl w:val="0"/>
        </w:rPr>
        <w:t xml:space="preserve">Penalty/enforcement mechanism presence (binary or numeric)</w:t>
      </w:r>
    </w:p>
    <w:p w:rsidR="00000000" w:rsidDel="00000000" w:rsidP="00000000" w:rsidRDefault="00000000" w:rsidRPr="00000000" w14:paraId="0000006E">
      <w:pPr>
        <w:numPr>
          <w:ilvl w:val="2"/>
          <w:numId w:val="9"/>
        </w:numPr>
        <w:spacing w:line="480" w:lineRule="auto"/>
        <w:ind w:left="2160" w:hanging="360"/>
        <w:rPr>
          <w:u w:val="none"/>
        </w:rPr>
      </w:pPr>
      <w:r w:rsidDel="00000000" w:rsidR="00000000" w:rsidRPr="00000000">
        <w:rPr>
          <w:rtl w:val="0"/>
        </w:rPr>
        <w:t xml:space="preserve">Presence of other policies (binary or numeric)</w:t>
      </w:r>
    </w:p>
    <w:p w:rsidR="00000000" w:rsidDel="00000000" w:rsidP="00000000" w:rsidRDefault="00000000" w:rsidRPr="00000000" w14:paraId="0000006F">
      <w:pPr>
        <w:spacing w:line="480" w:lineRule="auto"/>
        <w:ind w:left="0" w:firstLine="0"/>
        <w:rPr/>
      </w:pPr>
      <w:r w:rsidDel="00000000" w:rsidR="00000000" w:rsidRPr="00000000">
        <w:rPr>
          <w:rtl w:val="0"/>
        </w:rPr>
      </w:r>
    </w:p>
    <w:p w:rsidR="00000000" w:rsidDel="00000000" w:rsidP="00000000" w:rsidRDefault="00000000" w:rsidRPr="00000000" w14:paraId="00000070">
      <w:pPr>
        <w:pStyle w:val="Heading2"/>
        <w:spacing w:line="480" w:lineRule="auto"/>
        <w:rPr>
          <w:b w:val="1"/>
        </w:rPr>
      </w:pPr>
      <w:bookmarkStart w:colFirst="0" w:colLast="0" w:name="_toulcgxkeo9s" w:id="30"/>
      <w:bookmarkEnd w:id="30"/>
      <w:r w:rsidDel="00000000" w:rsidR="00000000" w:rsidRPr="00000000">
        <w:rPr>
          <w:b w:val="1"/>
          <w:rtl w:val="0"/>
        </w:rPr>
        <w:t xml:space="preserve">Analysis Plan:</w:t>
      </w:r>
    </w:p>
    <w:p w:rsidR="00000000" w:rsidDel="00000000" w:rsidP="00000000" w:rsidRDefault="00000000" w:rsidRPr="00000000" w14:paraId="00000071">
      <w:pPr>
        <w:spacing w:line="480" w:lineRule="auto"/>
        <w:rPr/>
      </w:pPr>
      <w:r w:rsidDel="00000000" w:rsidR="00000000" w:rsidRPr="00000000">
        <w:rPr>
          <w:rtl w:val="0"/>
        </w:rPr>
        <w:t xml:space="preserve">To start our analysis, we will conduct comprehensive data cleaning and feature engineering. This includes merging all datasets by U.S. state to ensure a coherent unit of analysis across data sources such as energy mix, socioeconomic variables, and policy features. We will calculate the percentage-point change in fossil fuel energy share between 2010 and 2022 for each state, which will serve as the core metric of fossil fuel displacement. From this, we will derive a binary outcome variable labeled “success” defined as any state exhibiting a reduction in fossil fuel share greater than the national median change. Additionally, we will encode categorical policy variables (e.g., types of subsidies, presence of enforcement mechanisms) into suitable formats for analysis.</w:t>
      </w:r>
    </w:p>
    <w:p w:rsidR="00000000" w:rsidDel="00000000" w:rsidP="00000000" w:rsidRDefault="00000000" w:rsidRPr="00000000" w14:paraId="00000072">
      <w:pPr>
        <w:spacing w:line="480" w:lineRule="auto"/>
        <w:rPr/>
      </w:pPr>
      <w:r w:rsidDel="00000000" w:rsidR="00000000" w:rsidRPr="00000000">
        <w:rPr>
          <w:rtl w:val="0"/>
        </w:rPr>
      </w:r>
    </w:p>
    <w:p w:rsidR="00000000" w:rsidDel="00000000" w:rsidP="00000000" w:rsidRDefault="00000000" w:rsidRPr="00000000" w14:paraId="00000073">
      <w:pPr>
        <w:spacing w:line="480" w:lineRule="auto"/>
        <w:rPr/>
      </w:pPr>
      <w:r w:rsidDel="00000000" w:rsidR="00000000" w:rsidRPr="00000000">
        <w:rPr>
          <w:rtl w:val="0"/>
        </w:rPr>
        <w:t xml:space="preserve">Following data preparation, our modeling approach begins with exploratory data analysis (EDA). We will use correlation matrices and visualizations like box plots to investigate preliminary relationships between key variables such as political leaning, policy types, and fossil fuel reduction. These EDA steps will help inform variable selection and modeling strategy.</w:t>
      </w:r>
    </w:p>
    <w:p w:rsidR="00000000" w:rsidDel="00000000" w:rsidP="00000000" w:rsidRDefault="00000000" w:rsidRPr="00000000" w14:paraId="00000074">
      <w:pPr>
        <w:spacing w:line="480" w:lineRule="auto"/>
        <w:rPr/>
      </w:pPr>
      <w:r w:rsidDel="00000000" w:rsidR="00000000" w:rsidRPr="00000000">
        <w:rPr>
          <w:rtl w:val="0"/>
        </w:rPr>
      </w:r>
    </w:p>
    <w:p w:rsidR="00000000" w:rsidDel="00000000" w:rsidP="00000000" w:rsidRDefault="00000000" w:rsidRPr="00000000" w14:paraId="00000075">
      <w:pPr>
        <w:spacing w:line="480" w:lineRule="auto"/>
        <w:rPr/>
      </w:pPr>
      <w:r w:rsidDel="00000000" w:rsidR="00000000" w:rsidRPr="00000000">
        <w:rPr>
          <w:rtl w:val="0"/>
        </w:rPr>
        <w:t xml:space="preserve">For predictive modeling, we plan to employ both logistic regression and tree-based methods. Logistic regression will be used to classify states as either successful or not in terms of fossil fuel displacement. To gain deeper insights into feature importance and interactions, we will apply ensemble learning techniques such as Random Forests and XGBoost. We will also do further analysis on feature importance to understand what aspects will affect the success of a state.</w:t>
      </w:r>
    </w:p>
    <w:p w:rsidR="00000000" w:rsidDel="00000000" w:rsidP="00000000" w:rsidRDefault="00000000" w:rsidRPr="00000000" w14:paraId="00000076">
      <w:pPr>
        <w:spacing w:line="480" w:lineRule="auto"/>
        <w:rPr/>
      </w:pPr>
      <w:r w:rsidDel="00000000" w:rsidR="00000000" w:rsidRPr="00000000">
        <w:rPr>
          <w:rtl w:val="0"/>
        </w:rPr>
      </w:r>
    </w:p>
    <w:p w:rsidR="00000000" w:rsidDel="00000000" w:rsidP="00000000" w:rsidRDefault="00000000" w:rsidRPr="00000000" w14:paraId="00000077">
      <w:pPr>
        <w:spacing w:line="480" w:lineRule="auto"/>
        <w:rPr/>
      </w:pPr>
      <w:r w:rsidDel="00000000" w:rsidR="00000000" w:rsidRPr="00000000">
        <w:rPr>
          <w:rtl w:val="0"/>
        </w:rPr>
        <w:t xml:space="preserve">Our evaluation strategy will depend on the model type. For classification tasks, we will assess performance using accuracy, precision, and ROC-AUC metrics. If regression models are used to predict the magnitude of fossil fuel share reduction, we will evaluate them using R-squared (</w:t>
      </w:r>
      <m:oMath>
        <m:sSup>
          <m:sSupPr>
            <m:ctrlPr>
              <w:rPr/>
            </m:ctrlPr>
          </m:sSupPr>
          <m:e>
            <m:r>
              <w:rPr/>
              <m:t xml:space="preserve">R</m:t>
            </m:r>
          </m:e>
          <m:sup>
            <m:r>
              <w:rPr/>
              <m:t xml:space="preserve">2</m:t>
            </m:r>
          </m:sup>
        </m:sSup>
      </m:oMath>
      <w:r w:rsidDel="00000000" w:rsidR="00000000" w:rsidRPr="00000000">
        <w:rPr>
          <w:rtl w:val="0"/>
        </w:rPr>
        <w:t xml:space="preserve">) and root mean squared error (RMSE). Ultimately, support for our hypothesis will be considered strong if we observe statistically significant performance and if features such as political leaning, income, grid capacity, and renewable policy strength emerge as top predictors in the models.</w:t>
      </w:r>
      <w:r w:rsidDel="00000000" w:rsidR="00000000" w:rsidRPr="00000000">
        <w:rPr>
          <w:rtl w:val="0"/>
        </w:rPr>
      </w:r>
    </w:p>
    <w:p w:rsidR="00000000" w:rsidDel="00000000" w:rsidP="00000000" w:rsidRDefault="00000000" w:rsidRPr="00000000" w14:paraId="00000078">
      <w:pPr>
        <w:pStyle w:val="Heading2"/>
        <w:spacing w:before="200" w:line="480" w:lineRule="auto"/>
        <w:rPr>
          <w:b w:val="1"/>
        </w:rPr>
      </w:pPr>
      <w:bookmarkStart w:colFirst="0" w:colLast="0" w:name="_6am8k5vfwi7k" w:id="31"/>
      <w:bookmarkEnd w:id="31"/>
      <w:r w:rsidDel="00000000" w:rsidR="00000000" w:rsidRPr="00000000">
        <w:rPr>
          <w:b w:val="1"/>
          <w:rtl w:val="0"/>
        </w:rPr>
        <w:t xml:space="preserve">Technical Details</w:t>
      </w:r>
    </w:p>
    <w:p w:rsidR="00000000" w:rsidDel="00000000" w:rsidP="00000000" w:rsidRDefault="00000000" w:rsidRPr="00000000" w14:paraId="00000079">
      <w:pPr>
        <w:pStyle w:val="Heading3"/>
        <w:spacing w:line="480" w:lineRule="auto"/>
        <w:rPr/>
      </w:pPr>
      <w:bookmarkStart w:colFirst="0" w:colLast="0" w:name="_9j89yin1l3y9" w:id="32"/>
      <w:bookmarkEnd w:id="32"/>
      <w:r w:rsidDel="00000000" w:rsidR="00000000" w:rsidRPr="00000000">
        <w:rPr>
          <w:rtl w:val="0"/>
        </w:rPr>
        <w:t xml:space="preserve">Data Cleaning &amp; Engineering</w:t>
      </w:r>
    </w:p>
    <w:p w:rsidR="00000000" w:rsidDel="00000000" w:rsidP="00000000" w:rsidRDefault="00000000" w:rsidRPr="00000000" w14:paraId="0000007A">
      <w:pPr>
        <w:numPr>
          <w:ilvl w:val="0"/>
          <w:numId w:val="6"/>
        </w:numPr>
        <w:spacing w:before="200" w:line="480" w:lineRule="auto"/>
        <w:ind w:left="720" w:hanging="360"/>
        <w:rPr>
          <w:u w:val="none"/>
        </w:rPr>
      </w:pPr>
      <w:r w:rsidDel="00000000" w:rsidR="00000000" w:rsidRPr="00000000">
        <w:rPr>
          <w:rtl w:val="0"/>
        </w:rPr>
        <w:t xml:space="preserve">Merge datasets by state</w:t>
      </w:r>
    </w:p>
    <w:p w:rsidR="00000000" w:rsidDel="00000000" w:rsidP="00000000" w:rsidRDefault="00000000" w:rsidRPr="00000000" w14:paraId="0000007B">
      <w:pPr>
        <w:numPr>
          <w:ilvl w:val="0"/>
          <w:numId w:val="6"/>
        </w:numPr>
        <w:spacing w:before="200" w:line="480" w:lineRule="auto"/>
        <w:ind w:left="720" w:hanging="360"/>
        <w:rPr>
          <w:u w:val="none"/>
        </w:rPr>
      </w:pPr>
      <w:r w:rsidDel="00000000" w:rsidR="00000000" w:rsidRPr="00000000">
        <w:rPr>
          <w:rtl w:val="0"/>
        </w:rPr>
        <w:t xml:space="preserve">Calculate change in fossil fuel share:</w:t>
      </w:r>
    </w:p>
    <w:p w:rsidR="00000000" w:rsidDel="00000000" w:rsidP="00000000" w:rsidRDefault="00000000" w:rsidRPr="00000000" w14:paraId="0000007C">
      <w:pPr>
        <w:spacing w:before="200" w:line="480" w:lineRule="auto"/>
        <w:ind w:left="720" w:firstLine="0"/>
        <w:rPr/>
      </w:pPr>
      <w:r w:rsidDel="00000000" w:rsidR="00000000" w:rsidRPr="00000000">
        <w:rPr>
          <w:rtl w:val="0"/>
        </w:rPr>
        <w:t xml:space="preserve">ΔFossilFuelShare = FossilShare_2010 - FossilShare_2022 </w:t>
      </w:r>
    </w:p>
    <w:p w:rsidR="00000000" w:rsidDel="00000000" w:rsidP="00000000" w:rsidRDefault="00000000" w:rsidRPr="00000000" w14:paraId="0000007D">
      <w:pPr>
        <w:numPr>
          <w:ilvl w:val="0"/>
          <w:numId w:val="6"/>
        </w:numPr>
        <w:spacing w:before="200" w:line="480" w:lineRule="auto"/>
        <w:ind w:left="720" w:hanging="360"/>
        <w:rPr>
          <w:u w:val="none"/>
        </w:rPr>
      </w:pPr>
      <w:r w:rsidDel="00000000" w:rsidR="00000000" w:rsidRPr="00000000">
        <w:rPr>
          <w:rtl w:val="0"/>
        </w:rPr>
        <w:t xml:space="preserve">Create binary “success” outcome:</w:t>
      </w:r>
    </w:p>
    <w:p w:rsidR="00000000" w:rsidDel="00000000" w:rsidP="00000000" w:rsidRDefault="00000000" w:rsidRPr="00000000" w14:paraId="0000007E">
      <w:pPr>
        <w:spacing w:before="200" w:line="480" w:lineRule="auto"/>
        <w:ind w:left="720" w:firstLine="0"/>
        <w:rPr/>
      </w:pPr>
      <w:r w:rsidDel="00000000" w:rsidR="00000000" w:rsidRPr="00000000">
        <w:rPr>
          <w:rtl w:val="0"/>
        </w:rPr>
        <w:t xml:space="preserve">Success = 1 if ΔFossilFuelShare &gt; median(ΔFossilFuelShare) </w:t>
      </w:r>
    </w:p>
    <w:p w:rsidR="00000000" w:rsidDel="00000000" w:rsidP="00000000" w:rsidRDefault="00000000" w:rsidRPr="00000000" w14:paraId="0000007F">
      <w:pPr>
        <w:numPr>
          <w:ilvl w:val="0"/>
          <w:numId w:val="6"/>
        </w:numPr>
        <w:spacing w:before="200" w:line="480" w:lineRule="auto"/>
        <w:ind w:left="720" w:hanging="360"/>
        <w:rPr>
          <w:u w:val="none"/>
        </w:rPr>
      </w:pPr>
      <w:r w:rsidDel="00000000" w:rsidR="00000000" w:rsidRPr="00000000">
        <w:rPr>
          <w:rtl w:val="0"/>
        </w:rPr>
        <w:t xml:space="preserve">Encode categorical policy features (e.g., subsidy type, enforcement mechanism)</w:t>
      </w:r>
    </w:p>
    <w:p w:rsidR="00000000" w:rsidDel="00000000" w:rsidP="00000000" w:rsidRDefault="00000000" w:rsidRPr="00000000" w14:paraId="00000080">
      <w:pPr>
        <w:spacing w:before="200" w:line="480" w:lineRule="auto"/>
        <w:ind w:left="0" w:firstLine="0"/>
        <w:rPr/>
      </w:pPr>
      <w:r w:rsidDel="00000000" w:rsidR="00000000" w:rsidRPr="00000000">
        <w:rPr>
          <w:rtl w:val="0"/>
        </w:rPr>
      </w:r>
    </w:p>
    <w:p w:rsidR="00000000" w:rsidDel="00000000" w:rsidP="00000000" w:rsidRDefault="00000000" w:rsidRPr="00000000" w14:paraId="00000081">
      <w:pPr>
        <w:pStyle w:val="Heading3"/>
        <w:spacing w:before="200" w:line="480" w:lineRule="auto"/>
        <w:rPr/>
      </w:pPr>
      <w:bookmarkStart w:colFirst="0" w:colLast="0" w:name="_s5onffd4tacs" w:id="33"/>
      <w:bookmarkEnd w:id="33"/>
      <w:r w:rsidDel="00000000" w:rsidR="00000000" w:rsidRPr="00000000">
        <w:rPr>
          <w:rtl w:val="0"/>
        </w:rPr>
        <w:t xml:space="preserve">Modeling Approach</w:t>
      </w:r>
    </w:p>
    <w:p w:rsidR="00000000" w:rsidDel="00000000" w:rsidP="00000000" w:rsidRDefault="00000000" w:rsidRPr="00000000" w14:paraId="00000082">
      <w:pPr>
        <w:numPr>
          <w:ilvl w:val="0"/>
          <w:numId w:val="12"/>
        </w:numPr>
        <w:spacing w:line="480" w:lineRule="auto"/>
        <w:ind w:left="720" w:hanging="360"/>
        <w:rPr>
          <w:u w:val="none"/>
        </w:rPr>
      </w:pPr>
      <w:r w:rsidDel="00000000" w:rsidR="00000000" w:rsidRPr="00000000">
        <w:rPr>
          <w:rtl w:val="0"/>
        </w:rPr>
        <w:t xml:space="preserve">Exploratory Analysis:</w:t>
      </w:r>
    </w:p>
    <w:p w:rsidR="00000000" w:rsidDel="00000000" w:rsidP="00000000" w:rsidRDefault="00000000" w:rsidRPr="00000000" w14:paraId="00000083">
      <w:pPr>
        <w:numPr>
          <w:ilvl w:val="1"/>
          <w:numId w:val="12"/>
        </w:numPr>
        <w:spacing w:after="0" w:before="200" w:line="480" w:lineRule="auto"/>
        <w:ind w:left="1440" w:hanging="360"/>
        <w:rPr>
          <w:u w:val="none"/>
        </w:rPr>
      </w:pPr>
      <w:r w:rsidDel="00000000" w:rsidR="00000000" w:rsidRPr="00000000">
        <w:rPr>
          <w:rtl w:val="0"/>
        </w:rPr>
        <w:t xml:space="preserve">Correlation matrices, box plots by policy types and political leaning</w:t>
      </w:r>
    </w:p>
    <w:p w:rsidR="00000000" w:rsidDel="00000000" w:rsidP="00000000" w:rsidRDefault="00000000" w:rsidRPr="00000000" w14:paraId="00000084">
      <w:pPr>
        <w:numPr>
          <w:ilvl w:val="0"/>
          <w:numId w:val="12"/>
        </w:numPr>
        <w:spacing w:before="200" w:line="480" w:lineRule="auto"/>
        <w:ind w:left="720" w:hanging="360"/>
        <w:rPr>
          <w:u w:val="none"/>
        </w:rPr>
      </w:pPr>
      <w:r w:rsidDel="00000000" w:rsidR="00000000" w:rsidRPr="00000000">
        <w:rPr>
          <w:rtl w:val="0"/>
        </w:rPr>
        <w:t xml:space="preserve">Predictive Modeling:</w:t>
      </w:r>
    </w:p>
    <w:p w:rsidR="00000000" w:rsidDel="00000000" w:rsidP="00000000" w:rsidRDefault="00000000" w:rsidRPr="00000000" w14:paraId="00000085">
      <w:pPr>
        <w:numPr>
          <w:ilvl w:val="1"/>
          <w:numId w:val="12"/>
        </w:numPr>
        <w:spacing w:before="200" w:line="480" w:lineRule="auto"/>
        <w:ind w:left="1440" w:hanging="360"/>
        <w:rPr>
          <w:u w:val="none"/>
        </w:rPr>
      </w:pPr>
      <w:r w:rsidDel="00000000" w:rsidR="00000000" w:rsidRPr="00000000">
        <w:rPr>
          <w:rtl w:val="0"/>
        </w:rPr>
        <w:t xml:space="preserve">Logistic Regression (for binary success)</w:t>
      </w:r>
    </w:p>
    <w:p w:rsidR="00000000" w:rsidDel="00000000" w:rsidP="00000000" w:rsidRDefault="00000000" w:rsidRPr="00000000" w14:paraId="00000086">
      <w:pPr>
        <w:numPr>
          <w:ilvl w:val="1"/>
          <w:numId w:val="12"/>
        </w:numPr>
        <w:spacing w:before="200" w:line="480" w:lineRule="auto"/>
        <w:ind w:left="1440" w:hanging="360"/>
        <w:rPr>
          <w:u w:val="none"/>
        </w:rPr>
      </w:pPr>
      <w:r w:rsidDel="00000000" w:rsidR="00000000" w:rsidRPr="00000000">
        <w:rPr>
          <w:rtl w:val="0"/>
        </w:rPr>
        <w:t xml:space="preserve">Random Forest / XGBoost for feature importance</w:t>
      </w:r>
    </w:p>
    <w:p w:rsidR="00000000" w:rsidDel="00000000" w:rsidP="00000000" w:rsidRDefault="00000000" w:rsidRPr="00000000" w14:paraId="00000087">
      <w:pPr>
        <w:spacing w:before="200" w:line="480" w:lineRule="auto"/>
        <w:ind w:left="0" w:firstLine="0"/>
        <w:rPr/>
      </w:pPr>
      <w:r w:rsidDel="00000000" w:rsidR="00000000" w:rsidRPr="00000000">
        <w:rPr>
          <w:rtl w:val="0"/>
        </w:rPr>
      </w:r>
    </w:p>
    <w:p w:rsidR="00000000" w:rsidDel="00000000" w:rsidP="00000000" w:rsidRDefault="00000000" w:rsidRPr="00000000" w14:paraId="00000088">
      <w:pPr>
        <w:pStyle w:val="Heading3"/>
        <w:spacing w:before="200" w:line="480" w:lineRule="auto"/>
        <w:rPr/>
      </w:pPr>
      <w:bookmarkStart w:colFirst="0" w:colLast="0" w:name="_1iqhgdgv0ou3" w:id="34"/>
      <w:bookmarkEnd w:id="34"/>
      <w:r w:rsidDel="00000000" w:rsidR="00000000" w:rsidRPr="00000000">
        <w:rPr>
          <w:rtl w:val="0"/>
        </w:rPr>
        <w:t xml:space="preserve">Evaluation Criteria</w:t>
      </w:r>
    </w:p>
    <w:p w:rsidR="00000000" w:rsidDel="00000000" w:rsidP="00000000" w:rsidRDefault="00000000" w:rsidRPr="00000000" w14:paraId="00000089">
      <w:pPr>
        <w:numPr>
          <w:ilvl w:val="0"/>
          <w:numId w:val="10"/>
        </w:numPr>
        <w:spacing w:line="480" w:lineRule="auto"/>
        <w:ind w:left="720" w:hanging="360"/>
        <w:rPr>
          <w:u w:val="none"/>
        </w:rPr>
      </w:pPr>
      <w:r w:rsidDel="00000000" w:rsidR="00000000" w:rsidRPr="00000000">
        <w:rPr>
          <w:rtl w:val="0"/>
        </w:rPr>
        <w:t xml:space="preserve">For classification: Accuracy, Precision, ROC-AUC</w:t>
      </w:r>
    </w:p>
    <w:p w:rsidR="00000000" w:rsidDel="00000000" w:rsidP="00000000" w:rsidRDefault="00000000" w:rsidRPr="00000000" w14:paraId="0000008A">
      <w:pPr>
        <w:numPr>
          <w:ilvl w:val="0"/>
          <w:numId w:val="10"/>
        </w:numPr>
        <w:spacing w:after="0" w:before="200" w:line="480" w:lineRule="auto"/>
        <w:ind w:left="720" w:hanging="360"/>
        <w:rPr>
          <w:u w:val="none"/>
        </w:rPr>
      </w:pPr>
      <w:r w:rsidDel="00000000" w:rsidR="00000000" w:rsidRPr="00000000">
        <w:rPr>
          <w:rtl w:val="0"/>
        </w:rPr>
        <w:t xml:space="preserve">For regression: </w:t>
      </w:r>
      <m:oMath>
        <m:sSup>
          <m:sSupPr>
            <m:ctrlPr>
              <w:rPr/>
            </m:ctrlPr>
          </m:sSupPr>
          <m:e>
            <m:r>
              <w:rPr/>
              <m:t xml:space="preserve">R</m:t>
            </m:r>
          </m:e>
          <m:sup>
            <m:r>
              <w:rPr/>
              <m:t xml:space="preserve">2</m:t>
            </m:r>
          </m:sup>
        </m:sSup>
      </m:oMath>
      <w:r w:rsidDel="00000000" w:rsidR="00000000" w:rsidRPr="00000000">
        <w:rPr>
          <w:rtl w:val="0"/>
        </w:rPr>
        <w:t xml:space="preserve">, RMSE</w:t>
      </w:r>
    </w:p>
    <w:p w:rsidR="00000000" w:rsidDel="00000000" w:rsidP="00000000" w:rsidRDefault="00000000" w:rsidRPr="00000000" w14:paraId="0000008B">
      <w:pPr>
        <w:numPr>
          <w:ilvl w:val="0"/>
          <w:numId w:val="10"/>
        </w:numPr>
        <w:spacing w:after="0" w:before="200" w:line="480" w:lineRule="auto"/>
        <w:ind w:left="720" w:hanging="360"/>
        <w:rPr>
          <w:u w:val="none"/>
        </w:rPr>
      </w:pPr>
      <w:r w:rsidDel="00000000" w:rsidR="00000000" w:rsidRPr="00000000">
        <w:rPr>
          <w:rtl w:val="0"/>
        </w:rPr>
        <w:t xml:space="preserve">Support for hypothesis:</w:t>
      </w:r>
    </w:p>
    <w:p w:rsidR="00000000" w:rsidDel="00000000" w:rsidP="00000000" w:rsidRDefault="00000000" w:rsidRPr="00000000" w14:paraId="0000008C">
      <w:pPr>
        <w:numPr>
          <w:ilvl w:val="1"/>
          <w:numId w:val="10"/>
        </w:numPr>
        <w:spacing w:before="200" w:line="480" w:lineRule="auto"/>
        <w:ind w:left="1440" w:hanging="360"/>
        <w:rPr>
          <w:u w:val="none"/>
        </w:rPr>
      </w:pPr>
      <w:r w:rsidDel="00000000" w:rsidR="00000000" w:rsidRPr="00000000">
        <w:rPr>
          <w:rtl w:val="0"/>
        </w:rPr>
        <w:t xml:space="preserve">Statistically significant model performance</w:t>
      </w:r>
    </w:p>
    <w:p w:rsidR="00000000" w:rsidDel="00000000" w:rsidP="00000000" w:rsidRDefault="00000000" w:rsidRPr="00000000" w14:paraId="0000008D">
      <w:pPr>
        <w:numPr>
          <w:ilvl w:val="1"/>
          <w:numId w:val="10"/>
        </w:numPr>
        <w:spacing w:before="200" w:line="480" w:lineRule="auto"/>
        <w:ind w:left="1440" w:hanging="360"/>
        <w:rPr>
          <w:u w:val="none"/>
        </w:rPr>
      </w:pPr>
      <w:r w:rsidDel="00000000" w:rsidR="00000000" w:rsidRPr="00000000">
        <w:rPr>
          <w:rtl w:val="0"/>
        </w:rPr>
        <w:t xml:space="preserve">Political leaning, income, grid-capacity, and Renewable Portfolio Standards policy among top predictors</w:t>
      </w:r>
    </w:p>
    <w:p w:rsidR="00000000" w:rsidDel="00000000" w:rsidP="00000000" w:rsidRDefault="00000000" w:rsidRPr="00000000" w14:paraId="0000008E">
      <w:pPr>
        <w:pStyle w:val="Heading2"/>
        <w:spacing w:line="480" w:lineRule="auto"/>
        <w:ind w:left="0" w:firstLine="0"/>
        <w:rPr/>
      </w:pPr>
      <w:bookmarkStart w:colFirst="0" w:colLast="0" w:name="_7c8aq88qdfqt" w:id="35"/>
      <w:bookmarkEnd w:id="35"/>
      <w:r w:rsidDel="00000000" w:rsidR="00000000" w:rsidRPr="00000000">
        <w:rPr>
          <w:color w:val="434343"/>
          <w:sz w:val="28"/>
          <w:szCs w:val="28"/>
          <w:rtl w:val="0"/>
        </w:rPr>
        <w:t xml:space="preserve">Tools</w:t>
      </w:r>
      <w:r w:rsidDel="00000000" w:rsidR="00000000" w:rsidRPr="00000000">
        <w:rPr>
          <w:rtl w:val="0"/>
        </w:rPr>
      </w:r>
    </w:p>
    <w:p w:rsidR="00000000" w:rsidDel="00000000" w:rsidP="00000000" w:rsidRDefault="00000000" w:rsidRPr="00000000" w14:paraId="0000008F">
      <w:pPr>
        <w:numPr>
          <w:ilvl w:val="0"/>
          <w:numId w:val="1"/>
        </w:numPr>
        <w:spacing w:after="0" w:afterAutospacing="0" w:before="200" w:line="480" w:lineRule="auto"/>
        <w:ind w:left="720" w:hanging="360"/>
        <w:rPr>
          <w:u w:val="none"/>
        </w:rPr>
      </w:pPr>
      <w:r w:rsidDel="00000000" w:rsidR="00000000" w:rsidRPr="00000000">
        <w:rPr>
          <w:rtl w:val="0"/>
        </w:rPr>
        <w:t xml:space="preserve">Python (Pandas, scikit-learn, matplotlib, seaborn)</w:t>
      </w:r>
    </w:p>
    <w:p w:rsidR="00000000" w:rsidDel="00000000" w:rsidP="00000000" w:rsidRDefault="00000000" w:rsidRPr="00000000" w14:paraId="00000090">
      <w:pPr>
        <w:numPr>
          <w:ilvl w:val="0"/>
          <w:numId w:val="1"/>
        </w:numPr>
        <w:spacing w:after="0" w:afterAutospacing="0" w:before="0" w:beforeAutospacing="0" w:line="480" w:lineRule="auto"/>
        <w:ind w:left="720" w:hanging="360"/>
        <w:rPr>
          <w:u w:val="none"/>
        </w:rPr>
      </w:pPr>
      <w:r w:rsidDel="00000000" w:rsidR="00000000" w:rsidRPr="00000000">
        <w:rPr>
          <w:rtl w:val="0"/>
        </w:rPr>
        <w:t xml:space="preserve">Google Colab for EDA and modeling</w:t>
      </w:r>
    </w:p>
    <w:p w:rsidR="00000000" w:rsidDel="00000000" w:rsidP="00000000" w:rsidRDefault="00000000" w:rsidRPr="00000000" w14:paraId="00000091">
      <w:pPr>
        <w:numPr>
          <w:ilvl w:val="0"/>
          <w:numId w:val="1"/>
        </w:numPr>
        <w:spacing w:after="0" w:afterAutospacing="0" w:before="0" w:beforeAutospacing="0" w:line="480" w:lineRule="auto"/>
        <w:ind w:left="720" w:hanging="360"/>
        <w:rPr>
          <w:u w:val="none"/>
        </w:rPr>
      </w:pPr>
      <w:r w:rsidDel="00000000" w:rsidR="00000000" w:rsidRPr="00000000">
        <w:rPr>
          <w:rtl w:val="0"/>
        </w:rPr>
        <w:t xml:space="preserve">Git for version control</w:t>
      </w:r>
    </w:p>
    <w:p w:rsidR="00000000" w:rsidDel="00000000" w:rsidP="00000000" w:rsidRDefault="00000000" w:rsidRPr="00000000" w14:paraId="00000092">
      <w:pPr>
        <w:numPr>
          <w:ilvl w:val="1"/>
          <w:numId w:val="1"/>
        </w:numPr>
        <w:spacing w:before="0" w:beforeAutospacing="0" w:line="480" w:lineRule="auto"/>
        <w:ind w:left="1440" w:hanging="360"/>
        <w:rPr>
          <w:u w:val="none"/>
        </w:rPr>
      </w:pPr>
      <w:r w:rsidDel="00000000" w:rsidR="00000000" w:rsidRPr="00000000">
        <w:rPr>
          <w:rtl w:val="0"/>
        </w:rPr>
        <w:t xml:space="preserve">GitHub Link: </w:t>
      </w:r>
      <w:hyperlink r:id="rId26">
        <w:r w:rsidDel="00000000" w:rsidR="00000000" w:rsidRPr="00000000">
          <w:rPr>
            <w:color w:val="1155cc"/>
            <w:u w:val="single"/>
            <w:rtl w:val="0"/>
          </w:rPr>
          <w:t xml:space="preserve">https://github.com/TaxMuttle/DSE6311</w:t>
        </w:r>
      </w:hyperlink>
      <w:r w:rsidDel="00000000" w:rsidR="00000000" w:rsidRPr="00000000">
        <w:rPr>
          <w:rtl w:val="0"/>
        </w:rPr>
      </w:r>
    </w:p>
    <w:p w:rsidR="00000000" w:rsidDel="00000000" w:rsidP="00000000" w:rsidRDefault="00000000" w:rsidRPr="00000000" w14:paraId="00000093">
      <w:pPr>
        <w:spacing w:before="200" w:line="480" w:lineRule="auto"/>
        <w:ind w:left="0" w:firstLine="0"/>
        <w:rPr/>
      </w:pPr>
      <w:r w:rsidDel="00000000" w:rsidR="00000000" w:rsidRPr="00000000">
        <w:rPr>
          <w:rtl w:val="0"/>
        </w:rPr>
      </w:r>
    </w:p>
    <w:p w:rsidR="00000000" w:rsidDel="00000000" w:rsidP="00000000" w:rsidRDefault="00000000" w:rsidRPr="00000000" w14:paraId="00000094">
      <w:pPr>
        <w:pStyle w:val="Heading1"/>
        <w:spacing w:before="200" w:line="480" w:lineRule="auto"/>
        <w:rPr/>
      </w:pPr>
      <w:bookmarkStart w:colFirst="0" w:colLast="0" w:name="_ukdcchp40bg4" w:id="36"/>
      <w:bookmarkEnd w:id="36"/>
      <w:r w:rsidDel="00000000" w:rsidR="00000000" w:rsidRPr="00000000">
        <w:rPr>
          <w:rtl w:val="0"/>
        </w:rPr>
        <w:t xml:space="preserve">Sources:</w:t>
      </w:r>
    </w:p>
    <w:p w:rsidR="00000000" w:rsidDel="00000000" w:rsidP="00000000" w:rsidRDefault="00000000" w:rsidRPr="00000000" w14:paraId="00000095">
      <w:pPr>
        <w:numPr>
          <w:ilvl w:val="0"/>
          <w:numId w:val="4"/>
        </w:numPr>
        <w:spacing w:line="480" w:lineRule="auto"/>
        <w:ind w:left="720" w:hanging="360"/>
        <w:rPr>
          <w:u w:val="none"/>
        </w:rPr>
      </w:pPr>
      <w:r w:rsidDel="00000000" w:rsidR="00000000" w:rsidRPr="00000000">
        <w:rPr>
          <w:rtl w:val="0"/>
        </w:rPr>
        <w:t xml:space="preserve">Carley, S. (2009). State renewable energy electricity policies: An empirical evaluation of effectiveness. </w:t>
      </w:r>
      <w:r w:rsidDel="00000000" w:rsidR="00000000" w:rsidRPr="00000000">
        <w:rPr>
          <w:i w:val="1"/>
          <w:rtl w:val="0"/>
        </w:rPr>
        <w:t xml:space="preserve">Energy Policy, 37</w:t>
      </w:r>
      <w:r w:rsidDel="00000000" w:rsidR="00000000" w:rsidRPr="00000000">
        <w:rPr>
          <w:rtl w:val="0"/>
        </w:rPr>
        <w:t xml:space="preserve">(8), 3071–3081. </w:t>
      </w:r>
      <w:hyperlink r:id="rId27">
        <w:r w:rsidDel="00000000" w:rsidR="00000000" w:rsidRPr="00000000">
          <w:rPr>
            <w:color w:val="1155cc"/>
            <w:u w:val="single"/>
            <w:rtl w:val="0"/>
          </w:rPr>
          <w:t xml:space="preserve">https://doi.org/10.1016/j.enpol.2009.03.062</w:t>
        </w:r>
      </w:hyperlink>
      <w:r w:rsidDel="00000000" w:rsidR="00000000" w:rsidRPr="00000000">
        <w:rPr>
          <w:rtl w:val="0"/>
        </w:rPr>
      </w:r>
    </w:p>
    <w:p w:rsidR="00000000" w:rsidDel="00000000" w:rsidP="00000000" w:rsidRDefault="00000000" w:rsidRPr="00000000" w14:paraId="00000096">
      <w:pPr>
        <w:spacing w:line="480" w:lineRule="auto"/>
        <w:ind w:left="720" w:firstLine="0"/>
        <w:rPr/>
      </w:pPr>
      <w:r w:rsidDel="00000000" w:rsidR="00000000" w:rsidRPr="00000000">
        <w:rPr>
          <w:rtl w:val="0"/>
        </w:rPr>
      </w:r>
    </w:p>
    <w:p w:rsidR="00000000" w:rsidDel="00000000" w:rsidP="00000000" w:rsidRDefault="00000000" w:rsidRPr="00000000" w14:paraId="00000097">
      <w:pPr>
        <w:numPr>
          <w:ilvl w:val="0"/>
          <w:numId w:val="4"/>
        </w:numPr>
        <w:spacing w:line="480" w:lineRule="auto"/>
        <w:ind w:left="720" w:hanging="360"/>
        <w:rPr>
          <w:u w:val="none"/>
        </w:rPr>
      </w:pPr>
      <w:r w:rsidDel="00000000" w:rsidR="00000000" w:rsidRPr="00000000">
        <w:rPr>
          <w:rtl w:val="0"/>
        </w:rPr>
        <w:t xml:space="preserve">Fischlein, M., &amp; Smith, T. M. (2013). Revisiting renewable portfolio standard effectiveness: Policy design and outcome specification matter. </w:t>
      </w:r>
      <w:r w:rsidDel="00000000" w:rsidR="00000000" w:rsidRPr="00000000">
        <w:rPr>
          <w:i w:val="1"/>
          <w:rtl w:val="0"/>
        </w:rPr>
        <w:t xml:space="preserve">Policy Sciences, 46</w:t>
      </w:r>
      <w:r w:rsidDel="00000000" w:rsidR="00000000" w:rsidRPr="00000000">
        <w:rPr>
          <w:rtl w:val="0"/>
        </w:rPr>
        <w:t xml:space="preserve">(3), 277–310. </w:t>
      </w:r>
      <w:hyperlink r:id="rId28">
        <w:r w:rsidDel="00000000" w:rsidR="00000000" w:rsidRPr="00000000">
          <w:rPr>
            <w:color w:val="1155cc"/>
            <w:u w:val="single"/>
            <w:rtl w:val="0"/>
          </w:rPr>
          <w:t xml:space="preserve">https://doi.org/10.1007/s11077-013-9172-1</w:t>
        </w:r>
      </w:hyperlink>
      <w:r w:rsidDel="00000000" w:rsidR="00000000" w:rsidRPr="00000000">
        <w:rPr>
          <w:rtl w:val="0"/>
        </w:rPr>
        <w:t xml:space="preserve"> </w:t>
      </w:r>
    </w:p>
    <w:p w:rsidR="00000000" w:rsidDel="00000000" w:rsidP="00000000" w:rsidRDefault="00000000" w:rsidRPr="00000000" w14:paraId="00000098">
      <w:pPr>
        <w:spacing w:line="480" w:lineRule="auto"/>
        <w:ind w:left="720" w:firstLine="0"/>
        <w:rPr/>
      </w:pPr>
      <w:r w:rsidDel="00000000" w:rsidR="00000000" w:rsidRPr="00000000">
        <w:rPr>
          <w:rtl w:val="0"/>
        </w:rPr>
      </w:r>
    </w:p>
    <w:p w:rsidR="00000000" w:rsidDel="00000000" w:rsidP="00000000" w:rsidRDefault="00000000" w:rsidRPr="00000000" w14:paraId="00000099">
      <w:pPr>
        <w:numPr>
          <w:ilvl w:val="0"/>
          <w:numId w:val="4"/>
        </w:numPr>
        <w:spacing w:line="480" w:lineRule="auto"/>
        <w:ind w:left="720" w:hanging="360"/>
        <w:rPr>
          <w:u w:val="none"/>
        </w:rPr>
      </w:pPr>
      <w:r w:rsidDel="00000000" w:rsidR="00000000" w:rsidRPr="00000000">
        <w:rPr>
          <w:rtl w:val="0"/>
        </w:rPr>
        <w:t xml:space="preserve">Shrimali, G., &amp; Kniefel, J. (2011). Are government policies effective in promoting deployment of renewable electricity resources? </w:t>
      </w:r>
      <w:r w:rsidDel="00000000" w:rsidR="00000000" w:rsidRPr="00000000">
        <w:rPr>
          <w:i w:val="1"/>
          <w:rtl w:val="0"/>
        </w:rPr>
        <w:t xml:space="preserve">Energy Policy, 39</w:t>
      </w:r>
      <w:r w:rsidDel="00000000" w:rsidR="00000000" w:rsidRPr="00000000">
        <w:rPr>
          <w:rtl w:val="0"/>
        </w:rPr>
        <w:t xml:space="preserve">(9), 4726–4741. </w:t>
      </w:r>
      <w:hyperlink r:id="rId29">
        <w:r w:rsidDel="00000000" w:rsidR="00000000" w:rsidRPr="00000000">
          <w:rPr>
            <w:color w:val="1155cc"/>
            <w:u w:val="single"/>
            <w:rtl w:val="0"/>
          </w:rPr>
          <w:t xml:space="preserve">https://doi.org/10.1016/j.enpol.2011.06.055</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9A">
      <w:pPr>
        <w:spacing w:line="480" w:lineRule="auto"/>
        <w:rPr/>
      </w:pPr>
      <w:r w:rsidDel="00000000" w:rsidR="00000000" w:rsidRPr="00000000">
        <w:rPr>
          <w:rtl w:val="0"/>
        </w:rPr>
      </w:r>
    </w:p>
    <w:p w:rsidR="00000000" w:rsidDel="00000000" w:rsidP="00000000" w:rsidRDefault="00000000" w:rsidRPr="00000000" w14:paraId="0000009B">
      <w:pPr>
        <w:spacing w:line="480" w:lineRule="auto"/>
        <w:rPr/>
      </w:pPr>
      <w:r w:rsidDel="00000000" w:rsidR="00000000" w:rsidRPr="00000000">
        <w:rPr>
          <w:rtl w:val="0"/>
        </w:rPr>
      </w:r>
    </w:p>
    <w:p w:rsidR="00000000" w:rsidDel="00000000" w:rsidP="00000000" w:rsidRDefault="00000000" w:rsidRPr="00000000" w14:paraId="0000009C">
      <w:pPr>
        <w:spacing w:line="480" w:lineRule="auto"/>
        <w:rPr>
          <w:sz w:val="40"/>
          <w:szCs w:val="4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ataverse.harvard.edu/file.xhtml?fileId=10244938&amp;version=8.0&amp;toolType=PREVIEW" TargetMode="External"/><Relationship Id="rId22" Type="http://schemas.openxmlformats.org/officeDocument/2006/relationships/hyperlink" Target="https://dataverse.harvard.edu/file.xhtml?fileId=10244938&amp;version=8.0&amp;toolType=PREVIEW" TargetMode="External"/><Relationship Id="rId21" Type="http://schemas.openxmlformats.org/officeDocument/2006/relationships/hyperlink" Target="https://dataverse.harvard.edu/dataverse/mit-election-data" TargetMode="External"/><Relationship Id="rId24" Type="http://schemas.openxmlformats.org/officeDocument/2006/relationships/hyperlink" Target="https://www.nrel.gov/grid/" TargetMode="External"/><Relationship Id="rId23" Type="http://schemas.openxmlformats.org/officeDocument/2006/relationships/hyperlink" Target="https://www.nrel.gov/gri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eia.gov/state/seds/seds-data-complete.php" TargetMode="External"/><Relationship Id="rId26" Type="http://schemas.openxmlformats.org/officeDocument/2006/relationships/hyperlink" Target="https://github.com/TaxMuttle/DSE6311" TargetMode="External"/><Relationship Id="rId25" Type="http://schemas.openxmlformats.org/officeDocument/2006/relationships/hyperlink" Target="https://www.nrel.gov/grid/" TargetMode="External"/><Relationship Id="rId28" Type="http://schemas.openxmlformats.org/officeDocument/2006/relationships/hyperlink" Target="https://doi.org/10.1007/s11077-013-9172-1" TargetMode="External"/><Relationship Id="rId27" Type="http://schemas.openxmlformats.org/officeDocument/2006/relationships/hyperlink" Target="https://doi.org/10.1016/j.enpol.2009.03.062" TargetMode="External"/><Relationship Id="rId5" Type="http://schemas.openxmlformats.org/officeDocument/2006/relationships/styles" Target="styles.xml"/><Relationship Id="rId6" Type="http://schemas.openxmlformats.org/officeDocument/2006/relationships/hyperlink" Target="https://www.eia.gov/electricity/data/state/" TargetMode="External"/><Relationship Id="rId29" Type="http://schemas.openxmlformats.org/officeDocument/2006/relationships/hyperlink" Target="https://doi.org/10.1016/j.enpol.2011.06.055" TargetMode="External"/><Relationship Id="rId7" Type="http://schemas.openxmlformats.org/officeDocument/2006/relationships/hyperlink" Target="https://www.eia.gov/electricity/data/state/annual_generation_state.xls" TargetMode="External"/><Relationship Id="rId8" Type="http://schemas.openxmlformats.org/officeDocument/2006/relationships/hyperlink" Target="https://www.eia.gov/state/seds/" TargetMode="External"/><Relationship Id="rId11" Type="http://schemas.openxmlformats.org/officeDocument/2006/relationships/hyperlink" Target="https://view.officeapps.live.com/op/view.aspx?src=https%3A%2F%2Fwww.eia.gov%2Fstate%2Fseds%2FCDF%2FCodes_and_Descriptions.xlsx&amp;wdOrigin=BROWSELINK" TargetMode="External"/><Relationship Id="rId10" Type="http://schemas.openxmlformats.org/officeDocument/2006/relationships/hyperlink" Target="https://view.officeapps.live.com/op/view.aspx?src=https%3A%2F%2Fwww.eia.gov%2Fstate%2Fseds%2Fsep_use%2Ftotal%2Fcsv%2Fuse_all_btu.xlsx&amp;wdOrigin=BROWSELINK" TargetMode="External"/><Relationship Id="rId13" Type="http://schemas.openxmlformats.org/officeDocument/2006/relationships/hyperlink" Target="https://www.dsireusa.org/" TargetMode="External"/><Relationship Id="rId12" Type="http://schemas.openxmlformats.org/officeDocument/2006/relationships/hyperlink" Target="https://www.eia.gov/state/seds/" TargetMode="External"/><Relationship Id="rId15" Type="http://schemas.openxmlformats.org/officeDocument/2006/relationships/hyperlink" Target="https://www.dsireusa.org/" TargetMode="External"/><Relationship Id="rId14" Type="http://schemas.openxmlformats.org/officeDocument/2006/relationships/hyperlink" Target="https://www.dsireusa.org/resources/detailed-summary-maps/" TargetMode="External"/><Relationship Id="rId17" Type="http://schemas.openxmlformats.org/officeDocument/2006/relationships/hyperlink" Target="https://data.census.gov/" TargetMode="External"/><Relationship Id="rId16" Type="http://schemas.openxmlformats.org/officeDocument/2006/relationships/hyperlink" Target="https://www.dsireusa.org/" TargetMode="External"/><Relationship Id="rId19" Type="http://schemas.openxmlformats.org/officeDocument/2006/relationships/hyperlink" Target="https://data.census.gov/" TargetMode="External"/><Relationship Id="rId18" Type="http://schemas.openxmlformats.org/officeDocument/2006/relationships/hyperlink" Target="https://data.census.gov/table/ACSST1Y2010.S1901?q=median+household+income+by+st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