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CGT Timeline Complete Scenarios Guide</w:t>
      </w:r>
    </w:p>
    <w:p>
      <w:r>
        <w:rPr>
          <w:rFonts w:ascii="Calibri" w:hAnsi="Calibri"/>
          <w:sz w:val="22"/>
        </w:rPr>
        <w:t>This document contains all 20 Capital Gains Tax scenarios for the CGT Brain Timeline application. Each scenario demonstrates different aspects of Australian CGT rules, including the main residence exemption, six-year absence rule, partial exemptions, inherited properties, foreign residency, and complex multi-property portfolios.</w:t>
      </w:r>
    </w:p>
    <w:p>
      <w:pPr>
        <w:spacing w:before="120" w:after="120"/>
      </w:pPr>
      <w:r>
        <w:rPr>
          <w:color w:val="B4B4B4"/>
          <w:sz w:val="12"/>
        </w:rPr>
        <w:t>────────────────────────────────────────────────────────────────────────────────────────────────────</w:t>
      </w:r>
    </w:p>
    <w:p>
      <w:pPr>
        <w:pStyle w:val="Heading1"/>
      </w:pPr>
      <w:r>
        <w:t>Table of Contents</w:t>
      </w:r>
    </w:p>
    <w:p>
      <w:pPr>
        <w:spacing w:before="160"/>
      </w:pPr>
      <w:r>
        <w:rPr>
          <w:rFonts w:ascii="Calibri" w:hAnsi="Calibri"/>
          <w:b/>
          <w:color w:val="003366"/>
          <w:sz w:val="24"/>
        </w:rPr>
        <w:t>Basic Scenarios (1-5)</w:t>
      </w:r>
    </w:p>
    <w:p>
      <w:r>
        <w:rPr>
          <w:rFonts w:ascii="Calibri" w:hAnsi="Calibri"/>
          <w:b/>
          <w:sz w:val="22"/>
        </w:rPr>
        <w:t xml:space="preserve">1. </w:t>
      </w:r>
      <w:r>
        <w:rPr>
          <w:rFonts w:ascii="Calibri" w:hAnsi="Calibri"/>
          <w:sz w:val="22"/>
        </w:rPr>
        <w:t>Scenario 1: Full Main Residence Exemption</w:t>
      </w:r>
    </w:p>
    <w:p>
      <w:r>
        <w:rPr>
          <w:rFonts w:ascii="Calibri" w:hAnsi="Calibri"/>
          <w:b/>
          <w:sz w:val="22"/>
        </w:rPr>
        <w:t xml:space="preserve">2. </w:t>
      </w:r>
      <w:r>
        <w:rPr>
          <w:rFonts w:ascii="Calibri" w:hAnsi="Calibri"/>
          <w:sz w:val="22"/>
        </w:rPr>
        <w:t>Scenario 2: Six-Year Absence Rule (Within Limit)</w:t>
      </w:r>
    </w:p>
    <w:p>
      <w:r>
        <w:rPr>
          <w:rFonts w:ascii="Calibri" w:hAnsi="Calibri"/>
          <w:b/>
          <w:sz w:val="22"/>
        </w:rPr>
        <w:t xml:space="preserve">3. </w:t>
      </w:r>
      <w:r>
        <w:rPr>
          <w:rFonts w:ascii="Calibri" w:hAnsi="Calibri"/>
          <w:sz w:val="22"/>
        </w:rPr>
        <w:t>Scenario 3: Six-Year Absence Rule (Exceeded)</w:t>
      </w:r>
    </w:p>
    <w:p>
      <w:r>
        <w:rPr>
          <w:rFonts w:ascii="Calibri" w:hAnsi="Calibri"/>
          <w:b/>
          <w:sz w:val="22"/>
        </w:rPr>
        <w:t xml:space="preserve">4. </w:t>
      </w:r>
      <w:r>
        <w:rPr>
          <w:rFonts w:ascii="Calibri" w:hAnsi="Calibri"/>
          <w:sz w:val="22"/>
        </w:rPr>
        <w:t>Scenario 4: Rental First, Then Main Residence</w:t>
      </w:r>
    </w:p>
    <w:p>
      <w:r>
        <w:rPr>
          <w:rFonts w:ascii="Calibri" w:hAnsi="Calibri"/>
          <w:b/>
          <w:sz w:val="22"/>
        </w:rPr>
        <w:t xml:space="preserve">5. </w:t>
      </w:r>
      <w:r>
        <w:rPr>
          <w:rFonts w:ascii="Calibri" w:hAnsi="Calibri"/>
          <w:sz w:val="22"/>
        </w:rPr>
        <w:t>Scenario 5: Moving Between Residences</w:t>
      </w:r>
    </w:p>
    <w:p>
      <w:pPr>
        <w:spacing w:before="160"/>
      </w:pPr>
      <w:r>
        <w:rPr>
          <w:rFonts w:ascii="Calibri" w:hAnsi="Calibri"/>
          <w:b/>
          <w:color w:val="003366"/>
          <w:sz w:val="24"/>
        </w:rPr>
        <w:t>Basic Scenarios Variant B (6-10)</w:t>
      </w:r>
    </w:p>
    <w:p>
      <w:r>
        <w:rPr>
          <w:rFonts w:ascii="Calibri" w:hAnsi="Calibri"/>
          <w:b/>
          <w:sz w:val="22"/>
        </w:rPr>
        <w:t xml:space="preserve">6. </w:t>
      </w:r>
      <w:r>
        <w:rPr>
          <w:rFonts w:ascii="Calibri" w:hAnsi="Calibri"/>
          <w:sz w:val="22"/>
        </w:rPr>
        <w:t>Scenario 6: Full Main Residence (Variant B)</w:t>
      </w:r>
    </w:p>
    <w:p>
      <w:r>
        <w:rPr>
          <w:rFonts w:ascii="Calibri" w:hAnsi="Calibri"/>
          <w:b/>
          <w:sz w:val="22"/>
        </w:rPr>
        <w:t xml:space="preserve">7. </w:t>
      </w:r>
      <w:r>
        <w:rPr>
          <w:rFonts w:ascii="Calibri" w:hAnsi="Calibri"/>
          <w:sz w:val="22"/>
        </w:rPr>
        <w:t>Scenario 7: Six-Year Rule Within (Variant B)</w:t>
      </w:r>
    </w:p>
    <w:p>
      <w:r>
        <w:rPr>
          <w:rFonts w:ascii="Calibri" w:hAnsi="Calibri"/>
          <w:b/>
          <w:sz w:val="22"/>
        </w:rPr>
        <w:t xml:space="preserve">8. </w:t>
      </w:r>
      <w:r>
        <w:rPr>
          <w:rFonts w:ascii="Calibri" w:hAnsi="Calibri"/>
          <w:sz w:val="22"/>
        </w:rPr>
        <w:t>Scenario 8: Six-Year Rule Exceeded (Variant B)</w:t>
      </w:r>
    </w:p>
    <w:p>
      <w:r>
        <w:rPr>
          <w:rFonts w:ascii="Calibri" w:hAnsi="Calibri"/>
          <w:b/>
          <w:sz w:val="22"/>
        </w:rPr>
        <w:t xml:space="preserve">9. </w:t>
      </w:r>
      <w:r>
        <w:rPr>
          <w:rFonts w:ascii="Calibri" w:hAnsi="Calibri"/>
          <w:sz w:val="22"/>
        </w:rPr>
        <w:t>Scenario 9: Rental First (Variant B)</w:t>
      </w:r>
    </w:p>
    <w:p>
      <w:r>
        <w:rPr>
          <w:rFonts w:ascii="Calibri" w:hAnsi="Calibri"/>
          <w:b/>
          <w:sz w:val="22"/>
        </w:rPr>
        <w:t xml:space="preserve">10. </w:t>
      </w:r>
      <w:r>
        <w:rPr>
          <w:rFonts w:ascii="Calibri" w:hAnsi="Calibri"/>
          <w:sz w:val="22"/>
        </w:rPr>
        <w:t>Scenario 10: Moving Between Residences (Variant B)</w:t>
      </w:r>
    </w:p>
    <w:p>
      <w:pPr>
        <w:spacing w:before="160"/>
      </w:pPr>
      <w:r>
        <w:rPr>
          <w:rFonts w:ascii="Calibri" w:hAnsi="Calibri"/>
          <w:b/>
          <w:color w:val="003366"/>
          <w:sz w:val="24"/>
        </w:rPr>
        <w:t>Complex Scenarios (11-20)</w:t>
      </w:r>
    </w:p>
    <w:p>
      <w:r>
        <w:rPr>
          <w:rFonts w:ascii="Calibri" w:hAnsi="Calibri"/>
          <w:b/>
          <w:sz w:val="22"/>
        </w:rPr>
        <w:t xml:space="preserve">11. </w:t>
      </w:r>
      <w:r>
        <w:rPr>
          <w:rFonts w:ascii="Calibri" w:hAnsi="Calibri"/>
          <w:sz w:val="22"/>
        </w:rPr>
        <w:t>Scenario 11: Multiple Absence Periods</w:t>
      </w:r>
    </w:p>
    <w:p>
      <w:r>
        <w:rPr>
          <w:rFonts w:ascii="Calibri" w:hAnsi="Calibri"/>
          <w:b/>
          <w:sz w:val="22"/>
        </w:rPr>
        <w:t xml:space="preserve">12. </w:t>
      </w:r>
      <w:r>
        <w:rPr>
          <w:rFonts w:ascii="Calibri" w:hAnsi="Calibri"/>
          <w:sz w:val="22"/>
        </w:rPr>
        <w:t>Scenario 12: Two Properties - Strategic MRE Choice</w:t>
      </w:r>
    </w:p>
    <w:p>
      <w:r>
        <w:rPr>
          <w:rFonts w:ascii="Calibri" w:hAnsi="Calibri"/>
          <w:b/>
          <w:sz w:val="22"/>
        </w:rPr>
        <w:t xml:space="preserve">13. </w:t>
      </w:r>
      <w:r>
        <w:rPr>
          <w:rFonts w:ascii="Calibri" w:hAnsi="Calibri"/>
          <w:sz w:val="22"/>
        </w:rPr>
        <w:t>Scenario 13: Inherited Property with Rental</w:t>
      </w:r>
    </w:p>
    <w:p>
      <w:r>
        <w:rPr>
          <w:rFonts w:ascii="Calibri" w:hAnsi="Calibri"/>
          <w:b/>
          <w:sz w:val="22"/>
        </w:rPr>
        <w:t xml:space="preserve">14. </w:t>
      </w:r>
      <w:r>
        <w:rPr>
          <w:rFonts w:ascii="Calibri" w:hAnsi="Calibri"/>
          <w:sz w:val="22"/>
        </w:rPr>
        <w:t>Scenario 14: Investment Then PPR Then Rental</w:t>
      </w:r>
    </w:p>
    <w:p>
      <w:r>
        <w:rPr>
          <w:rFonts w:ascii="Calibri" w:hAnsi="Calibri"/>
          <w:b/>
          <w:sz w:val="22"/>
        </w:rPr>
        <w:t xml:space="preserve">15. </w:t>
      </w:r>
      <w:r>
        <w:rPr>
          <w:rFonts w:ascii="Calibri" w:hAnsi="Calibri"/>
          <w:sz w:val="22"/>
        </w:rPr>
        <w:t>Scenario 15: Six-Month Overlap Exceeded</w:t>
      </w:r>
    </w:p>
    <w:p>
      <w:r>
        <w:rPr>
          <w:rFonts w:ascii="Calibri" w:hAnsi="Calibri"/>
          <w:b/>
          <w:sz w:val="22"/>
        </w:rPr>
        <w:t xml:space="preserve">16. </w:t>
      </w:r>
      <w:r>
        <w:rPr>
          <w:rFonts w:ascii="Calibri" w:hAnsi="Calibri"/>
          <w:sz w:val="22"/>
        </w:rPr>
        <w:t>Scenario 16: Construction and 4-Year Building Rule</w:t>
      </w:r>
    </w:p>
    <w:p>
      <w:r>
        <w:rPr>
          <w:rFonts w:ascii="Calibri" w:hAnsi="Calibri"/>
          <w:b/>
          <w:sz w:val="22"/>
        </w:rPr>
        <w:t xml:space="preserve">17. </w:t>
      </w:r>
      <w:r>
        <w:rPr>
          <w:rFonts w:ascii="Calibri" w:hAnsi="Calibri"/>
          <w:sz w:val="22"/>
        </w:rPr>
        <w:t>Scenario 17: Partial Use - Airbnb Room Rental</w:t>
      </w:r>
    </w:p>
    <w:p>
      <w:r>
        <w:rPr>
          <w:rFonts w:ascii="Calibri" w:hAnsi="Calibri"/>
          <w:b/>
          <w:sz w:val="22"/>
        </w:rPr>
        <w:t xml:space="preserve">18. </w:t>
      </w:r>
      <w:r>
        <w:rPr>
          <w:rFonts w:ascii="Calibri" w:hAnsi="Calibri"/>
          <w:sz w:val="22"/>
        </w:rPr>
        <w:t>Scenario 18: Couple with Separate Properties</w:t>
      </w:r>
    </w:p>
    <w:p>
      <w:r>
        <w:rPr>
          <w:rFonts w:ascii="Calibri" w:hAnsi="Calibri"/>
          <w:b/>
          <w:sz w:val="22"/>
        </w:rPr>
        <w:t xml:space="preserve">19. </w:t>
      </w:r>
      <w:r>
        <w:rPr>
          <w:rFonts w:ascii="Calibri" w:hAnsi="Calibri"/>
          <w:sz w:val="22"/>
        </w:rPr>
        <w:t>Scenario 19: Foreign Resident Period Impact</w:t>
      </w:r>
    </w:p>
    <w:p>
      <w:r>
        <w:rPr>
          <w:rFonts w:ascii="Calibri" w:hAnsi="Calibri"/>
          <w:b/>
          <w:sz w:val="22"/>
        </w:rPr>
        <w:t xml:space="preserve">20. </w:t>
      </w:r>
      <w:r>
        <w:rPr>
          <w:rFonts w:ascii="Calibri" w:hAnsi="Calibri"/>
          <w:sz w:val="22"/>
        </w:rPr>
        <w:t>Scenario 20: Three Property Portfolio</w:t>
      </w:r>
    </w:p>
    <w:p>
      <w:pPr>
        <w:spacing w:before="120" w:after="120"/>
      </w:pPr>
      <w:r>
        <w:rPr>
          <w:color w:val="B4B4B4"/>
          <w:sz w:val="12"/>
        </w:rPr>
        <w:t>────────────────────────────────────────────────────────────────────────────────────────────────────</w:t>
      </w:r>
    </w:p>
    <w:p>
      <w:pPr>
        <w:pStyle w:val="Heading1"/>
      </w:pPr>
      <w:r>
        <w:t>CGT Rules Reference</w:t>
      </w:r>
    </w:p>
    <w:p>
      <w:pPr>
        <w:pStyle w:val="Heading2"/>
      </w:pPr>
      <w:r>
        <w:t>Key Rules Applied in These Scenarios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Rule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Description</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Reference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Full Main Residence Exemption</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Capital gain is disregarded if dwelling was main residence for entire ownership period</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ITAA97 s118.110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Six-Year Absence Rule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Can treat former home as main residence for up to 6 years while rented</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ITAA97 s118.145</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50% CGT Discount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50% discount for assets held more than 12 months (individuals only)</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ITAA97 s115.25</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First Use to Produce Income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Market value at first rental becomes cost base if main residence rented out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ITAA97 s118.192</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Moving Between Residences</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Both dwellings treated as main residence for up to 6 months during overlap</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ITAA97 s118.140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Partial Exemption Formula</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Taxable portion = Capital Gain x (Non-main-residence days / Total ownership days)</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ITAA97 s118.185</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4-Year Construction Rule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Land and building treated as main residence if built within 4 years</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ITAA97 s118.150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Inherited Property (2-Year Rule)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Beneficiary has 2 years to sell deceased's main residence for full exemption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ITAA97 s118.195</w:t>
            </w:r>
          </w:p>
        </w:tc>
      </w:tr>
    </w:tbl>
    <w:p/>
    <w:p>
      <w:pPr>
        <w:pStyle w:val="Heading2"/>
      </w:pPr>
      <w:r>
        <w:t>Cost Base Elements (Five Elements)</w:t>
      </w:r>
    </w:p>
    <w:p>
      <w:r>
        <w:rPr>
          <w:rFonts w:ascii="Calibri" w:hAnsi="Calibri"/>
          <w:b/>
          <w:sz w:val="22"/>
        </w:rPr>
        <w:t xml:space="preserve">1. </w:t>
      </w:r>
      <w:r>
        <w:rPr>
          <w:rFonts w:ascii="Calibri" w:hAnsi="Calibri"/>
          <w:sz w:val="22"/>
        </w:rPr>
        <w:t>First Element: Money paid for asset (purchase price)</w:t>
      </w:r>
    </w:p>
    <w:p>
      <w:r>
        <w:rPr>
          <w:rFonts w:ascii="Calibri" w:hAnsi="Calibri"/>
          <w:b/>
          <w:sz w:val="22"/>
        </w:rPr>
        <w:t xml:space="preserve">2. </w:t>
      </w:r>
      <w:r>
        <w:rPr>
          <w:rFonts w:ascii="Calibri" w:hAnsi="Calibri"/>
          <w:sz w:val="22"/>
        </w:rPr>
        <w:t>Second Element: Incidental costs of acquisition (stamp duty, legal fees, inspections)</w:t>
      </w:r>
    </w:p>
    <w:p>
      <w:r>
        <w:rPr>
          <w:rFonts w:ascii="Calibri" w:hAnsi="Calibri"/>
          <w:b/>
          <w:sz w:val="22"/>
        </w:rPr>
        <w:t xml:space="preserve">3. </w:t>
      </w:r>
      <w:r>
        <w:rPr>
          <w:rFonts w:ascii="Calibri" w:hAnsi="Calibri"/>
          <w:sz w:val="22"/>
        </w:rPr>
        <w:t>Third Element: Costs of owning the asset (not claimable as deductions)</w:t>
      </w:r>
    </w:p>
    <w:p>
      <w:r>
        <w:rPr>
          <w:rFonts w:ascii="Calibri" w:hAnsi="Calibri"/>
          <w:b/>
          <w:sz w:val="22"/>
        </w:rPr>
        <w:t xml:space="preserve">4. </w:t>
      </w:r>
      <w:r>
        <w:rPr>
          <w:rFonts w:ascii="Calibri" w:hAnsi="Calibri"/>
          <w:sz w:val="22"/>
        </w:rPr>
        <w:t>Fourth Element: Capital improvements</w:t>
      </w:r>
    </w:p>
    <w:p>
      <w:r>
        <w:rPr>
          <w:rFonts w:ascii="Calibri" w:hAnsi="Calibri"/>
          <w:b/>
          <w:sz w:val="22"/>
        </w:rPr>
        <w:t xml:space="preserve">5. </w:t>
      </w:r>
      <w:r>
        <w:rPr>
          <w:rFonts w:ascii="Calibri" w:hAnsi="Calibri"/>
          <w:sz w:val="22"/>
        </w:rPr>
        <w:t>Fifth Element: Costs incurred in selling the asset</w:t>
      </w:r>
    </w:p>
    <w:p>
      <w:pPr>
        <w:spacing w:before="120" w:after="120"/>
      </w:pPr>
      <w:r>
        <w:rPr>
          <w:color w:val="B4B4B4"/>
          <w:sz w:val="12"/>
        </w:rPr>
        <w:t>────────────────────────────────────────────────────────────────────────────────────────────────────</w:t>
      </w:r>
    </w:p>
    <w:p>
      <w:pPr>
        <w:pStyle w:val="Heading1"/>
      </w:pPr>
      <w:r>
        <w:t>Scenario 1: Full Main Residence Exemption</w:t>
      </w:r>
    </w:p>
    <w:p>
      <w:pPr>
        <w:pStyle w:val="Heading2"/>
      </w:pPr>
      <w:r>
        <w:t>Description</w:t>
      </w:r>
    </w:p>
    <w:p>
      <w:r>
        <w:rPr>
          <w:rFonts w:ascii="Calibri" w:hAnsi="Calibri"/>
          <w:sz w:val="22"/>
        </w:rPr>
        <w:t>Sarah purchases her first home and lives in it continuously from purchase until sale. As she resided in the dwelling for the entire ownership period and never used it to produce income, she qualifies for the full main residence exemption.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42 Jacaranda Avenue, Paddington QLD 4064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March 2015</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$620,000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20 November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$1,150,000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3,538 days (9 years, 8 months)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Main Residence Days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3,538 days (100%)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Mar 2015</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$620,000 + $24,800 stamp duty + $2,500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Mar 2015</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Jun 2018</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Kitchen renovation: $45,000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Sep 2021</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Bathroom upgrade: $28,000</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20 Nov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$1,150,000 (agent fees: $28,750, legal fees: $2,200)</w:t>
            </w:r>
          </w:p>
        </w:tc>
      </w:tr>
    </w:tbl>
    <w:p/>
    <w:p>
      <w:pPr>
        <w:pStyle w:val="Heading2"/>
      </w:pPr>
      <w:r>
        <w:t>CGT Calculation</w:t>
      </w:r>
    </w:p>
    <w:p>
      <w:pPr>
        <w:spacing w:after="40" w:before="0"/>
        <w:ind w:left="360"/>
      </w:pPr>
      <w:r>
        <w:rPr>
          <w:rFonts w:ascii="Calibri" w:hAnsi="Calibri"/>
          <w:b/>
          <w:color w:val="003366"/>
          <w:sz w:val="22"/>
        </w:rPr>
        <w:t>Step 1: Calculate Capital Proceeds</w:t>
      </w:r>
    </w:p>
    <w:p>
      <w:pPr>
        <w:spacing w:after="40" w:before="0"/>
        <w:ind w:left="360"/>
      </w:pPr>
      <w:r>
        <w:rPr>
          <w:rFonts w:ascii="Calibri" w:hAnsi="Calibri"/>
          <w:sz w:val="22"/>
        </w:rPr>
        <w:t>Sale Price: $1,150,000</w:t>
      </w:r>
    </w:p>
    <w:p>
      <w:pPr>
        <w:spacing w:after="40" w:before="0"/>
        <w:ind w:left="360"/>
      </w:pPr>
      <w:r>
        <w:rPr>
          <w:rFonts w:ascii="Calibri" w:hAnsi="Calibri"/>
          <w:b/>
          <w:color w:val="003366"/>
          <w:sz w:val="22"/>
        </w:rPr>
        <w:t>Step 2: Calculate Cost Base</w:t>
      </w:r>
    </w:p>
    <w:p>
      <w:pPr>
        <w:spacing w:after="40" w:before="0"/>
        <w:ind w:left="360"/>
      </w:pPr>
      <w:r>
        <w:rPr>
          <w:rFonts w:ascii="Calibri" w:hAnsi="Calibri"/>
          <w:sz w:val="22"/>
        </w:rPr>
        <w:t>Purchase Price: $620,000</w:t>
      </w:r>
    </w:p>
    <w:p>
      <w:pPr>
        <w:spacing w:after="40" w:before="0"/>
        <w:ind w:left="360"/>
      </w:pPr>
      <w:r>
        <w:rPr>
          <w:rFonts w:ascii="Calibri" w:hAnsi="Calibri"/>
          <w:sz w:val="22"/>
        </w:rPr>
        <w:t>Stamp Duty: $24,800</w:t>
      </w:r>
    </w:p>
    <w:p>
      <w:pPr>
        <w:spacing w:after="40" w:before="0"/>
        <w:ind w:left="360"/>
      </w:pPr>
      <w:r>
        <w:rPr>
          <w:rFonts w:ascii="Calibri" w:hAnsi="Calibri"/>
          <w:sz w:val="22"/>
        </w:rPr>
        <w:t>Purchase Legal Fees: $2,500</w:t>
      </w:r>
    </w:p>
    <w:p>
      <w:pPr>
        <w:spacing w:after="40" w:before="0"/>
        <w:ind w:left="360"/>
      </w:pPr>
      <w:r>
        <w:rPr>
          <w:rFonts w:ascii="Calibri" w:hAnsi="Calibri"/>
          <w:sz w:val="22"/>
        </w:rPr>
        <w:t>Kitchen Renovation: $45,000</w:t>
      </w:r>
    </w:p>
    <w:p>
      <w:pPr>
        <w:spacing w:after="40" w:before="0"/>
        <w:ind w:left="360"/>
      </w:pPr>
      <w:r>
        <w:rPr>
          <w:rFonts w:ascii="Calibri" w:hAnsi="Calibri"/>
          <w:sz w:val="22"/>
        </w:rPr>
        <w:t>Bathroom Upgrade: $28,000</w:t>
      </w:r>
    </w:p>
    <w:p>
      <w:pPr>
        <w:spacing w:after="40" w:before="0"/>
        <w:ind w:left="360"/>
      </w:pPr>
      <w:r>
        <w:rPr>
          <w:rFonts w:ascii="Calibri" w:hAnsi="Calibri"/>
          <w:sz w:val="22"/>
        </w:rPr>
        <w:t>Sale Agent Fees: $28,750</w:t>
      </w:r>
    </w:p>
    <w:p>
      <w:pPr>
        <w:spacing w:after="40" w:before="0"/>
        <w:ind w:left="360"/>
      </w:pPr>
      <w:r>
        <w:rPr>
          <w:rFonts w:ascii="Calibri" w:hAnsi="Calibri"/>
          <w:sz w:val="22"/>
        </w:rPr>
        <w:t>Sale Legal Fees: $2,200</w:t>
      </w:r>
    </w:p>
    <w:p>
      <w:pPr>
        <w:spacing w:after="40" w:before="0"/>
        <w:ind w:left="360"/>
      </w:pPr>
      <w:r>
        <w:rPr>
          <w:rFonts w:ascii="Calibri" w:hAnsi="Calibri"/>
          <w:sz w:val="22"/>
        </w:rPr>
        <w:t>Total Cost Base: $751,250</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Capital Gain = $1,150,000 - $751,250 = $398,750</w:t>
      </w:r>
    </w:p>
    <w:p>
      <w:pPr>
        <w:spacing w:after="40" w:before="0"/>
        <w:ind w:left="360"/>
      </w:pPr>
      <w:r>
        <w:rPr>
          <w:rFonts w:ascii="Calibri" w:hAnsi="Calibri"/>
          <w:b/>
          <w:color w:val="003366"/>
          <w:sz w:val="22"/>
        </w:rPr>
        <w:t>Step 4: Apply Main Residence Exemption</w:t>
      </w:r>
    </w:p>
    <w:p>
      <w:pPr>
        <w:spacing w:after="40" w:before="0"/>
        <w:ind w:left="360"/>
      </w:pPr>
      <w:r>
        <w:rPr>
          <w:rFonts w:ascii="Calibri" w:hAnsi="Calibri"/>
          <w:sz w:val="22"/>
        </w:rPr>
        <w:t>Main Residence Days: 3,538 / 3,538 = 100%</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s118.110: Full main residence exemption applies</w:t>
      </w:r>
    </w:p>
    <w:p>
      <w:r>
        <w:rPr>
          <w:rFonts w:ascii="Calibri" w:hAnsi="Calibri"/>
          <w:sz w:val="22"/>
        </w:rPr>
        <w:t>Property was main residence for entire ownership period</w:t>
      </w:r>
    </w:p>
    <w:p>
      <w:r>
        <w:rPr>
          <w:rFonts w:ascii="Calibri" w:hAnsi="Calibri"/>
          <w:sz w:val="22"/>
        </w:rPr>
        <w:t>No income-producing use</w:t>
      </w:r>
    </w:p>
    <w:p>
      <w:pPr>
        <w:spacing w:before="120" w:after="120"/>
      </w:pPr>
      <w:r>
        <w:rPr>
          <w:color w:val="B4B4B4"/>
          <w:sz w:val="12"/>
        </w:rPr>
        <w:t>────────────────────────────────────────────────────────────────────────────────────────────────────</w:t>
      </w:r>
    </w:p>
    <w:p>
      <w:pPr>
        <w:pStyle w:val="Heading1"/>
      </w:pPr>
      <w:r>
        <w:t>Scenario 2: Six-Year Absence Rule (Within Limit)</w:t>
      </w:r>
    </w:p>
    <w:p>
      <w:pPr>
        <w:pStyle w:val="Heading2"/>
      </w:pPr>
      <w:r>
        <w:t>Description</w:t>
      </w:r>
    </w:p>
    <w:p>
      <w:r>
        <w:rPr>
          <w:rFonts w:ascii="Calibri" w:hAnsi="Calibri"/>
          <w:sz w:val="22"/>
        </w:rPr>
        <w:t>Michael purchases a home, lives in it for 4 years, then moves interstate for work and rents out the property. He sells the property after 5 years of renting. As the rental period is less than 6 years and he chose to treat it as his main residence during absence (and didn't claim another property as main residence), the full exemption applies under the six-year rule.</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88 Harbour Street, Sydney NSW 2000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July 2015</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August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3,333 days (9 years, 1.5 months)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Lived In</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1,461 days (4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Rented</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1,873 days (5 years, 1.5 months)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Six-Year Rule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Applies (rental period &lt; 6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Jul 2015</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$850,000 + $34,000 stamp duty + $3,800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Jul 2015</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Mar 2017</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New deck and landscaping: $32,000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30 Jun 2019</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Relocated interstate for work</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30 Jun 2019</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moves in (same day as move out)</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Aug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$1,580,000 (agent fees: $39,500, legal fees: $3,200)</w:t>
            </w:r>
          </w:p>
        </w:tc>
      </w:tr>
    </w:tbl>
    <w:p/>
    <w:p>
      <w:pPr>
        <w:pStyle w:val="Heading2"/>
      </w:pPr>
      <w:r>
        <w:t>CGT Calculation</w:t>
      </w:r>
    </w:p>
    <w:p>
      <w:pPr>
        <w:spacing w:after="40" w:before="0"/>
        <w:ind w:left="360"/>
      </w:pPr>
      <w:r>
        <w:rPr>
          <w:rFonts w:ascii="Calibri" w:hAnsi="Calibri"/>
          <w:b/>
          <w:color w:val="003366"/>
          <w:sz w:val="22"/>
        </w:rPr>
        <w:t>Step 1: Calculate Rental Period</w:t>
      </w:r>
    </w:p>
    <w:p>
      <w:pPr>
        <w:spacing w:after="40" w:before="0"/>
        <w:ind w:left="360"/>
      </w:pPr>
      <w:r>
        <w:rPr>
          <w:rFonts w:ascii="Calibri" w:hAnsi="Calibri"/>
          <w:sz w:val="22"/>
        </w:rPr>
        <w:t>Rent Start: 30 June 2019</w:t>
      </w:r>
    </w:p>
    <w:p>
      <w:pPr>
        <w:spacing w:after="40" w:before="0"/>
        <w:ind w:left="360"/>
      </w:pPr>
      <w:r>
        <w:rPr>
          <w:rFonts w:ascii="Calibri" w:hAnsi="Calibri"/>
          <w:sz w:val="22"/>
        </w:rPr>
        <w:t>Sale Date: 15 August 2024</w:t>
      </w:r>
    </w:p>
    <w:p>
      <w:pPr>
        <w:spacing w:after="40" w:before="0"/>
        <w:ind w:left="360"/>
      </w:pPr>
      <w:r>
        <w:rPr>
          <w:rFonts w:ascii="Calibri" w:hAnsi="Calibri"/>
          <w:sz w:val="22"/>
        </w:rPr>
        <w:t>Rental Period = 1,873 days = 5.13 years</w:t>
      </w:r>
    </w:p>
    <w:p>
      <w:pPr>
        <w:spacing w:after="40" w:before="0"/>
        <w:ind w:left="360"/>
      </w:pPr>
      <w:r>
        <w:rPr>
          <w:rFonts w:ascii="Calibri" w:hAnsi="Calibri"/>
          <w:sz w:val="22"/>
        </w:rPr>
        <w:t>Rental period is LESS than 6 years</w:t>
      </w:r>
    </w:p>
    <w:p>
      <w:pPr>
        <w:spacing w:after="40" w:before="0"/>
        <w:ind w:left="360"/>
      </w:pPr>
      <w:r>
        <w:rPr>
          <w:rFonts w:ascii="Calibri" w:hAnsi="Calibri"/>
          <w:b/>
          <w:color w:val="003366"/>
          <w:sz w:val="22"/>
        </w:rPr>
        <w:t>Step 2: Six-Year Rule Assessment</w:t>
      </w:r>
    </w:p>
    <w:p>
      <w:pPr>
        <w:spacing w:after="40" w:before="0"/>
        <w:ind w:left="360"/>
      </w:pPr>
      <w:r>
        <w:rPr>
          <w:rFonts w:ascii="Calibri" w:hAnsi="Calibri"/>
          <w:sz w:val="22"/>
        </w:rPr>
        <w:t>Property was main residence before renting: YES</w:t>
      </w:r>
    </w:p>
    <w:p>
      <w:pPr>
        <w:spacing w:after="40" w:before="0"/>
        <w:ind w:left="360"/>
      </w:pPr>
      <w:r>
        <w:rPr>
          <w:rFonts w:ascii="Calibri" w:hAnsi="Calibri"/>
          <w:sz w:val="22"/>
        </w:rPr>
        <w:t>Rental period under 6 years: YES</w:t>
      </w:r>
    </w:p>
    <w:p>
      <w:pPr>
        <w:spacing w:after="40" w:before="0"/>
        <w:ind w:left="360"/>
      </w:pPr>
      <w:r>
        <w:rPr>
          <w:rFonts w:ascii="Calibri" w:hAnsi="Calibri"/>
          <w:sz w:val="22"/>
        </w:rPr>
        <w:t>No other property claimed as main residence: YES</w:t>
      </w:r>
    </w:p>
    <w:p>
      <w:pPr>
        <w:spacing w:after="40" w:before="0"/>
        <w:ind w:left="360"/>
      </w:pPr>
      <w:r>
        <w:rPr>
          <w:rFonts w:ascii="Calibri" w:hAnsi="Calibri"/>
          <w:b/>
          <w:color w:val="006400"/>
          <w:sz w:val="22"/>
        </w:rPr>
        <w:t>RESULT: Full main residence exemption applies</w:t>
      </w:r>
    </w:p>
    <w:p>
      <w:pPr>
        <w:spacing w:after="40" w:before="0"/>
        <w:ind w:left="360"/>
      </w:pPr>
      <w:r>
        <w:rPr>
          <w:rFonts w:ascii="Calibri" w:hAnsi="Calibri"/>
          <w:b/>
          <w:color w:val="003366"/>
          <w:sz w:val="22"/>
        </w:rPr>
        <w:t>Step 3: Calculate Capital Gain (for reference)</w:t>
      </w:r>
    </w:p>
    <w:p>
      <w:pPr>
        <w:spacing w:after="40" w:before="0"/>
        <w:ind w:left="360"/>
      </w:pPr>
      <w:r>
        <w:rPr>
          <w:rFonts w:ascii="Calibri" w:hAnsi="Calibri"/>
          <w:sz w:val="22"/>
        </w:rPr>
        <w:t>Sale Price: $1,580,000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$850,000</w:t>
      </w:r>
    </w:p>
    <w:p>
      <w:pPr>
        <w:spacing w:after="40" w:before="0"/>
        <w:ind w:left="360"/>
      </w:pPr>
      <w:r>
        <w:rPr>
          <w:rFonts w:ascii="Calibri" w:hAnsi="Calibri"/>
          <w:sz w:val="22"/>
        </w:rPr>
        <w:t>Stamp Duty: $34,000</w:t>
      </w:r>
    </w:p>
    <w:p>
      <w:pPr>
        <w:spacing w:after="40" w:before="0"/>
        <w:ind w:left="360"/>
      </w:pPr>
      <w:r>
        <w:rPr>
          <w:rFonts w:ascii="Calibri" w:hAnsi="Calibri"/>
          <w:sz w:val="22"/>
        </w:rPr>
        <w:t>Purchase Legal Fees: $3,800</w:t>
      </w:r>
    </w:p>
    <w:p>
      <w:pPr>
        <w:spacing w:after="40" w:before="0"/>
        <w:ind w:left="360"/>
      </w:pPr>
      <w:r>
        <w:rPr>
          <w:rFonts w:ascii="Calibri" w:hAnsi="Calibri"/>
          <w:sz w:val="22"/>
        </w:rPr>
        <w:t>Deck/Landscaping: $32,000</w:t>
      </w:r>
    </w:p>
    <w:p>
      <w:pPr>
        <w:spacing w:after="40" w:before="0"/>
        <w:ind w:left="360"/>
      </w:pPr>
      <w:r>
        <w:rPr>
          <w:rFonts w:ascii="Calibri" w:hAnsi="Calibri"/>
          <w:sz w:val="22"/>
        </w:rPr>
        <w:t>Sale Agent Fees: $39,500</w:t>
      </w:r>
    </w:p>
    <w:p>
      <w:pPr>
        <w:spacing w:after="40" w:before="0"/>
        <w:ind w:left="360"/>
      </w:pPr>
      <w:r>
        <w:rPr>
          <w:rFonts w:ascii="Calibri" w:hAnsi="Calibri"/>
          <w:sz w:val="22"/>
        </w:rPr>
        <w:t>Sale Legal Fees: $3,200</w:t>
      </w:r>
    </w:p>
    <w:p>
      <w:pPr>
        <w:spacing w:after="40" w:before="0"/>
        <w:ind w:left="360"/>
      </w:pPr>
      <w:r>
        <w:rPr>
          <w:rFonts w:ascii="Calibri" w:hAnsi="Calibri"/>
          <w:sz w:val="22"/>
        </w:rPr>
        <w:t>Total Cost Base: $962,500</w:t>
      </w:r>
    </w:p>
    <w:p>
      <w:pPr>
        <w:spacing w:after="40" w:before="0"/>
        <w:ind w:left="360"/>
      </w:pPr>
      <w:r>
        <w:rPr>
          <w:rFonts w:ascii="Calibri" w:hAnsi="Calibri"/>
          <w:sz w:val="22"/>
        </w:rPr>
        <w:t>Capital Gain = $1,580,000 - $962,500 = $617,500</w:t>
      </w:r>
    </w:p>
    <w:p>
      <w:pPr>
        <w:spacing w:after="40" w:before="0"/>
        <w:ind w:left="360"/>
      </w:pPr>
      <w:r>
        <w:rPr>
          <w:rFonts w:ascii="Calibri" w:hAnsi="Calibri"/>
          <w:b/>
          <w:color w:val="003366"/>
          <w:sz w:val="22"/>
        </w:rPr>
        <w:t>Step 4: Apply Main Residence Exemption (Six-Year Rule)</w:t>
      </w:r>
    </w:p>
    <w:p>
      <w:pPr>
        <w:spacing w:after="40" w:before="0"/>
        <w:ind w:left="360"/>
      </w:pPr>
      <w:r>
        <w:rPr>
          <w:rFonts w:ascii="Calibri" w:hAnsi="Calibri"/>
          <w:sz w:val="22"/>
        </w:rPr>
        <w:t>Under s118.145, property continues to be treated as main residence</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s118.145: Six-year absence rule applies</w:t>
      </w:r>
    </w:p>
    <w:p>
      <w:r>
        <w:rPr>
          <w:rFonts w:ascii="Calibri" w:hAnsi="Calibri"/>
          <w:sz w:val="22"/>
        </w:rPr>
        <w:t>Property treated as main residence during absence</w:t>
      </w:r>
    </w:p>
    <w:p>
      <w:r>
        <w:rPr>
          <w:rFonts w:ascii="Calibri" w:hAnsi="Calibri"/>
          <w:sz w:val="22"/>
        </w:rPr>
        <w:t>Rental period (5.13 years) &lt; 6 years</w:t>
      </w:r>
    </w:p>
    <w:p>
      <w:r>
        <w:rPr>
          <w:rFonts w:ascii="Calibri" w:hAnsi="Calibri"/>
          <w:sz w:val="22"/>
        </w:rPr>
        <w:t>No other property claimed as main residence during this period</w:t>
      </w:r>
    </w:p>
    <w:p>
      <w:pPr>
        <w:spacing w:before="120" w:after="120"/>
      </w:pPr>
      <w:r>
        <w:rPr>
          <w:color w:val="B4B4B4"/>
          <w:sz w:val="12"/>
        </w:rPr>
        <w:t>────────────────────────────────────────────────────────────────────────────────────────────────────</w:t>
      </w:r>
    </w:p>
    <w:p>
      <w:pPr>
        <w:pStyle w:val="Heading1"/>
      </w:pPr>
      <w:r>
        <w:t>Scenario 3: Six-Year Absence Rule (Exceeded)</w:t>
      </w:r>
    </w:p>
    <w:p>
      <w:pPr>
        <w:pStyle w:val="Heading2"/>
      </w:pPr>
      <w:r>
        <w:t>Description</w:t>
      </w:r>
    </w:p>
    <w:p>
      <w:r>
        <w:rPr>
          <w:rFonts w:ascii="Calibri" w:hAnsi="Calibri"/>
          <w:sz w:val="22"/>
        </w:rPr>
        <w:t>John purchases a home, lives in it for 2 years, then moves overseas and rents it out. He returns and sells the property after 9 years of renting. Since the rental period exceeds 6 years, only the first 6 years of rental are covered by the main residence exemption. The remaining 3 years are subject to CGT, resulting in a partial exemption.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Ocean View Drive, Byron Bay NSW 2481</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March 2012</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In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March 2012</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28 February 2014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Start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28 February 2014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June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Market Value at First Rental</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$480,000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$1,250,000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 Days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4,476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Main Residence Days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2,922 days (lived in + 6 years rental exemption)</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Non-Main Residence Days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1,096 days (3 years beyond 6-year limit)</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Mar 2012</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$450,000 + $18,000 stamp duty + $2,800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Mar 2012</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28 Feb 2014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Relocated overseas for work</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28 Feb 2014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Tenant moves in. Market value: $480,000</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Jun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$1,250,000 (agent fees: $31,250, legal fees: $2,800)</w:t>
            </w:r>
          </w:p>
        </w:tc>
      </w:tr>
    </w:tbl>
    <w:p/>
    <w:p>
      <w:pPr>
        <w:pStyle w:val="Heading2"/>
      </w:pPr>
      <w:r>
        <w:t>CGT Calculation</w:t>
      </w:r>
    </w:p>
    <w:p>
      <w:pPr>
        <w:spacing w:after="40" w:before="0"/>
        <w:ind w:left="360"/>
      </w:pPr>
      <w:r>
        <w:rPr>
          <w:rFonts w:ascii="Calibri" w:hAnsi="Calibri"/>
          <w:b/>
          <w:color w:val="003366"/>
          <w:sz w:val="22"/>
        </w:rPr>
        <w:t>Step 1: Apply First Use to Produce Income Rule (s118.192)</w:t>
      </w:r>
    </w:p>
    <w:p>
      <w:pPr>
        <w:spacing w:after="40" w:before="0"/>
        <w:ind w:left="360"/>
      </w:pPr>
      <w:r>
        <w:rPr>
          <w:rFonts w:ascii="Calibri" w:hAnsi="Calibri"/>
          <w:sz w:val="22"/>
        </w:rPr>
        <w:t>Since property was main residence then rented:</w:t>
      </w:r>
    </w:p>
    <w:p>
      <w:pPr>
        <w:spacing w:after="40" w:before="0"/>
        <w:ind w:left="360"/>
      </w:pPr>
      <w:r>
        <w:rPr>
          <w:rFonts w:ascii="Calibri" w:hAnsi="Calibri"/>
          <w:sz w:val="22"/>
        </w:rPr>
        <w:t>Deemed acquisition date: 28 February 2014</w:t>
      </w:r>
    </w:p>
    <w:p>
      <w:pPr>
        <w:spacing w:after="40" w:before="0"/>
        <w:ind w:left="360"/>
      </w:pPr>
      <w:r>
        <w:rPr>
          <w:rFonts w:ascii="Calibri" w:hAnsi="Calibri"/>
          <w:sz w:val="22"/>
        </w:rPr>
        <w:t>Deemed cost base: $480,000 (market value at first rental)</w:t>
      </w:r>
    </w:p>
    <w:p>
      <w:pPr>
        <w:spacing w:after="40" w:before="0"/>
        <w:ind w:left="360"/>
      </w:pPr>
      <w:r>
        <w:rPr>
          <w:rFonts w:ascii="Calibri" w:hAnsi="Calibri"/>
          <w:b/>
          <w:color w:val="003366"/>
          <w:sz w:val="22"/>
        </w:rPr>
        <w:t>Step 2: Calculate Rental Period</w:t>
      </w:r>
    </w:p>
    <w:p>
      <w:pPr>
        <w:spacing w:after="40" w:before="0"/>
        <w:ind w:left="360"/>
      </w:pPr>
      <w:r>
        <w:rPr>
          <w:rFonts w:ascii="Calibri" w:hAnsi="Calibri"/>
          <w:sz w:val="22"/>
        </w:rPr>
        <w:t>Rent Start: 28 February 2014</w:t>
      </w:r>
    </w:p>
    <w:p>
      <w:pPr>
        <w:spacing w:after="40" w:before="0"/>
        <w:ind w:left="360"/>
      </w:pPr>
      <w:r>
        <w:rPr>
          <w:rFonts w:ascii="Calibri" w:hAnsi="Calibri"/>
          <w:sz w:val="22"/>
        </w:rPr>
        <w:t>Sale Date: 1 June 2024</w:t>
      </w:r>
    </w:p>
    <w:p>
      <w:pPr>
        <w:spacing w:after="40" w:before="0"/>
        <w:ind w:left="360"/>
      </w:pPr>
      <w:r>
        <w:rPr>
          <w:rFonts w:ascii="Calibri" w:hAnsi="Calibri"/>
          <w:sz w:val="22"/>
        </w:rPr>
        <w:t>Total Rental Period = 3,747 days = 10.26 years</w:t>
      </w:r>
    </w:p>
    <w:p>
      <w:pPr>
        <w:spacing w:after="40" w:before="0"/>
        <w:ind w:left="360"/>
      </w:pPr>
      <w:r>
        <w:rPr>
          <w:rFonts w:ascii="Calibri" w:hAnsi="Calibri"/>
          <w:sz w:val="22"/>
        </w:rPr>
        <w:t>Rental period EXCEEDS 6 years by 3.26 years (1,096 days)</w:t>
      </w:r>
    </w:p>
    <w:p>
      <w:pPr>
        <w:spacing w:after="40" w:before="0"/>
        <w:ind w:left="360"/>
      </w:pPr>
      <w:r>
        <w:rPr>
          <w:rFonts w:ascii="Calibri" w:hAnsi="Calibri"/>
          <w:b/>
          <w:color w:val="003366"/>
          <w:sz w:val="22"/>
        </w:rPr>
        <w:t>Step 3: Calculate Ownership Period (from deemed acquisition)</w:t>
      </w:r>
    </w:p>
    <w:p>
      <w:pPr>
        <w:spacing w:after="40" w:before="0"/>
        <w:ind w:left="360"/>
      </w:pPr>
      <w:r>
        <w:rPr>
          <w:rFonts w:ascii="Calibri" w:hAnsi="Calibri"/>
          <w:sz w:val="22"/>
        </w:rPr>
        <w:t>Deemed Acquisition: 28 February 2014</w:t>
      </w:r>
    </w:p>
    <w:p>
      <w:pPr>
        <w:spacing w:after="40" w:before="0"/>
        <w:ind w:left="360"/>
      </w:pPr>
      <w:r>
        <w:rPr>
          <w:rFonts w:ascii="Calibri" w:hAnsi="Calibri"/>
          <w:sz w:val="22"/>
        </w:rPr>
        <w:t>Sale Date: 1 June 2024</w:t>
      </w:r>
    </w:p>
    <w:p>
      <w:pPr>
        <w:spacing w:after="40" w:before="0"/>
        <w:ind w:left="360"/>
      </w:pPr>
      <w:r>
        <w:rPr>
          <w:rFonts w:ascii="Calibri" w:hAnsi="Calibri"/>
          <w:sz w:val="22"/>
        </w:rPr>
        <w:t>Total Ownership = 3,747 days</w:t>
      </w:r>
    </w:p>
    <w:p>
      <w:pPr>
        <w:spacing w:after="40" w:before="0"/>
        <w:ind w:left="360"/>
      </w:pPr>
      <w:r>
        <w:rPr>
          <w:rFonts w:ascii="Calibri" w:hAnsi="Calibri"/>
          <w:b/>
          <w:color w:val="003366"/>
          <w:sz w:val="22"/>
        </w:rPr>
        <w:t>Step 4: Calculate Non-Main-Residence Days</w:t>
      </w:r>
    </w:p>
    <w:p>
      <w:pPr>
        <w:spacing w:after="40" w:before="0"/>
        <w:ind w:left="360"/>
      </w:pPr>
      <w:r>
        <w:rPr>
          <w:rFonts w:ascii="Calibri" w:hAnsi="Calibri"/>
          <w:sz w:val="22"/>
        </w:rPr>
        <w:t>Total rental days: 3,747</w:t>
      </w:r>
    </w:p>
    <w:p>
      <w:pPr>
        <w:spacing w:after="40" w:before="0"/>
        <w:ind w:left="360"/>
      </w:pPr>
      <w:r>
        <w:rPr>
          <w:rFonts w:ascii="Calibri" w:hAnsi="Calibri"/>
          <w:sz w:val="22"/>
        </w:rPr>
        <w:t>Six-year exemption: 2,192 days (6 years)</w:t>
      </w:r>
    </w:p>
    <w:p>
      <w:pPr>
        <w:spacing w:after="40" w:before="0"/>
        <w:ind w:left="360"/>
      </w:pPr>
      <w:r>
        <w:rPr>
          <w:rFonts w:ascii="Calibri" w:hAnsi="Calibri"/>
          <w:sz w:val="22"/>
        </w:rPr>
        <w:t>Non-main-residence days: 1,555 days</w:t>
      </w:r>
    </w:p>
    <w:p>
      <w:pPr>
        <w:spacing w:after="40" w:before="0"/>
        <w:ind w:left="360"/>
      </w:pPr>
      <w:r>
        <w:rPr>
          <w:rFonts w:ascii="Calibri" w:hAnsi="Calibri"/>
          <w:b/>
          <w:color w:val="003366"/>
          <w:sz w:val="22"/>
        </w:rPr>
        <w:t>Step 5: Calculate Capital Gain</w:t>
      </w:r>
    </w:p>
    <w:p>
      <w:pPr>
        <w:spacing w:after="40" w:before="0"/>
        <w:ind w:left="360"/>
      </w:pPr>
      <w:r>
        <w:rPr>
          <w:rFonts w:ascii="Calibri" w:hAnsi="Calibri"/>
          <w:sz w:val="22"/>
        </w:rPr>
        <w:t>Sale Price: $1,250,000</w:t>
      </w:r>
    </w:p>
    <w:p>
      <w:pPr>
        <w:spacing w:after="40" w:before="0"/>
        <w:ind w:left="360"/>
      </w:pPr>
      <w:r>
        <w:rPr>
          <w:rFonts w:ascii="Calibri" w:hAnsi="Calibri"/>
          <w:b/>
          <w:sz w:val="22"/>
        </w:rPr>
        <w:t>Cost Base (from deemed acquisition):</w:t>
      </w:r>
    </w:p>
    <w:p>
      <w:pPr>
        <w:spacing w:after="40" w:before="0"/>
        <w:ind w:left="360"/>
      </w:pPr>
      <w:r>
        <w:rPr>
          <w:rFonts w:ascii="Calibri" w:hAnsi="Calibri"/>
          <w:sz w:val="22"/>
        </w:rPr>
        <w:t>Deemed Acquisition Value: $480,000</w:t>
      </w:r>
    </w:p>
    <w:p>
      <w:pPr>
        <w:spacing w:after="40" w:before="0"/>
        <w:ind w:left="360"/>
      </w:pPr>
      <w:r>
        <w:rPr>
          <w:rFonts w:ascii="Calibri" w:hAnsi="Calibri"/>
          <w:sz w:val="22"/>
        </w:rPr>
        <w:t>Sale Agent Fees: $31,250</w:t>
      </w:r>
    </w:p>
    <w:p>
      <w:pPr>
        <w:spacing w:after="40" w:before="0"/>
        <w:ind w:left="360"/>
      </w:pPr>
      <w:r>
        <w:rPr>
          <w:rFonts w:ascii="Calibri" w:hAnsi="Calibri"/>
          <w:sz w:val="22"/>
        </w:rPr>
        <w:t>Sale Legal Fees: $2,800</w:t>
      </w:r>
    </w:p>
    <w:p>
      <w:pPr>
        <w:spacing w:after="40" w:before="0"/>
        <w:ind w:left="360"/>
      </w:pPr>
      <w:r>
        <w:rPr>
          <w:rFonts w:ascii="Calibri" w:hAnsi="Calibri"/>
          <w:sz w:val="22"/>
        </w:rPr>
        <w:t>Total Cost Base: $514,050</w:t>
      </w:r>
    </w:p>
    <w:p>
      <w:pPr>
        <w:spacing w:after="40" w:before="0"/>
        <w:ind w:left="360"/>
      </w:pPr>
      <w:r>
        <w:rPr>
          <w:rFonts w:ascii="Calibri" w:hAnsi="Calibri"/>
          <w:sz w:val="22"/>
        </w:rPr>
        <w:t>Capital Gain = $1,250,000 - $514,050 = $735,950</w:t>
      </w:r>
    </w:p>
    <w:p>
      <w:pPr>
        <w:spacing w:after="40" w:before="0"/>
        <w:ind w:left="360"/>
      </w:pPr>
      <w:r>
        <w:rPr>
          <w:rFonts w:ascii="Calibri" w:hAnsi="Calibri"/>
          <w:b/>
          <w:color w:val="003366"/>
          <w:sz w:val="22"/>
        </w:rPr>
        <w:t>Step 6: Apply Partial Main Residence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1,555 / 3,747 = 41.50%</w:t>
      </w:r>
    </w:p>
    <w:p>
      <w:pPr>
        <w:spacing w:after="40" w:before="0"/>
        <w:ind w:left="360"/>
      </w:pPr>
      <w:r>
        <w:rPr>
          <w:rFonts w:ascii="Calibri" w:hAnsi="Calibri"/>
          <w:sz w:val="22"/>
        </w:rPr>
        <w:t>Taxable Capital Gain = $735,950 x 41.50% = $305,419</w:t>
      </w:r>
    </w:p>
    <w:p>
      <w:pPr>
        <w:spacing w:after="40" w:before="0"/>
        <w:ind w:left="360"/>
      </w:pPr>
      <w:r>
        <w:rPr>
          <w:rFonts w:ascii="Calibri" w:hAnsi="Calibri"/>
          <w:b/>
          <w:color w:val="003366"/>
          <w:sz w:val="22"/>
        </w:rPr>
        <w:t>Step 7: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$305,419 x 50% = $152,710</w:t>
      </w:r>
    </w:p>
    <w:p>
      <w:pPr>
        <w:spacing w:after="40" w:before="0"/>
        <w:ind w:left="360"/>
      </w:pPr>
      <w:r>
        <w:rPr>
          <w:rFonts w:ascii="Calibri" w:hAnsi="Calibri"/>
          <w:b/>
          <w:color w:val="006400"/>
          <w:sz w:val="22"/>
        </w:rPr>
        <w:t>RESULT: NET CAPITAL GAIN = $152,710</w:t>
      </w:r>
    </w:p>
    <w:p>
      <w:pPr>
        <w:pStyle w:val="Heading2"/>
      </w:pPr>
      <w:r>
        <w:t>Applicable Rules</w:t>
      </w:r>
    </w:p>
    <w:p>
      <w:r>
        <w:rPr>
          <w:rFonts w:ascii="Calibri" w:hAnsi="Calibri"/>
          <w:sz w:val="22"/>
        </w:rPr>
        <w:t>ITAA97 s118.192: First use to produce income rule (deemed acquisition at market value)</w:t>
      </w:r>
    </w:p>
    <w:p>
      <w:r>
        <w:rPr>
          <w:rFonts w:ascii="Calibri" w:hAnsi="Calibri"/>
          <w:sz w:val="22"/>
        </w:rPr>
        <w:t>ITAA97 s118.145: Six-year absence rule (partial - exceeded 6 years)</w:t>
      </w:r>
    </w:p>
    <w:p>
      <w:r>
        <w:rPr>
          <w:rFonts w:ascii="Calibri" w:hAnsi="Calibri"/>
          <w:sz w:val="22"/>
        </w:rPr>
        <w:t>ITAA97 s115.25: 50% CGT discount applies (held &gt; 12 months)</w:t>
      </w:r>
    </w:p>
    <w:p>
      <w:pPr>
        <w:spacing w:before="120" w:after="120"/>
      </w:pPr>
      <w:r>
        <w:rPr>
          <w:color w:val="B4B4B4"/>
          <w:sz w:val="12"/>
        </w:rPr>
        <w:t>────────────────────────────────────────────────────────────────────────────────────────────────────</w:t>
      </w:r>
    </w:p>
    <w:p>
      <w:pPr>
        <w:pStyle w:val="Heading1"/>
      </w:pPr>
      <w:r>
        <w:t>Scenario 4: Rental First, Then Main Residence</w:t>
      </w:r>
    </w:p>
    <w:p>
      <w:pPr>
        <w:pStyle w:val="Heading2"/>
      </w:pPr>
      <w:r>
        <w:t>Description</w:t>
      </w:r>
    </w:p>
    <w:p>
      <w:r>
        <w:rPr>
          <w:rFonts w:ascii="Calibri" w:hAnsi="Calibri"/>
          <w:sz w:val="22"/>
        </w:rPr>
        <w:t>Emma purchases an investment property and rents it out immediately. After 3 years, she decides to move in and make it her main residence. She lives there for 5 years before selling. Because the property was rented before becoming a main residence, the six-year absence rule does NOT apply. Only the period as main residence is exempt.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256 Collins Street, Melbourne VIC 3000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February 2016</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$530,000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Period</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February 2016 to 10 April 2019 (1,165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In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10 April 2019</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October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$795,000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3,166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Non-Main-Residence Days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1,165 days (rental period)</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Feb 2016</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$530,000 + $21,200 stamp duty + $3,200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Feb 2016</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Rented as investment property</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10 Apr 2019</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End</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vacates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10 Apr 2019</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Owner moves in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Oct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$795,000 (agent fees: $19,875, legal fees: $2,400)</w:t>
            </w:r>
          </w:p>
        </w:tc>
      </w:tr>
    </w:tbl>
    <w:p/>
    <w:p>
      <w:pPr>
        <w:pStyle w:val="Heading2"/>
      </w:pPr>
      <w:r>
        <w:t>CGT Calculation</w:t>
      </w:r>
    </w:p>
    <w:p>
      <w:pPr>
        <w:spacing w:after="40" w:before="0"/>
        <w:ind w:left="360"/>
      </w:pPr>
      <w:r>
        <w:rPr>
          <w:rFonts w:ascii="Calibri" w:hAnsi="Calibri"/>
          <w:b/>
          <w:color w:val="003366"/>
          <w:sz w:val="22"/>
        </w:rPr>
        <w:t>Step 1: Verify Six-Year Rule Eligibility</w:t>
      </w:r>
    </w:p>
    <w:p>
      <w:pPr>
        <w:spacing w:after="40" w:before="0"/>
        <w:ind w:left="360"/>
      </w:pPr>
      <w:r>
        <w:rPr>
          <w:rFonts w:ascii="Calibri" w:hAnsi="Calibri"/>
          <w:sz w:val="22"/>
        </w:rPr>
        <w:t>Property was rented BEFORE being used as main residence</w:t>
      </w:r>
    </w:p>
    <w:p>
      <w:pPr>
        <w:spacing w:after="40" w:before="0"/>
        <w:ind w:left="360"/>
      </w:pPr>
      <w:r>
        <w:rPr>
          <w:rFonts w:ascii="Calibri" w:hAnsi="Calibri"/>
          <w:sz w:val="22"/>
        </w:rPr>
        <w:t>Six-year rule does NOT apply (only applies when main residence first)</w:t>
      </w:r>
    </w:p>
    <w:p>
      <w:pPr>
        <w:spacing w:after="40" w:before="0"/>
        <w:ind w:left="360"/>
      </w:pPr>
      <w:r>
        <w:rPr>
          <w:rFonts w:ascii="Calibri" w:hAnsi="Calibri"/>
          <w:b/>
          <w:color w:val="003366"/>
          <w:sz w:val="22"/>
        </w:rPr>
        <w:t>Step 2: Calculate Ownership Periods</w:t>
      </w:r>
    </w:p>
    <w:p>
      <w:pPr>
        <w:spacing w:after="40" w:before="0"/>
        <w:ind w:left="360"/>
      </w:pPr>
      <w:r>
        <w:rPr>
          <w:rFonts w:ascii="Calibri" w:hAnsi="Calibri"/>
          <w:sz w:val="22"/>
        </w:rPr>
        <w:t>Total Ownership: 1 Feb 2016 to 1 Oct 2024 = 3,166 days</w:t>
      </w:r>
    </w:p>
    <w:p>
      <w:pPr>
        <w:spacing w:after="40" w:before="0"/>
        <w:ind w:left="360"/>
      </w:pPr>
      <w:r>
        <w:rPr>
          <w:rFonts w:ascii="Calibri" w:hAnsi="Calibri"/>
          <w:sz w:val="22"/>
        </w:rPr>
        <w:t>Rental Period (Non-MR): 1 Feb 2016 to 10 Apr 2019 = 1,165 days</w:t>
      </w:r>
    </w:p>
    <w:p>
      <w:pPr>
        <w:spacing w:after="40" w:before="0"/>
        <w:ind w:left="360"/>
      </w:pPr>
      <w:r>
        <w:rPr>
          <w:rFonts w:ascii="Calibri" w:hAnsi="Calibri"/>
          <w:sz w:val="22"/>
        </w:rPr>
        <w:t>Main Residence Period: 10 Apr 2019 to 1 Oct 2024 = 2,001 days</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Sale Price: $795,000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$530,000</w:t>
      </w:r>
    </w:p>
    <w:p>
      <w:pPr>
        <w:spacing w:after="40" w:before="0"/>
        <w:ind w:left="360"/>
      </w:pPr>
      <w:r>
        <w:rPr>
          <w:rFonts w:ascii="Calibri" w:hAnsi="Calibri"/>
          <w:sz w:val="22"/>
        </w:rPr>
        <w:t>Stamp Duty: $21,200</w:t>
      </w:r>
    </w:p>
    <w:p>
      <w:pPr>
        <w:spacing w:after="40" w:before="0"/>
        <w:ind w:left="360"/>
      </w:pPr>
      <w:r>
        <w:rPr>
          <w:rFonts w:ascii="Calibri" w:hAnsi="Calibri"/>
          <w:sz w:val="22"/>
        </w:rPr>
        <w:t>Purchase Legal Fees: $3,200</w:t>
      </w:r>
    </w:p>
    <w:p>
      <w:pPr>
        <w:spacing w:after="40" w:before="0"/>
        <w:ind w:left="360"/>
      </w:pPr>
      <w:r>
        <w:rPr>
          <w:rFonts w:ascii="Calibri" w:hAnsi="Calibri"/>
          <w:sz w:val="22"/>
        </w:rPr>
        <w:t>Sale Agent Fees: $19,875</w:t>
      </w:r>
    </w:p>
    <w:p>
      <w:pPr>
        <w:spacing w:after="40" w:before="0"/>
        <w:ind w:left="360"/>
      </w:pPr>
      <w:r>
        <w:rPr>
          <w:rFonts w:ascii="Calibri" w:hAnsi="Calibri"/>
          <w:sz w:val="22"/>
        </w:rPr>
        <w:t>Sale Legal Fees: $2,400</w:t>
      </w:r>
    </w:p>
    <w:p>
      <w:pPr>
        <w:spacing w:after="40" w:before="0"/>
        <w:ind w:left="360"/>
      </w:pPr>
      <w:r>
        <w:rPr>
          <w:rFonts w:ascii="Calibri" w:hAnsi="Calibri"/>
          <w:sz w:val="22"/>
        </w:rPr>
        <w:t>Total Cost Base: $576,675</w:t>
      </w:r>
    </w:p>
    <w:p>
      <w:pPr>
        <w:spacing w:after="40" w:before="0"/>
        <w:ind w:left="360"/>
      </w:pPr>
      <w:r>
        <w:rPr>
          <w:rFonts w:ascii="Calibri" w:hAnsi="Calibri"/>
          <w:sz w:val="22"/>
        </w:rPr>
        <w:t>Capital Gain = $795,000 - $576,675 = $218,325</w:t>
      </w:r>
    </w:p>
    <w:p>
      <w:pPr>
        <w:spacing w:after="40" w:before="0"/>
        <w:ind w:left="360"/>
      </w:pPr>
      <w:r>
        <w:rPr>
          <w:rFonts w:ascii="Calibri" w:hAnsi="Calibri"/>
          <w:b/>
          <w:color w:val="003366"/>
          <w:sz w:val="22"/>
        </w:rPr>
        <w:t>Step 4: Apply Partial Main Residence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1,165 / 3,166 = 36.80%</w:t>
      </w:r>
    </w:p>
    <w:p>
      <w:pPr>
        <w:spacing w:after="40" w:before="0"/>
        <w:ind w:left="360"/>
      </w:pPr>
      <w:r>
        <w:rPr>
          <w:rFonts w:ascii="Calibri" w:hAnsi="Calibri"/>
          <w:sz w:val="22"/>
        </w:rPr>
        <w:t>Exempt Proportion = 2,001 / 3,166 = 63.20%</w:t>
      </w:r>
    </w:p>
    <w:p>
      <w:pPr>
        <w:spacing w:after="40" w:before="0"/>
        <w:ind w:left="360"/>
      </w:pPr>
      <w:r>
        <w:rPr>
          <w:rFonts w:ascii="Calibri" w:hAnsi="Calibri"/>
          <w:sz w:val="22"/>
        </w:rPr>
        <w:t>Exempt Amount = $218,325 x 63.20% = $137,981</w:t>
      </w:r>
    </w:p>
    <w:p>
      <w:pPr>
        <w:spacing w:after="40" w:before="0"/>
        <w:ind w:left="360"/>
      </w:pPr>
      <w:r>
        <w:rPr>
          <w:rFonts w:ascii="Calibri" w:hAnsi="Calibri"/>
          <w:sz w:val="22"/>
        </w:rPr>
        <w:t>Taxable Capital Gain = $218,325 x 36.80% = $80,344</w:t>
      </w:r>
    </w:p>
    <w:p>
      <w:pPr>
        <w:spacing w:after="40" w:before="0"/>
        <w:ind w:left="360"/>
      </w:pPr>
      <w:r>
        <w:rPr>
          <w:rFonts w:ascii="Calibri" w:hAnsi="Calibri"/>
          <w:b/>
          <w:color w:val="003366"/>
          <w:sz w:val="22"/>
        </w:rPr>
        <w:t>Step 5: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$80,344 x 50% = $40,172</w:t>
      </w:r>
    </w:p>
    <w:p>
      <w:pPr>
        <w:spacing w:after="40" w:before="0"/>
        <w:ind w:left="360"/>
      </w:pPr>
      <w:r>
        <w:rPr>
          <w:rFonts w:ascii="Calibri" w:hAnsi="Calibri"/>
          <w:b/>
          <w:color w:val="006400"/>
          <w:sz w:val="22"/>
        </w:rPr>
        <w:t>RESULT: NET CAPITAL GAIN = $40,172</w:t>
      </w:r>
    </w:p>
    <w:p>
      <w:pPr>
        <w:pStyle w:val="Heading2"/>
      </w:pPr>
      <w:r>
        <w:t>Applicable Rules</w:t>
      </w:r>
    </w:p>
    <w:p>
      <w:r>
        <w:rPr>
          <w:rFonts w:ascii="Calibri" w:hAnsi="Calibri"/>
          <w:sz w:val="22"/>
        </w:rPr>
        <w:t>ITAA97 s118.185: Partial main residence exemption</w:t>
      </w:r>
    </w:p>
    <w:p>
      <w:r>
        <w:rPr>
          <w:rFonts w:ascii="Calibri" w:hAnsi="Calibri"/>
          <w:sz w:val="22"/>
        </w:rPr>
        <w:t>Six-year rule NOT applicable: Property was investment first, then main residence</w:t>
      </w:r>
    </w:p>
    <w:p>
      <w:r>
        <w:rPr>
          <w:rFonts w:ascii="Calibri" w:hAnsi="Calibri"/>
          <w:sz w:val="22"/>
        </w:rPr>
        <w:t>ITAA97 s115.25: 50% CGT discount applies</w:t>
      </w:r>
    </w:p>
    <w:p>
      <w:pPr>
        <w:spacing w:before="120" w:after="120"/>
      </w:pPr>
      <w:r>
        <w:rPr>
          <w:color w:val="B4B4B4"/>
          <w:sz w:val="12"/>
        </w:rPr>
        <w:t>────────────────────────────────────────────────────────────────────────────────────────────────────</w:t>
      </w:r>
    </w:p>
    <w:p>
      <w:pPr>
        <w:pStyle w:val="Heading1"/>
      </w:pPr>
      <w:r>
        <w:t>Scenario 5: Moving Between Residences</w:t>
      </w:r>
    </w:p>
    <w:p>
      <w:pPr>
        <w:pStyle w:val="Heading2"/>
      </w:pPr>
      <w:r>
        <w:t>Description</w:t>
      </w:r>
    </w:p>
    <w:p>
      <w:r>
        <w:rPr>
          <w:rFonts w:ascii="Calibri" w:hAnsi="Calibri"/>
          <w:sz w:val="22"/>
        </w:rPr>
        <w:t>David owns his main residence (Property 1) and purchases a new home (Property 2). He moves into the new home while still owning the old one. This scenario demonstrates the 6-month overlap rule where both properties can be treated as main residence for up to 6 months during the transition period.</w:t>
      </w:r>
    </w:p>
    <w:p>
      <w:pPr>
        <w:pStyle w:val="Heading2"/>
      </w:pPr>
      <w:r>
        <w:t>Key Facts</w:t>
      </w:r>
    </w:p>
    <w:p>
      <w:r>
        <w:rPr>
          <w:rFonts w:ascii="Calibri" w:hAnsi="Calibri"/>
          <w:sz w:val="22"/>
        </w:rPr>
        <w:t>Property 1: Original Home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78 Rose Street, Brisbane QLD 4000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May 2012</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July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$780,000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4,458 days</w:t>
            </w:r>
          </w:p>
        </w:tc>
      </w:tr>
    </w:tbl>
    <w:p/>
    <w:p>
      <w:r>
        <w:rPr>
          <w:rFonts w:ascii="Calibri" w:hAnsi="Calibri"/>
          <w:sz w:val="22"/>
        </w:rPr>
        <w:t>Property 2: New Home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33 Mountain View Road, Brisbane QLD 4000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February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$920,000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Current Status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Main Residence (not sold)</w:t>
            </w:r>
          </w:p>
        </w:tc>
      </w:tr>
    </w:tbl>
    <w:p/>
    <w:p>
      <w:r>
        <w:rPr>
          <w:rFonts w:ascii="Calibri" w:hAnsi="Calibri"/>
          <w:sz w:val="22"/>
        </w:rPr>
        <w:t>Overlap Period</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New Home Purchase (Move In)</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February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Old Home Sale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July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Overlap Duration</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165 days (5.5 months)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Within 6-Month Limit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YES</w:t>
            </w:r>
          </w:p>
        </w:tc>
      </w:tr>
    </w:tbl>
    <w:p/>
    <w:p>
      <w:pPr>
        <w:pStyle w:val="Heading2"/>
      </w:pPr>
      <w:r>
        <w:t>Timeline of Events</w:t>
      </w:r>
    </w:p>
    <w:p>
      <w:r>
        <w:rPr>
          <w:rFonts w:ascii="Calibri" w:hAnsi="Calibri"/>
          <w:sz w:val="22"/>
        </w:rPr>
        <w:t>Property 1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May 2012</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$420,000 + $14,700 stamp duty + $2,200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May 2012</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Feb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Moved to new home (Property 2)</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Jul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$780,000 (agent fees: $19,500, legal fees: $2,000)</w:t>
            </w:r>
          </w:p>
        </w:tc>
      </w:tr>
    </w:tbl>
    <w:p/>
    <w:p>
      <w:r>
        <w:rPr>
          <w:rFonts w:ascii="Calibri" w:hAnsi="Calibri"/>
          <w:sz w:val="22"/>
        </w:rPr>
        <w:t>Property 2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Feb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$920,000 + $36,800 stamp duty + $4,200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Feb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new main residence</w:t>
            </w:r>
          </w:p>
        </w:tc>
      </w:tr>
    </w:tbl>
    <w:p/>
    <w:p>
      <w:pPr>
        <w:pStyle w:val="Heading2"/>
      </w:pPr>
      <w:r>
        <w:t>CGT Calculation - Property 1</w:t>
      </w:r>
    </w:p>
    <w:p>
      <w:pPr>
        <w:spacing w:after="40" w:before="0"/>
        <w:ind w:left="360"/>
      </w:pPr>
      <w:r>
        <w:rPr>
          <w:rFonts w:ascii="Calibri" w:hAnsi="Calibri"/>
          <w:b/>
          <w:color w:val="003366"/>
          <w:sz w:val="22"/>
        </w:rPr>
        <w:t>Step 1: Verify 6-Month Overlap Rule Eligibility (s118.140)</w:t>
      </w:r>
    </w:p>
    <w:p>
      <w:pPr>
        <w:spacing w:after="40" w:before="0"/>
        <w:ind w:left="360"/>
      </w:pPr>
      <w:r>
        <w:rPr>
          <w:rFonts w:ascii="Calibri" w:hAnsi="Calibri"/>
          <w:b/>
          <w:sz w:val="22"/>
        </w:rPr>
        <w:t>Requirements:</w:t>
      </w:r>
    </w:p>
    <w:p>
      <w:pPr>
        <w:spacing w:after="40" w:before="0"/>
        <w:ind w:left="360"/>
      </w:pPr>
      <w:r>
        <w:rPr>
          <w:rFonts w:ascii="Calibri" w:hAnsi="Calibri"/>
          <w:sz w:val="22"/>
        </w:rPr>
        <w:t>Lived in Property 1 for at least 3 months in past 12 months: YES</w:t>
      </w:r>
    </w:p>
    <w:p>
      <w:pPr>
        <w:spacing w:after="40" w:before="0"/>
        <w:ind w:left="360"/>
      </w:pPr>
      <w:r>
        <w:rPr>
          <w:rFonts w:ascii="Calibri" w:hAnsi="Calibri"/>
          <w:sz w:val="22"/>
        </w:rPr>
        <w:t>Property 1 did not produce income during overlap: YES</w:t>
      </w:r>
    </w:p>
    <w:p>
      <w:pPr>
        <w:spacing w:after="40" w:before="0"/>
        <w:ind w:left="360"/>
      </w:pPr>
      <w:r>
        <w:rPr>
          <w:rFonts w:ascii="Calibri" w:hAnsi="Calibri"/>
          <w:sz w:val="22"/>
        </w:rPr>
        <w:t>Overlap period 6 months or less: YES (165 days = 5.5 months)</w:t>
      </w:r>
    </w:p>
    <w:p>
      <w:pPr>
        <w:spacing w:after="40" w:before="0"/>
        <w:ind w:left="360"/>
      </w:pPr>
      <w:r>
        <w:rPr>
          <w:rFonts w:ascii="Calibri" w:hAnsi="Calibri"/>
          <w:b/>
          <w:color w:val="006400"/>
          <w:sz w:val="22"/>
        </w:rPr>
        <w:t>RESULT: Both properties treated as main residence during overlap</w:t>
      </w:r>
    </w:p>
    <w:p>
      <w:pPr>
        <w:spacing w:after="40" w:before="0"/>
        <w:ind w:left="360"/>
      </w:pPr>
      <w:r>
        <w:rPr>
          <w:rFonts w:ascii="Calibri" w:hAnsi="Calibri"/>
          <w:b/>
          <w:color w:val="003366"/>
          <w:sz w:val="22"/>
        </w:rPr>
        <w:t>Step 2: Calculate Main Residence Period for Property 1</w:t>
      </w:r>
    </w:p>
    <w:p>
      <w:pPr>
        <w:spacing w:after="40" w:before="0"/>
        <w:ind w:left="360"/>
      </w:pPr>
      <w:r>
        <w:rPr>
          <w:rFonts w:ascii="Calibri" w:hAnsi="Calibri"/>
          <w:sz w:val="22"/>
        </w:rPr>
        <w:t>Purchase: 1 May 2012</w:t>
      </w:r>
    </w:p>
    <w:p>
      <w:pPr>
        <w:spacing w:after="40" w:before="0"/>
        <w:ind w:left="360"/>
      </w:pPr>
      <w:r>
        <w:rPr>
          <w:rFonts w:ascii="Calibri" w:hAnsi="Calibri"/>
          <w:sz w:val="22"/>
        </w:rPr>
        <w:t>Sale: 15 July 2024</w:t>
      </w:r>
    </w:p>
    <w:p>
      <w:pPr>
        <w:spacing w:after="40" w:before="0"/>
        <w:ind w:left="360"/>
      </w:pPr>
      <w:r>
        <w:rPr>
          <w:rFonts w:ascii="Calibri" w:hAnsi="Calibri"/>
          <w:sz w:val="22"/>
        </w:rPr>
        <w:t>Total Ownership = 4,458 days</w:t>
      </w:r>
    </w:p>
    <w:p>
      <w:pPr>
        <w:spacing w:after="40" w:before="0"/>
        <w:ind w:left="360"/>
      </w:pPr>
      <w:r>
        <w:rPr>
          <w:rFonts w:ascii="Calibri" w:hAnsi="Calibri"/>
          <w:sz w:val="22"/>
        </w:rPr>
        <w:t>Property 1 treated as main residence: ENTIRE period</w:t>
      </w:r>
    </w:p>
    <w:p>
      <w:pPr>
        <w:spacing w:after="40" w:before="0"/>
        <w:ind w:left="360"/>
      </w:pPr>
      <w:r>
        <w:rPr>
          <w:rFonts w:ascii="Calibri" w:hAnsi="Calibri"/>
          <w:sz w:val="22"/>
        </w:rPr>
        <w:t>(Including overlap period under s118.140)</w:t>
      </w:r>
    </w:p>
    <w:p>
      <w:pPr>
        <w:spacing w:after="40" w:before="0"/>
        <w:ind w:left="360"/>
      </w:pPr>
      <w:r>
        <w:rPr>
          <w:rFonts w:ascii="Calibri" w:hAnsi="Calibri"/>
          <w:b/>
          <w:color w:val="003366"/>
          <w:sz w:val="22"/>
        </w:rPr>
        <w:t>Step 3: Calculate Capital Gain (for reference)</w:t>
      </w:r>
    </w:p>
    <w:p>
      <w:pPr>
        <w:spacing w:after="40" w:before="0"/>
        <w:ind w:left="360"/>
      </w:pPr>
      <w:r>
        <w:rPr>
          <w:rFonts w:ascii="Calibri" w:hAnsi="Calibri"/>
          <w:sz w:val="22"/>
        </w:rPr>
        <w:t>Sale Price: $780,000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$420,000</w:t>
      </w:r>
    </w:p>
    <w:p>
      <w:pPr>
        <w:spacing w:after="40" w:before="0"/>
        <w:ind w:left="360"/>
      </w:pPr>
      <w:r>
        <w:rPr>
          <w:rFonts w:ascii="Calibri" w:hAnsi="Calibri"/>
          <w:sz w:val="22"/>
        </w:rPr>
        <w:t>Stamp Duty: $14,700</w:t>
      </w:r>
    </w:p>
    <w:p>
      <w:pPr>
        <w:spacing w:after="40" w:before="0"/>
        <w:ind w:left="360"/>
      </w:pPr>
      <w:r>
        <w:rPr>
          <w:rFonts w:ascii="Calibri" w:hAnsi="Calibri"/>
          <w:sz w:val="22"/>
        </w:rPr>
        <w:t>Purchase Legal Fees: $2,200</w:t>
      </w:r>
    </w:p>
    <w:p>
      <w:pPr>
        <w:spacing w:after="40" w:before="0"/>
        <w:ind w:left="360"/>
      </w:pPr>
      <w:r>
        <w:rPr>
          <w:rFonts w:ascii="Calibri" w:hAnsi="Calibri"/>
          <w:sz w:val="22"/>
        </w:rPr>
        <w:t>Sale Agent Fees: $19,500</w:t>
      </w:r>
    </w:p>
    <w:p>
      <w:pPr>
        <w:spacing w:after="40" w:before="0"/>
        <w:ind w:left="360"/>
      </w:pPr>
      <w:r>
        <w:rPr>
          <w:rFonts w:ascii="Calibri" w:hAnsi="Calibri"/>
          <w:sz w:val="22"/>
        </w:rPr>
        <w:t>Sale Legal Fees: $2,000</w:t>
      </w:r>
    </w:p>
    <w:p>
      <w:pPr>
        <w:spacing w:after="40" w:before="0"/>
        <w:ind w:left="360"/>
      </w:pPr>
      <w:r>
        <w:rPr>
          <w:rFonts w:ascii="Calibri" w:hAnsi="Calibri"/>
          <w:sz w:val="22"/>
        </w:rPr>
        <w:t>Total Cost Base: $458,400</w:t>
      </w:r>
    </w:p>
    <w:p>
      <w:pPr>
        <w:spacing w:after="40" w:before="0"/>
        <w:ind w:left="360"/>
      </w:pPr>
      <w:r>
        <w:rPr>
          <w:rFonts w:ascii="Calibri" w:hAnsi="Calibri"/>
          <w:sz w:val="22"/>
        </w:rPr>
        <w:t>Capital Gain = $780,000 - $458,400 = $321,600</w:t>
      </w:r>
    </w:p>
    <w:p>
      <w:pPr>
        <w:spacing w:after="40" w:before="0"/>
        <w:ind w:left="360"/>
      </w:pPr>
      <w:r>
        <w:rPr>
          <w:rFonts w:ascii="Calibri" w:hAnsi="Calibri"/>
          <w:b/>
          <w:color w:val="003366"/>
          <w:sz w:val="22"/>
        </w:rPr>
        <w:t>Step 4: Apply Main Residence Exemption</w:t>
      </w:r>
    </w:p>
    <w:p>
      <w:pPr>
        <w:spacing w:after="40" w:before="0"/>
        <w:ind w:left="360"/>
      </w:pPr>
      <w:r>
        <w:rPr>
          <w:rFonts w:ascii="Calibri" w:hAnsi="Calibri"/>
          <w:sz w:val="22"/>
        </w:rPr>
        <w:t>Under s118.140, both homes treated as main residence for overlap</w:t>
      </w:r>
    </w:p>
    <w:p>
      <w:pPr>
        <w:spacing w:after="40" w:before="0"/>
        <w:ind w:left="360"/>
      </w:pPr>
      <w:r>
        <w:rPr>
          <w:rFonts w:ascii="Calibri" w:hAnsi="Calibri"/>
          <w:sz w:val="22"/>
        </w:rPr>
        <w:t>Property 1 was main residence for entire ownership</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s118.140: Moving between main residences (6-month overlap rule)</w:t>
      </w:r>
    </w:p>
    <w:p>
      <w:r>
        <w:rPr>
          <w:rFonts w:ascii="Calibri" w:hAnsi="Calibri"/>
          <w:sz w:val="22"/>
        </w:rPr>
        <w:t>Both properties can be main residence for up to 6 months during transition</w:t>
      </w:r>
    </w:p>
    <w:p>
      <w:r>
        <w:rPr>
          <w:rFonts w:ascii="Calibri" w:hAnsi="Calibri"/>
          <w:sz w:val="22"/>
        </w:rPr>
        <w:t>If exceeded, one property loses exemption for the excess period</w:t>
      </w:r>
    </w:p>
    <w:p>
      <w:pPr>
        <w:spacing w:before="120" w:after="120"/>
      </w:pPr>
      <w:r>
        <w:rPr>
          <w:color w:val="B4B4B4"/>
          <w:sz w:val="12"/>
        </w:rPr>
        <w:t>────────────────────────────────────────────────────────────────────────────────────────────────────</w:t>
      </w:r>
    </w:p>
    <w:p>
      <w:pPr>
        <w:pStyle w:val="Heading1"/>
      </w:pPr>
      <w:r>
        <w:t>Scenario 6: Full Main Residence (Variant B)</w:t>
      </w:r>
    </w:p>
    <w:p>
      <w:pPr>
        <w:pStyle w:val="Heading2"/>
      </w:pPr>
      <w:r>
        <w:t>Description</w:t>
      </w:r>
    </w:p>
    <w:p>
      <w:r>
        <w:rPr>
          <w:rFonts w:ascii="Calibri" w:hAnsi="Calibri"/>
          <w:sz w:val="22"/>
        </w:rPr>
        <w:t>James purchases his first home and lives in it continuously from purchase until sale. As he resided in the dwelling for the entire ownership period and never used it to produce income, he qualifies for the full main residence exemption.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18 Riverside Terrace, Newstead QLD 4006</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June 2014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$545,000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September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$1,020,000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3,759 days (10 years, 3.5 months)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Main Residence Days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3,759 days (100%)</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Jun 2014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$545,000 + $21,800 stamp duty + $2,300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Jun 2014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Mar 2017</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Renovation: $38,000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Aug 2020</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Additional works: $22,000</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Sep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$1,020,000 (agent fees: $25,500, legal fees: $2,100)</w:t>
            </w:r>
          </w:p>
        </w:tc>
      </w:tr>
    </w:tbl>
    <w:p/>
    <w:p>
      <w:pPr>
        <w:pStyle w:val="Heading2"/>
      </w:pPr>
      <w:r>
        <w:t>CGT Calculation</w:t>
      </w:r>
    </w:p>
    <w:p>
      <w:pPr>
        <w:spacing w:after="40" w:before="0"/>
        <w:ind w:left="360"/>
      </w:pPr>
      <w:r>
        <w:rPr>
          <w:rFonts w:ascii="Calibri" w:hAnsi="Calibri"/>
          <w:b/>
          <w:color w:val="003366"/>
          <w:sz w:val="22"/>
        </w:rPr>
        <w:t>Step 1: Calculate Capital Proceeds</w:t>
      </w:r>
    </w:p>
    <w:p>
      <w:pPr>
        <w:spacing w:after="40" w:before="0"/>
        <w:ind w:left="360"/>
      </w:pPr>
      <w:r>
        <w:rPr>
          <w:rFonts w:ascii="Calibri" w:hAnsi="Calibri"/>
          <w:sz w:val="22"/>
        </w:rPr>
        <w:t>Sale Price: $1,020,000</w:t>
      </w:r>
    </w:p>
    <w:p>
      <w:pPr>
        <w:spacing w:after="40" w:before="0"/>
        <w:ind w:left="360"/>
      </w:pPr>
      <w:r>
        <w:rPr>
          <w:rFonts w:ascii="Calibri" w:hAnsi="Calibri"/>
          <w:b/>
          <w:color w:val="003366"/>
          <w:sz w:val="22"/>
        </w:rPr>
        <w:t>Step 2: Calculate Cost Base</w:t>
      </w:r>
    </w:p>
    <w:p>
      <w:pPr>
        <w:spacing w:after="40" w:before="0"/>
        <w:ind w:left="360"/>
      </w:pPr>
      <w:r>
        <w:rPr>
          <w:rFonts w:ascii="Calibri" w:hAnsi="Calibri"/>
          <w:sz w:val="22"/>
        </w:rPr>
        <w:t>Purchase Price: $545,000</w:t>
      </w:r>
    </w:p>
    <w:p>
      <w:pPr>
        <w:spacing w:after="40" w:before="0"/>
        <w:ind w:left="360"/>
      </w:pPr>
      <w:r>
        <w:rPr>
          <w:rFonts w:ascii="Calibri" w:hAnsi="Calibri"/>
          <w:sz w:val="22"/>
        </w:rPr>
        <w:t>Stamp Duty: $21,800</w:t>
      </w:r>
    </w:p>
    <w:p>
      <w:pPr>
        <w:spacing w:after="40" w:before="0"/>
        <w:ind w:left="360"/>
      </w:pPr>
      <w:r>
        <w:rPr>
          <w:rFonts w:ascii="Calibri" w:hAnsi="Calibri"/>
          <w:sz w:val="22"/>
        </w:rPr>
        <w:t>Purchase Legal Fees: $2,300</w:t>
      </w:r>
    </w:p>
    <w:p>
      <w:pPr>
        <w:spacing w:after="40" w:before="0"/>
        <w:ind w:left="360"/>
      </w:pPr>
      <w:r>
        <w:rPr>
          <w:rFonts w:ascii="Calibri" w:hAnsi="Calibri"/>
          <w:sz w:val="22"/>
        </w:rPr>
        <w:t>Renovation 2017: $38,000</w:t>
      </w:r>
    </w:p>
    <w:p>
      <w:pPr>
        <w:spacing w:after="40" w:before="0"/>
        <w:ind w:left="360"/>
      </w:pPr>
      <w:r>
        <w:rPr>
          <w:rFonts w:ascii="Calibri" w:hAnsi="Calibri"/>
          <w:sz w:val="22"/>
        </w:rPr>
        <w:t>Renovation 2020: $22,000</w:t>
      </w:r>
    </w:p>
    <w:p>
      <w:pPr>
        <w:spacing w:after="40" w:before="0"/>
        <w:ind w:left="360"/>
      </w:pPr>
      <w:r>
        <w:rPr>
          <w:rFonts w:ascii="Calibri" w:hAnsi="Calibri"/>
          <w:sz w:val="22"/>
        </w:rPr>
        <w:t>Sale Agent Fees: $25,500</w:t>
      </w:r>
    </w:p>
    <w:p>
      <w:pPr>
        <w:spacing w:after="40" w:before="0"/>
        <w:ind w:left="360"/>
      </w:pPr>
      <w:r>
        <w:rPr>
          <w:rFonts w:ascii="Calibri" w:hAnsi="Calibri"/>
          <w:sz w:val="22"/>
        </w:rPr>
        <w:t>Sale Legal Fees: $2,100</w:t>
      </w:r>
    </w:p>
    <w:p>
      <w:pPr>
        <w:spacing w:after="40" w:before="0"/>
        <w:ind w:left="360"/>
      </w:pPr>
      <w:r>
        <w:rPr>
          <w:rFonts w:ascii="Calibri" w:hAnsi="Calibri"/>
          <w:sz w:val="22"/>
        </w:rPr>
        <w:t>Total Cost Base: $656,700</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Capital Gain = $1,020,000 - $656,700 = $363,300</w:t>
      </w:r>
    </w:p>
    <w:p>
      <w:pPr>
        <w:spacing w:after="40" w:before="0"/>
        <w:ind w:left="360"/>
      </w:pPr>
      <w:r>
        <w:rPr>
          <w:rFonts w:ascii="Calibri" w:hAnsi="Calibri"/>
          <w:b/>
          <w:color w:val="003366"/>
          <w:sz w:val="22"/>
        </w:rPr>
        <w:t>Step 4: Apply Main Residence Exemption</w:t>
      </w:r>
    </w:p>
    <w:p>
      <w:pPr>
        <w:spacing w:after="40" w:before="0"/>
        <w:ind w:left="360"/>
      </w:pPr>
      <w:r>
        <w:rPr>
          <w:rFonts w:ascii="Calibri" w:hAnsi="Calibri"/>
          <w:sz w:val="22"/>
        </w:rPr>
        <w:t>Main Residence Days: 3,759 / 3,759 = 100%</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s118.110: Full main residence exemption applies</w:t>
      </w:r>
    </w:p>
    <w:p>
      <w:r>
        <w:rPr>
          <w:rFonts w:ascii="Calibri" w:hAnsi="Calibri"/>
          <w:sz w:val="22"/>
        </w:rPr>
        <w:t>Property was main residence for entire ownership period</w:t>
      </w:r>
    </w:p>
    <w:p>
      <w:r>
        <w:rPr>
          <w:rFonts w:ascii="Calibri" w:hAnsi="Calibri"/>
          <w:sz w:val="22"/>
        </w:rPr>
        <w:t>No income-producing use</w:t>
      </w:r>
    </w:p>
    <w:p>
      <w:pPr>
        <w:spacing w:before="120" w:after="120"/>
      </w:pPr>
      <w:r>
        <w:rPr>
          <w:color w:val="B4B4B4"/>
          <w:sz w:val="12"/>
        </w:rPr>
        <w:t>────────────────────────────────────────────────────────────────────────────────────────────────────</w:t>
      </w:r>
    </w:p>
    <w:p>
      <w:pPr>
        <w:pStyle w:val="Heading1"/>
      </w:pPr>
      <w:r>
        <w:t>Scenario 7: Six-Year Rule Within (Variant B)</w:t>
      </w:r>
    </w:p>
    <w:p>
      <w:pPr>
        <w:pStyle w:val="Heading2"/>
      </w:pPr>
      <w:r>
        <w:t>Description</w:t>
      </w:r>
    </w:p>
    <w:p>
      <w:r>
        <w:rPr>
          <w:rFonts w:ascii="Calibri" w:hAnsi="Calibri"/>
          <w:sz w:val="22"/>
        </w:rPr>
        <w:t>Rachel purchases a home, lives in it for 3 years, then moves to Melbourne for work and rents out the property. She sells the property after 5.67 years of renting. As the rental period is less than 6 years and she chose to treat it as her main residence during absence, the full exemption applies under the six-year rule.</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55 Panorama Drive, Surfers Paradise QLD 4217</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March 2016</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$720,000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March 2019</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November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$1,350,000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3,168 days (8 years, 8 months)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Lived In</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1,096 days (3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Rented</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2,072 days (5.67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Six-Year Rule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Applies (rental period &lt; 6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Mar 2016</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$720,000 + $28,800 stamp duty + $3,500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Mar 2016</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Oct 2017</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Renovation: $48,000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Mar 2019</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Relocated to Melbourne for work</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Mar 2019</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moves in</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Nov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$1,350,000 (agent fees: $33,750, legal fees: $3,000)</w:t>
            </w:r>
          </w:p>
        </w:tc>
      </w:tr>
    </w:tbl>
    <w:p/>
    <w:p>
      <w:pPr>
        <w:pStyle w:val="Heading2"/>
      </w:pPr>
      <w:r>
        <w:t>CGT Calculation</w:t>
      </w:r>
    </w:p>
    <w:p>
      <w:pPr>
        <w:spacing w:after="40" w:before="0"/>
        <w:ind w:left="360"/>
      </w:pPr>
      <w:r>
        <w:rPr>
          <w:rFonts w:ascii="Calibri" w:hAnsi="Calibri"/>
          <w:b/>
          <w:color w:val="003366"/>
          <w:sz w:val="22"/>
        </w:rPr>
        <w:t>Step 1: Calculate Rental Period</w:t>
      </w:r>
    </w:p>
    <w:p>
      <w:pPr>
        <w:spacing w:after="40" w:before="0"/>
        <w:ind w:left="360"/>
      </w:pPr>
      <w:r>
        <w:rPr>
          <w:rFonts w:ascii="Calibri" w:hAnsi="Calibri"/>
          <w:sz w:val="22"/>
        </w:rPr>
        <w:t>Rent Start: 1 March 2019</w:t>
      </w:r>
    </w:p>
    <w:p>
      <w:pPr>
        <w:spacing w:after="40" w:before="0"/>
        <w:ind w:left="360"/>
      </w:pPr>
      <w:r>
        <w:rPr>
          <w:rFonts w:ascii="Calibri" w:hAnsi="Calibri"/>
          <w:sz w:val="22"/>
        </w:rPr>
        <w:t>Sale Date: 1 November 2024</w:t>
      </w:r>
    </w:p>
    <w:p>
      <w:pPr>
        <w:spacing w:after="40" w:before="0"/>
        <w:ind w:left="360"/>
      </w:pPr>
      <w:r>
        <w:rPr>
          <w:rFonts w:ascii="Calibri" w:hAnsi="Calibri"/>
          <w:sz w:val="22"/>
        </w:rPr>
        <w:t>Rental Period = 2,072 days = 5.67 years</w:t>
      </w:r>
    </w:p>
    <w:p>
      <w:pPr>
        <w:spacing w:after="40" w:before="0"/>
        <w:ind w:left="360"/>
      </w:pPr>
      <w:r>
        <w:rPr>
          <w:rFonts w:ascii="Calibri" w:hAnsi="Calibri"/>
          <w:sz w:val="22"/>
        </w:rPr>
        <w:t>Rental period is LESS than 6 years</w:t>
      </w:r>
    </w:p>
    <w:p>
      <w:pPr>
        <w:spacing w:after="40" w:before="0"/>
        <w:ind w:left="360"/>
      </w:pPr>
      <w:r>
        <w:rPr>
          <w:rFonts w:ascii="Calibri" w:hAnsi="Calibri"/>
          <w:b/>
          <w:color w:val="003366"/>
          <w:sz w:val="22"/>
        </w:rPr>
        <w:t>Step 2: Six-Year Rule Assessment</w:t>
      </w:r>
    </w:p>
    <w:p>
      <w:pPr>
        <w:spacing w:after="40" w:before="0"/>
        <w:ind w:left="360"/>
      </w:pPr>
      <w:r>
        <w:rPr>
          <w:rFonts w:ascii="Calibri" w:hAnsi="Calibri"/>
          <w:sz w:val="22"/>
        </w:rPr>
        <w:t>Property was main residence before renting: YES</w:t>
      </w:r>
    </w:p>
    <w:p>
      <w:pPr>
        <w:spacing w:after="40" w:before="0"/>
        <w:ind w:left="360"/>
      </w:pPr>
      <w:r>
        <w:rPr>
          <w:rFonts w:ascii="Calibri" w:hAnsi="Calibri"/>
          <w:sz w:val="22"/>
        </w:rPr>
        <w:t>Rental period under 6 years: YES</w:t>
      </w:r>
    </w:p>
    <w:p>
      <w:pPr>
        <w:spacing w:after="40" w:before="0"/>
        <w:ind w:left="360"/>
      </w:pPr>
      <w:r>
        <w:rPr>
          <w:rFonts w:ascii="Calibri" w:hAnsi="Calibri"/>
          <w:sz w:val="22"/>
        </w:rPr>
        <w:t>No other property claimed as main residence: YES</w:t>
      </w:r>
    </w:p>
    <w:p>
      <w:pPr>
        <w:spacing w:after="40" w:before="0"/>
        <w:ind w:left="360"/>
      </w:pPr>
      <w:r>
        <w:rPr>
          <w:rFonts w:ascii="Calibri" w:hAnsi="Calibri"/>
          <w:b/>
          <w:color w:val="006400"/>
          <w:sz w:val="22"/>
        </w:rPr>
        <w:t>RESULT: Full main residence exemption applies</w:t>
      </w:r>
    </w:p>
    <w:p>
      <w:pPr>
        <w:spacing w:after="40" w:before="0"/>
        <w:ind w:left="360"/>
      </w:pPr>
      <w:r>
        <w:rPr>
          <w:rFonts w:ascii="Calibri" w:hAnsi="Calibri"/>
          <w:b/>
          <w:color w:val="003366"/>
          <w:sz w:val="22"/>
        </w:rPr>
        <w:t>Step 3: Calculate Capital Gain (for reference)</w:t>
      </w:r>
    </w:p>
    <w:p>
      <w:pPr>
        <w:spacing w:after="40" w:before="0"/>
        <w:ind w:left="360"/>
      </w:pPr>
      <w:r>
        <w:rPr>
          <w:rFonts w:ascii="Calibri" w:hAnsi="Calibri"/>
          <w:sz w:val="22"/>
        </w:rPr>
        <w:t>Sale Price: $1,350,000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$720,000</w:t>
      </w:r>
    </w:p>
    <w:p>
      <w:pPr>
        <w:spacing w:after="40" w:before="0"/>
        <w:ind w:left="360"/>
      </w:pPr>
      <w:r>
        <w:rPr>
          <w:rFonts w:ascii="Calibri" w:hAnsi="Calibri"/>
          <w:sz w:val="22"/>
        </w:rPr>
        <w:t>Stamp Duty: $28,800</w:t>
      </w:r>
    </w:p>
    <w:p>
      <w:pPr>
        <w:spacing w:after="40" w:before="0"/>
        <w:ind w:left="360"/>
      </w:pPr>
      <w:r>
        <w:rPr>
          <w:rFonts w:ascii="Calibri" w:hAnsi="Calibri"/>
          <w:sz w:val="22"/>
        </w:rPr>
        <w:t>Purchase Legal Fees: $3,500</w:t>
      </w:r>
    </w:p>
    <w:p>
      <w:pPr>
        <w:spacing w:after="40" w:before="0"/>
        <w:ind w:left="360"/>
      </w:pPr>
      <w:r>
        <w:rPr>
          <w:rFonts w:ascii="Calibri" w:hAnsi="Calibri"/>
          <w:sz w:val="22"/>
        </w:rPr>
        <w:t>Renovation: $48,000</w:t>
      </w:r>
    </w:p>
    <w:p>
      <w:pPr>
        <w:spacing w:after="40" w:before="0"/>
        <w:ind w:left="360"/>
      </w:pPr>
      <w:r>
        <w:rPr>
          <w:rFonts w:ascii="Calibri" w:hAnsi="Calibri"/>
          <w:sz w:val="22"/>
        </w:rPr>
        <w:t>Sale Agent Fees: $33,750</w:t>
      </w:r>
    </w:p>
    <w:p>
      <w:pPr>
        <w:spacing w:after="40" w:before="0"/>
        <w:ind w:left="360"/>
      </w:pPr>
      <w:r>
        <w:rPr>
          <w:rFonts w:ascii="Calibri" w:hAnsi="Calibri"/>
          <w:sz w:val="22"/>
        </w:rPr>
        <w:t>Sale Legal Fees: $3,000</w:t>
      </w:r>
    </w:p>
    <w:p>
      <w:pPr>
        <w:spacing w:after="40" w:before="0"/>
        <w:ind w:left="360"/>
      </w:pPr>
      <w:r>
        <w:rPr>
          <w:rFonts w:ascii="Calibri" w:hAnsi="Calibri"/>
          <w:sz w:val="22"/>
        </w:rPr>
        <w:t>Total Cost Base: $837,050</w:t>
      </w:r>
    </w:p>
    <w:p>
      <w:pPr>
        <w:spacing w:after="40" w:before="0"/>
        <w:ind w:left="360"/>
      </w:pPr>
      <w:r>
        <w:rPr>
          <w:rFonts w:ascii="Calibri" w:hAnsi="Calibri"/>
          <w:sz w:val="22"/>
        </w:rPr>
        <w:t>Capital Gain = $1,350,000 - $837,050 = $512,950</w:t>
      </w:r>
    </w:p>
    <w:p>
      <w:pPr>
        <w:spacing w:after="40" w:before="0"/>
        <w:ind w:left="360"/>
      </w:pPr>
      <w:r>
        <w:rPr>
          <w:rFonts w:ascii="Calibri" w:hAnsi="Calibri"/>
          <w:b/>
          <w:color w:val="003366"/>
          <w:sz w:val="22"/>
        </w:rPr>
        <w:t>Step 4: Apply Main Residence Exemption (Six-Year Rule)</w:t>
      </w:r>
    </w:p>
    <w:p>
      <w:pPr>
        <w:spacing w:after="40" w:before="0"/>
        <w:ind w:left="360"/>
      </w:pPr>
      <w:r>
        <w:rPr>
          <w:rFonts w:ascii="Calibri" w:hAnsi="Calibri"/>
          <w:sz w:val="22"/>
        </w:rPr>
        <w:t>Under s118.145, property continues to be treated as main residence</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s118.145: Six-year absence rule applies</w:t>
      </w:r>
    </w:p>
    <w:p>
      <w:r>
        <w:rPr>
          <w:rFonts w:ascii="Calibri" w:hAnsi="Calibri"/>
          <w:sz w:val="22"/>
        </w:rPr>
        <w:t>Property treated as main residence during absence</w:t>
      </w:r>
    </w:p>
    <w:p>
      <w:r>
        <w:rPr>
          <w:rFonts w:ascii="Calibri" w:hAnsi="Calibri"/>
          <w:sz w:val="22"/>
        </w:rPr>
        <w:t>Rental period (5.67 years) &lt; 6 years</w:t>
      </w:r>
    </w:p>
    <w:p>
      <w:r>
        <w:rPr>
          <w:rFonts w:ascii="Calibri" w:hAnsi="Calibri"/>
          <w:sz w:val="22"/>
        </w:rPr>
        <w:t>No other property claimed as main residence during this period</w:t>
      </w:r>
    </w:p>
    <w:p>
      <w:pPr>
        <w:spacing w:before="120" w:after="120"/>
      </w:pPr>
      <w:r>
        <w:rPr>
          <w:color w:val="B4B4B4"/>
          <w:sz w:val="12"/>
        </w:rPr>
        <w:t>────────────────────────────────────────────────────────────────────────────────────────────────────</w:t>
      </w:r>
    </w:p>
    <w:p>
      <w:pPr>
        <w:pStyle w:val="Heading1"/>
      </w:pPr>
      <w:r>
        <w:t>Scenario 8: Six-Year Rule Exceeded (Variant B)</w:t>
      </w:r>
    </w:p>
    <w:p>
      <w:pPr>
        <w:pStyle w:val="Heading2"/>
      </w:pPr>
      <w:r>
        <w:t>Description</w:t>
      </w:r>
    </w:p>
    <w:p>
      <w:r>
        <w:rPr>
          <w:rFonts w:ascii="Calibri" w:hAnsi="Calibri"/>
          <w:sz w:val="22"/>
        </w:rPr>
        <w:t>Thomas purchases a home, lives in it for 4 years, then moves to Singapore for work and rents it out. He sells the property after 8.67 years of renting. Since the rental period exceeds 6 years, only the first 6 years of rental are covered by the main residence exemption. The remaining 2.67 years are subject to CGT.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42 Harbour View Road, McMahons Point NSW 2060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January 2012</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In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January 2012</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January 2016</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Start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January 2016</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September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$890,000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Market Value at First Rental</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$1,050,000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$2,150,000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 Days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4,627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Rental Period</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3,166 days (8.67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Jan 2012</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$890,000 + $35,600 stamp duty + $4,200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Jan 2012</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Jun 2014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Renovation: $55,000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Jan 2016</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Relocated to Singapore for work</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Jan 2016</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moves in. Market value: $1,050,000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Sep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$2,150,000 (agent fees: $53,750, legal fees: $4,500)</w:t>
            </w:r>
          </w:p>
        </w:tc>
      </w:tr>
    </w:tbl>
    <w:p/>
    <w:p>
      <w:pPr>
        <w:pStyle w:val="Heading2"/>
      </w:pPr>
      <w:r>
        <w:t>CGT Calculation</w:t>
      </w:r>
    </w:p>
    <w:p>
      <w:pPr>
        <w:spacing w:after="40" w:before="0"/>
        <w:ind w:left="360"/>
      </w:pPr>
      <w:r>
        <w:rPr>
          <w:rFonts w:ascii="Calibri" w:hAnsi="Calibri"/>
          <w:b/>
          <w:color w:val="003366"/>
          <w:sz w:val="22"/>
        </w:rPr>
        <w:t>Step 1: Apply First Use to Produce Income Rule (s118.192)</w:t>
      </w:r>
    </w:p>
    <w:p>
      <w:pPr>
        <w:spacing w:after="40" w:before="0"/>
        <w:ind w:left="360"/>
      </w:pPr>
      <w:r>
        <w:rPr>
          <w:rFonts w:ascii="Calibri" w:hAnsi="Calibri"/>
          <w:sz w:val="22"/>
        </w:rPr>
        <w:t>Since property was main residence then rented:</w:t>
      </w:r>
    </w:p>
    <w:p>
      <w:pPr>
        <w:spacing w:after="40" w:before="0"/>
        <w:ind w:left="360"/>
      </w:pPr>
      <w:r>
        <w:rPr>
          <w:rFonts w:ascii="Calibri" w:hAnsi="Calibri"/>
          <w:sz w:val="22"/>
        </w:rPr>
        <w:t>Deemed acquisition date: 1 January 2016</w:t>
      </w:r>
    </w:p>
    <w:p>
      <w:pPr>
        <w:spacing w:after="40" w:before="0"/>
        <w:ind w:left="360"/>
      </w:pPr>
      <w:r>
        <w:rPr>
          <w:rFonts w:ascii="Calibri" w:hAnsi="Calibri"/>
          <w:sz w:val="22"/>
        </w:rPr>
        <w:t>Deemed cost base: $1,050,000 (market value at first rental)</w:t>
      </w:r>
    </w:p>
    <w:p>
      <w:pPr>
        <w:spacing w:after="40" w:before="0"/>
        <w:ind w:left="360"/>
      </w:pPr>
      <w:r>
        <w:rPr>
          <w:rFonts w:ascii="Calibri" w:hAnsi="Calibri"/>
          <w:b/>
          <w:color w:val="003366"/>
          <w:sz w:val="22"/>
        </w:rPr>
        <w:t>Step 2: Calculate Rental Period</w:t>
      </w:r>
    </w:p>
    <w:p>
      <w:pPr>
        <w:spacing w:after="40" w:before="0"/>
        <w:ind w:left="360"/>
      </w:pPr>
      <w:r>
        <w:rPr>
          <w:rFonts w:ascii="Calibri" w:hAnsi="Calibri"/>
          <w:sz w:val="22"/>
        </w:rPr>
        <w:t>Rent Start: 1 January 2016</w:t>
      </w:r>
    </w:p>
    <w:p>
      <w:pPr>
        <w:spacing w:after="40" w:before="0"/>
        <w:ind w:left="360"/>
      </w:pPr>
      <w:r>
        <w:rPr>
          <w:rFonts w:ascii="Calibri" w:hAnsi="Calibri"/>
          <w:sz w:val="22"/>
        </w:rPr>
        <w:t>Sale Date: 1 September 2024</w:t>
      </w:r>
    </w:p>
    <w:p>
      <w:pPr>
        <w:spacing w:after="40" w:before="0"/>
        <w:ind w:left="360"/>
      </w:pPr>
      <w:r>
        <w:rPr>
          <w:rFonts w:ascii="Calibri" w:hAnsi="Calibri"/>
          <w:sz w:val="22"/>
        </w:rPr>
        <w:t>Total Rental Period = 3,166 days = 8.67 years</w:t>
      </w:r>
    </w:p>
    <w:p>
      <w:pPr>
        <w:spacing w:after="40" w:before="0"/>
        <w:ind w:left="360"/>
      </w:pPr>
      <w:r>
        <w:rPr>
          <w:rFonts w:ascii="Calibri" w:hAnsi="Calibri"/>
          <w:sz w:val="22"/>
        </w:rPr>
        <w:t>Rental period EXCEEDS 6 years by 2.67 years (975 days)</w:t>
      </w:r>
    </w:p>
    <w:p>
      <w:pPr>
        <w:spacing w:after="40" w:before="0"/>
        <w:ind w:left="360"/>
      </w:pPr>
      <w:r>
        <w:rPr>
          <w:rFonts w:ascii="Calibri" w:hAnsi="Calibri"/>
          <w:b/>
          <w:color w:val="003366"/>
          <w:sz w:val="22"/>
        </w:rPr>
        <w:t>Step 3: Calculate Ownership Period (from deemed acquisition)</w:t>
      </w:r>
    </w:p>
    <w:p>
      <w:pPr>
        <w:spacing w:after="40" w:before="0"/>
        <w:ind w:left="360"/>
      </w:pPr>
      <w:r>
        <w:rPr>
          <w:rFonts w:ascii="Calibri" w:hAnsi="Calibri"/>
          <w:sz w:val="22"/>
        </w:rPr>
        <w:t>Deemed Acquisition: 1 January 2016</w:t>
      </w:r>
    </w:p>
    <w:p>
      <w:pPr>
        <w:spacing w:after="40" w:before="0"/>
        <w:ind w:left="360"/>
      </w:pPr>
      <w:r>
        <w:rPr>
          <w:rFonts w:ascii="Calibri" w:hAnsi="Calibri"/>
          <w:sz w:val="22"/>
        </w:rPr>
        <w:t>Sale Date: 1 September 2024</w:t>
      </w:r>
    </w:p>
    <w:p>
      <w:pPr>
        <w:spacing w:after="40" w:before="0"/>
        <w:ind w:left="360"/>
      </w:pPr>
      <w:r>
        <w:rPr>
          <w:rFonts w:ascii="Calibri" w:hAnsi="Calibri"/>
          <w:sz w:val="22"/>
        </w:rPr>
        <w:t>Total Ownership = 3,166 days</w:t>
      </w:r>
    </w:p>
    <w:p>
      <w:pPr>
        <w:spacing w:after="40" w:before="0"/>
        <w:ind w:left="360"/>
      </w:pPr>
      <w:r>
        <w:rPr>
          <w:rFonts w:ascii="Calibri" w:hAnsi="Calibri"/>
          <w:b/>
          <w:color w:val="003366"/>
          <w:sz w:val="22"/>
        </w:rPr>
        <w:t>Step 4: Calculate Non-Main-Residence Days</w:t>
      </w:r>
    </w:p>
    <w:p>
      <w:pPr>
        <w:spacing w:after="40" w:before="0"/>
        <w:ind w:left="360"/>
      </w:pPr>
      <w:r>
        <w:rPr>
          <w:rFonts w:ascii="Calibri" w:hAnsi="Calibri"/>
          <w:sz w:val="22"/>
        </w:rPr>
        <w:t>Total rental days: 3,166</w:t>
      </w:r>
    </w:p>
    <w:p>
      <w:pPr>
        <w:spacing w:after="40" w:before="0"/>
        <w:ind w:left="360"/>
      </w:pPr>
      <w:r>
        <w:rPr>
          <w:rFonts w:ascii="Calibri" w:hAnsi="Calibri"/>
          <w:sz w:val="22"/>
        </w:rPr>
        <w:t>Six-year exemption: 2,192 days (6 years)</w:t>
      </w:r>
    </w:p>
    <w:p>
      <w:pPr>
        <w:spacing w:after="40" w:before="0"/>
        <w:ind w:left="360"/>
      </w:pPr>
      <w:r>
        <w:rPr>
          <w:rFonts w:ascii="Calibri" w:hAnsi="Calibri"/>
          <w:sz w:val="22"/>
        </w:rPr>
        <w:t>Non-main-residence days: 974 days</w:t>
      </w:r>
    </w:p>
    <w:p>
      <w:pPr>
        <w:spacing w:after="40" w:before="0"/>
        <w:ind w:left="360"/>
      </w:pPr>
      <w:r>
        <w:rPr>
          <w:rFonts w:ascii="Calibri" w:hAnsi="Calibri"/>
          <w:b/>
          <w:color w:val="003366"/>
          <w:sz w:val="22"/>
        </w:rPr>
        <w:t>Step 5: Calculate Capital Gain</w:t>
      </w:r>
    </w:p>
    <w:p>
      <w:pPr>
        <w:spacing w:after="40" w:before="0"/>
        <w:ind w:left="360"/>
      </w:pPr>
      <w:r>
        <w:rPr>
          <w:rFonts w:ascii="Calibri" w:hAnsi="Calibri"/>
          <w:sz w:val="22"/>
        </w:rPr>
        <w:t>Sale Price: $2,150,000</w:t>
      </w:r>
    </w:p>
    <w:p>
      <w:pPr>
        <w:spacing w:after="40" w:before="0"/>
        <w:ind w:left="360"/>
      </w:pPr>
      <w:r>
        <w:rPr>
          <w:rFonts w:ascii="Calibri" w:hAnsi="Calibri"/>
          <w:b/>
          <w:sz w:val="22"/>
        </w:rPr>
        <w:t>Cost Base (from deemed acquisition):</w:t>
      </w:r>
    </w:p>
    <w:p>
      <w:pPr>
        <w:spacing w:after="40" w:before="0"/>
        <w:ind w:left="360"/>
      </w:pPr>
      <w:r>
        <w:rPr>
          <w:rFonts w:ascii="Calibri" w:hAnsi="Calibri"/>
          <w:sz w:val="22"/>
        </w:rPr>
        <w:t>Deemed Acquisition Value: $1,050,000</w:t>
      </w:r>
    </w:p>
    <w:p>
      <w:pPr>
        <w:spacing w:after="40" w:before="0"/>
        <w:ind w:left="360"/>
      </w:pPr>
      <w:r>
        <w:rPr>
          <w:rFonts w:ascii="Calibri" w:hAnsi="Calibri"/>
          <w:sz w:val="22"/>
        </w:rPr>
        <w:t>Sale Agent Fees: $53,750</w:t>
      </w:r>
    </w:p>
    <w:p>
      <w:pPr>
        <w:spacing w:after="40" w:before="0"/>
        <w:ind w:left="360"/>
      </w:pPr>
      <w:r>
        <w:rPr>
          <w:rFonts w:ascii="Calibri" w:hAnsi="Calibri"/>
          <w:sz w:val="22"/>
        </w:rPr>
        <w:t>Sale Legal Fees: $4,500</w:t>
      </w:r>
    </w:p>
    <w:p>
      <w:pPr>
        <w:spacing w:after="40" w:before="0"/>
        <w:ind w:left="360"/>
      </w:pPr>
      <w:r>
        <w:rPr>
          <w:rFonts w:ascii="Calibri" w:hAnsi="Calibri"/>
          <w:sz w:val="22"/>
        </w:rPr>
        <w:t>Total Cost Base: $1,108,250</w:t>
      </w:r>
    </w:p>
    <w:p>
      <w:pPr>
        <w:spacing w:after="40" w:before="0"/>
        <w:ind w:left="360"/>
      </w:pPr>
      <w:r>
        <w:rPr>
          <w:rFonts w:ascii="Calibri" w:hAnsi="Calibri"/>
          <w:sz w:val="22"/>
        </w:rPr>
        <w:t>Capital Gain = $2,150,000 - $1,108,250 = $1,041,750</w:t>
      </w:r>
    </w:p>
    <w:p>
      <w:pPr>
        <w:spacing w:after="40" w:before="0"/>
        <w:ind w:left="360"/>
      </w:pPr>
      <w:r>
        <w:rPr>
          <w:rFonts w:ascii="Calibri" w:hAnsi="Calibri"/>
          <w:b/>
          <w:color w:val="003366"/>
          <w:sz w:val="22"/>
        </w:rPr>
        <w:t>Step 6: Apply Partial Main Residence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974 / 3,166 = 30.77%</w:t>
      </w:r>
    </w:p>
    <w:p>
      <w:pPr>
        <w:spacing w:after="40" w:before="0"/>
        <w:ind w:left="360"/>
      </w:pPr>
      <w:r>
        <w:rPr>
          <w:rFonts w:ascii="Calibri" w:hAnsi="Calibri"/>
          <w:sz w:val="22"/>
        </w:rPr>
        <w:t>Taxable Capital Gain = $1,041,750 x 30.77% = $320,546</w:t>
      </w:r>
    </w:p>
    <w:p>
      <w:pPr>
        <w:spacing w:after="40" w:before="0"/>
        <w:ind w:left="360"/>
      </w:pPr>
      <w:r>
        <w:rPr>
          <w:rFonts w:ascii="Calibri" w:hAnsi="Calibri"/>
          <w:b/>
          <w:color w:val="003366"/>
          <w:sz w:val="22"/>
        </w:rPr>
        <w:t>Step 7: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$320,546 x 50% = $160,273</w:t>
      </w:r>
    </w:p>
    <w:p>
      <w:pPr>
        <w:spacing w:after="40" w:before="0"/>
        <w:ind w:left="360"/>
      </w:pPr>
      <w:r>
        <w:rPr>
          <w:rFonts w:ascii="Calibri" w:hAnsi="Calibri"/>
          <w:b/>
          <w:color w:val="006400"/>
          <w:sz w:val="22"/>
        </w:rPr>
        <w:t>RESULT: NET CAPITAL GAIN = $160,273</w:t>
      </w:r>
    </w:p>
    <w:p>
      <w:pPr>
        <w:pStyle w:val="Heading2"/>
      </w:pPr>
      <w:r>
        <w:t>Applicable Rules</w:t>
      </w:r>
    </w:p>
    <w:p>
      <w:r>
        <w:rPr>
          <w:rFonts w:ascii="Calibri" w:hAnsi="Calibri"/>
          <w:sz w:val="22"/>
        </w:rPr>
        <w:t>ITAA97 s118.192: First use to produce income rule (deemed acquisition at market value)</w:t>
      </w:r>
    </w:p>
    <w:p>
      <w:r>
        <w:rPr>
          <w:rFonts w:ascii="Calibri" w:hAnsi="Calibri"/>
          <w:sz w:val="22"/>
        </w:rPr>
        <w:t>ITAA97 s118.145: Six-year absence rule (partial - exceeded 6 years)</w:t>
      </w:r>
    </w:p>
    <w:p>
      <w:r>
        <w:rPr>
          <w:rFonts w:ascii="Calibri" w:hAnsi="Calibri"/>
          <w:sz w:val="22"/>
        </w:rPr>
        <w:t>ITAA97 s115.25: 50% CGT discount applies (held &gt; 12 months)</w:t>
      </w:r>
    </w:p>
    <w:p>
      <w:pPr>
        <w:spacing w:before="120" w:after="120"/>
      </w:pPr>
      <w:r>
        <w:rPr>
          <w:color w:val="B4B4B4"/>
          <w:sz w:val="12"/>
        </w:rPr>
        <w:t>────────────────────────────────────────────────────────────────────────────────────────────────────</w:t>
      </w:r>
    </w:p>
    <w:p>
      <w:pPr>
        <w:pStyle w:val="Heading1"/>
      </w:pPr>
      <w:r>
        <w:t>Scenario 9: Rental First (Variant B)</w:t>
      </w:r>
    </w:p>
    <w:p>
      <w:pPr>
        <w:pStyle w:val="Heading2"/>
      </w:pPr>
      <w:r>
        <w:t>Description</w:t>
      </w:r>
    </w:p>
    <w:p>
      <w:r>
        <w:rPr>
          <w:rFonts w:ascii="Calibri" w:hAnsi="Calibri"/>
          <w:sz w:val="22"/>
        </w:rPr>
        <w:t>Nathan purchases an investment property and rents it out immediately. After 4 years, he decides to move in and make it his main residence. He lives there for 6.5 years before selling. Because the property was rented before becoming a main residence, the six-year absence rule does NOT apply. Only the period as main residence is exempt.</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127 Exhibition Street, Melbourne VIC 3000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April 2014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$485,000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Period</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April 2014 to 15 May 2018 (1,505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In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May 2018</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October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$875,000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3,836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Non-Main-Residence Days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1,505 days (rental period)</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Apr 2014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$485,000 + $19,400 stamp duty + $2,900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Apr 2014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Rented as investment property</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May 2018</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End</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vacates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May 2018</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Owner moves in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Aug 2021</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Renovation: $28,000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Oct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$875,000 (agent fees: $21,875, legal fees: $2,600)</w:t>
            </w:r>
          </w:p>
        </w:tc>
      </w:tr>
    </w:tbl>
    <w:p/>
    <w:p>
      <w:pPr>
        <w:pStyle w:val="Heading2"/>
      </w:pPr>
      <w:r>
        <w:t>CGT Calculation</w:t>
      </w:r>
    </w:p>
    <w:p>
      <w:pPr>
        <w:spacing w:after="40" w:before="0"/>
        <w:ind w:left="360"/>
      </w:pPr>
      <w:r>
        <w:rPr>
          <w:rFonts w:ascii="Calibri" w:hAnsi="Calibri"/>
          <w:b/>
          <w:color w:val="003366"/>
          <w:sz w:val="22"/>
        </w:rPr>
        <w:t>Step 1: Verify Six-Year Rule Eligibility</w:t>
      </w:r>
    </w:p>
    <w:p>
      <w:pPr>
        <w:spacing w:after="40" w:before="0"/>
        <w:ind w:left="360"/>
      </w:pPr>
      <w:r>
        <w:rPr>
          <w:rFonts w:ascii="Calibri" w:hAnsi="Calibri"/>
          <w:sz w:val="22"/>
        </w:rPr>
        <w:t>Property was rented BEFORE being used as main residence</w:t>
      </w:r>
    </w:p>
    <w:p>
      <w:pPr>
        <w:spacing w:after="40" w:before="0"/>
        <w:ind w:left="360"/>
      </w:pPr>
      <w:r>
        <w:rPr>
          <w:rFonts w:ascii="Calibri" w:hAnsi="Calibri"/>
          <w:sz w:val="22"/>
        </w:rPr>
        <w:t>Six-year rule does NOT apply (only applies when main residence first)</w:t>
      </w:r>
    </w:p>
    <w:p>
      <w:pPr>
        <w:spacing w:after="40" w:before="0"/>
        <w:ind w:left="360"/>
      </w:pPr>
      <w:r>
        <w:rPr>
          <w:rFonts w:ascii="Calibri" w:hAnsi="Calibri"/>
          <w:b/>
          <w:color w:val="003366"/>
          <w:sz w:val="22"/>
        </w:rPr>
        <w:t>Step 2: Calculate Ownership Periods</w:t>
      </w:r>
    </w:p>
    <w:p>
      <w:pPr>
        <w:spacing w:after="40" w:before="0"/>
        <w:ind w:left="360"/>
      </w:pPr>
      <w:r>
        <w:rPr>
          <w:rFonts w:ascii="Calibri" w:hAnsi="Calibri"/>
          <w:sz w:val="22"/>
        </w:rPr>
        <w:t>Total Ownership: 1 Apr 2014 to 1 Oct 2024 = 3,836 days</w:t>
      </w:r>
    </w:p>
    <w:p>
      <w:pPr>
        <w:spacing w:after="40" w:before="0"/>
        <w:ind w:left="360"/>
      </w:pPr>
      <w:r>
        <w:rPr>
          <w:rFonts w:ascii="Calibri" w:hAnsi="Calibri"/>
          <w:sz w:val="22"/>
        </w:rPr>
        <w:t>Rental Period (Non-MR): 1 Apr 2014 to 15 May 2018 = 1,505 days</w:t>
      </w:r>
    </w:p>
    <w:p>
      <w:pPr>
        <w:spacing w:after="40" w:before="0"/>
        <w:ind w:left="360"/>
      </w:pPr>
      <w:r>
        <w:rPr>
          <w:rFonts w:ascii="Calibri" w:hAnsi="Calibri"/>
          <w:sz w:val="22"/>
        </w:rPr>
        <w:t>Main Residence Period: 15 May 2018 to 1 Oct 2024 = 2,331 days</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Sale Price: $875,000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$485,000</w:t>
      </w:r>
    </w:p>
    <w:p>
      <w:pPr>
        <w:spacing w:after="40" w:before="0"/>
        <w:ind w:left="360"/>
      </w:pPr>
      <w:r>
        <w:rPr>
          <w:rFonts w:ascii="Calibri" w:hAnsi="Calibri"/>
          <w:sz w:val="22"/>
        </w:rPr>
        <w:t>Stamp Duty: $19,400</w:t>
      </w:r>
    </w:p>
    <w:p>
      <w:pPr>
        <w:spacing w:after="40" w:before="0"/>
        <w:ind w:left="360"/>
      </w:pPr>
      <w:r>
        <w:rPr>
          <w:rFonts w:ascii="Calibri" w:hAnsi="Calibri"/>
          <w:sz w:val="22"/>
        </w:rPr>
        <w:t>Purchase Legal Fees: $2,900</w:t>
      </w:r>
    </w:p>
    <w:p>
      <w:pPr>
        <w:spacing w:after="40" w:before="0"/>
        <w:ind w:left="360"/>
      </w:pPr>
      <w:r>
        <w:rPr>
          <w:rFonts w:ascii="Calibri" w:hAnsi="Calibri"/>
          <w:sz w:val="22"/>
        </w:rPr>
        <w:t>Renovation: $28,000</w:t>
      </w:r>
    </w:p>
    <w:p>
      <w:pPr>
        <w:spacing w:after="40" w:before="0"/>
        <w:ind w:left="360"/>
      </w:pPr>
      <w:r>
        <w:rPr>
          <w:rFonts w:ascii="Calibri" w:hAnsi="Calibri"/>
          <w:sz w:val="22"/>
        </w:rPr>
        <w:t>Sale Agent Fees: $21,875</w:t>
      </w:r>
    </w:p>
    <w:p>
      <w:pPr>
        <w:spacing w:after="40" w:before="0"/>
        <w:ind w:left="360"/>
      </w:pPr>
      <w:r>
        <w:rPr>
          <w:rFonts w:ascii="Calibri" w:hAnsi="Calibri"/>
          <w:sz w:val="22"/>
        </w:rPr>
        <w:t>Sale Legal Fees: $2,600</w:t>
      </w:r>
    </w:p>
    <w:p>
      <w:pPr>
        <w:spacing w:after="40" w:before="0"/>
        <w:ind w:left="360"/>
      </w:pPr>
      <w:r>
        <w:rPr>
          <w:rFonts w:ascii="Calibri" w:hAnsi="Calibri"/>
          <w:sz w:val="22"/>
        </w:rPr>
        <w:t>Total Cost Base: $559,775</w:t>
      </w:r>
    </w:p>
    <w:p>
      <w:pPr>
        <w:spacing w:after="40" w:before="0"/>
        <w:ind w:left="360"/>
      </w:pPr>
      <w:r>
        <w:rPr>
          <w:rFonts w:ascii="Calibri" w:hAnsi="Calibri"/>
          <w:sz w:val="22"/>
        </w:rPr>
        <w:t>Capital Gain = $875,000 - $559,775 = $315,225</w:t>
      </w:r>
    </w:p>
    <w:p>
      <w:pPr>
        <w:spacing w:after="40" w:before="0"/>
        <w:ind w:left="360"/>
      </w:pPr>
      <w:r>
        <w:rPr>
          <w:rFonts w:ascii="Calibri" w:hAnsi="Calibri"/>
          <w:b/>
          <w:color w:val="003366"/>
          <w:sz w:val="22"/>
        </w:rPr>
        <w:t>Step 4: Apply Partial Main Residence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1,505 / 3,836 = 39.23%</w:t>
      </w:r>
    </w:p>
    <w:p>
      <w:pPr>
        <w:spacing w:after="40" w:before="0"/>
        <w:ind w:left="360"/>
      </w:pPr>
      <w:r>
        <w:rPr>
          <w:rFonts w:ascii="Calibri" w:hAnsi="Calibri"/>
          <w:sz w:val="22"/>
        </w:rPr>
        <w:t>Exempt Proportion = 2,331 / 3,836 = 60.77%</w:t>
      </w:r>
    </w:p>
    <w:p>
      <w:pPr>
        <w:spacing w:after="40" w:before="0"/>
        <w:ind w:left="360"/>
      </w:pPr>
      <w:r>
        <w:rPr>
          <w:rFonts w:ascii="Calibri" w:hAnsi="Calibri"/>
          <w:sz w:val="22"/>
        </w:rPr>
        <w:t>Exempt Amount = $315,225 x 60.77% = $191,539</w:t>
      </w:r>
    </w:p>
    <w:p>
      <w:pPr>
        <w:spacing w:after="40" w:before="0"/>
        <w:ind w:left="360"/>
      </w:pPr>
      <w:r>
        <w:rPr>
          <w:rFonts w:ascii="Calibri" w:hAnsi="Calibri"/>
          <w:sz w:val="22"/>
        </w:rPr>
        <w:t>Taxable Capital Gain = $315,225 x 39.23% = $123,686</w:t>
      </w:r>
    </w:p>
    <w:p>
      <w:pPr>
        <w:spacing w:after="40" w:before="0"/>
        <w:ind w:left="360"/>
      </w:pPr>
      <w:r>
        <w:rPr>
          <w:rFonts w:ascii="Calibri" w:hAnsi="Calibri"/>
          <w:b/>
          <w:color w:val="003366"/>
          <w:sz w:val="22"/>
        </w:rPr>
        <w:t>Step 5: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$123,686 x 50% = $61,843</w:t>
      </w:r>
    </w:p>
    <w:p>
      <w:pPr>
        <w:spacing w:after="40" w:before="0"/>
        <w:ind w:left="360"/>
      </w:pPr>
      <w:r>
        <w:rPr>
          <w:rFonts w:ascii="Calibri" w:hAnsi="Calibri"/>
          <w:b/>
          <w:color w:val="006400"/>
          <w:sz w:val="22"/>
        </w:rPr>
        <w:t>RESULT: NET CAPITAL GAIN = $61,843</w:t>
      </w:r>
    </w:p>
    <w:p>
      <w:pPr>
        <w:pStyle w:val="Heading2"/>
      </w:pPr>
      <w:r>
        <w:t>Applicable Rules</w:t>
      </w:r>
    </w:p>
    <w:p>
      <w:r>
        <w:rPr>
          <w:rFonts w:ascii="Calibri" w:hAnsi="Calibri"/>
          <w:sz w:val="22"/>
        </w:rPr>
        <w:t>ITAA97 s118.185: Partial main residence exemption</w:t>
      </w:r>
    </w:p>
    <w:p>
      <w:r>
        <w:rPr>
          <w:rFonts w:ascii="Calibri" w:hAnsi="Calibri"/>
          <w:sz w:val="22"/>
        </w:rPr>
        <w:t>Six-year rule NOT applicable: Property was investment first, then main residence</w:t>
      </w:r>
    </w:p>
    <w:p>
      <w:r>
        <w:rPr>
          <w:rFonts w:ascii="Calibri" w:hAnsi="Calibri"/>
          <w:sz w:val="22"/>
        </w:rPr>
        <w:t>ITAA97 s115.25: 50% CGT discount applies</w:t>
      </w:r>
    </w:p>
    <w:p>
      <w:pPr>
        <w:spacing w:before="120" w:after="120"/>
      </w:pPr>
      <w:r>
        <w:rPr>
          <w:color w:val="B4B4B4"/>
          <w:sz w:val="12"/>
        </w:rPr>
        <w:t>────────────────────────────────────────────────────────────────────────────────────────────────────</w:t>
      </w:r>
    </w:p>
    <w:p>
      <w:pPr>
        <w:pStyle w:val="Heading1"/>
      </w:pPr>
      <w:r>
        <w:t>Scenario 10: Moving Between Residences (Variant B)</w:t>
      </w:r>
    </w:p>
    <w:p>
      <w:pPr>
        <w:pStyle w:val="Heading2"/>
      </w:pPr>
      <w:r>
        <w:t>Description</w:t>
      </w:r>
    </w:p>
    <w:p>
      <w:r>
        <w:rPr>
          <w:rFonts w:ascii="Calibri" w:hAnsi="Calibri"/>
          <w:sz w:val="22"/>
        </w:rPr>
        <w:t>Sarah owns her main residence (Property 1) and purchases a new home (Property 2). She moves into the new home while still owning the old one. The overlap period is 4.5 months, which is within the 6-month allowance.</w:t>
      </w:r>
    </w:p>
    <w:p>
      <w:pPr>
        <w:pStyle w:val="Heading2"/>
      </w:pPr>
      <w:r>
        <w:t>Key Facts</w:t>
      </w:r>
    </w:p>
    <w:p>
      <w:r>
        <w:rPr>
          <w:rFonts w:ascii="Calibri" w:hAnsi="Calibri"/>
          <w:sz w:val="22"/>
        </w:rPr>
        <w:t>Property 1: Original Home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65 Parkview Crescent, Toowong QLD 4066</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July 2010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$510,000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August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$980,000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5,159 days (14 years, 1.5 months)</w:t>
            </w:r>
          </w:p>
        </w:tc>
      </w:tr>
    </w:tbl>
    <w:p/>
    <w:p>
      <w:r>
        <w:rPr>
          <w:rFonts w:ascii="Calibri" w:hAnsi="Calibri"/>
          <w:sz w:val="22"/>
        </w:rPr>
        <w:t>Property 2: New Home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22 Ridgeline Drive, Chapel Hill QLD 4069</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April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$1,150,000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Current Status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Main Residence (not sold)</w:t>
            </w:r>
          </w:p>
        </w:tc>
      </w:tr>
    </w:tbl>
    <w:p/>
    <w:p>
      <w:r>
        <w:rPr>
          <w:rFonts w:ascii="Calibri" w:hAnsi="Calibri"/>
          <w:sz w:val="22"/>
        </w:rPr>
        <w:t>Overlap Period</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New Home Purchase (Move In)</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April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Old Home Sale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August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Overlap Duration</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137 days (4.5 months)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Within 6-Month Limit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YES</w:t>
            </w:r>
          </w:p>
        </w:tc>
      </w:tr>
    </w:tbl>
    <w:p/>
    <w:p>
      <w:pPr>
        <w:pStyle w:val="Heading2"/>
      </w:pPr>
      <w:r>
        <w:t>Timeline of Events</w:t>
      </w:r>
    </w:p>
    <w:p>
      <w:r>
        <w:rPr>
          <w:rFonts w:ascii="Calibri" w:hAnsi="Calibri"/>
          <w:sz w:val="22"/>
        </w:rPr>
        <w:t>Property 1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Jul 2010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$510,000 + $17,850 stamp duty + $2,800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Jul 2010</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Sep 2015</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Improvement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Major renovation: $85,000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Apr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Moved to new home (Property 2)</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Aug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$980,000 (agent fees: $24,500, legal fees: $2,400)</w:t>
            </w:r>
          </w:p>
        </w:tc>
      </w:tr>
    </w:tbl>
    <w:p/>
    <w:p>
      <w:r>
        <w:rPr>
          <w:rFonts w:ascii="Calibri" w:hAnsi="Calibri"/>
          <w:sz w:val="22"/>
        </w:rPr>
        <w:t>Property 2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Apr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$1,150,000 + $46,000 stamp duty + $5,200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Apr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new main residence</w:t>
            </w:r>
          </w:p>
        </w:tc>
      </w:tr>
    </w:tbl>
    <w:p/>
    <w:p>
      <w:pPr>
        <w:pStyle w:val="Heading2"/>
      </w:pPr>
      <w:r>
        <w:t>CGT Calculation - Property 1</w:t>
      </w:r>
    </w:p>
    <w:p>
      <w:pPr>
        <w:spacing w:after="40" w:before="0"/>
        <w:ind w:left="360"/>
      </w:pPr>
      <w:r>
        <w:rPr>
          <w:rFonts w:ascii="Calibri" w:hAnsi="Calibri"/>
          <w:b/>
          <w:color w:val="003366"/>
          <w:sz w:val="22"/>
        </w:rPr>
        <w:t>Step 1: Verify 6-Month Overlap Rule Eligibility (s118.140)</w:t>
      </w:r>
    </w:p>
    <w:p>
      <w:pPr>
        <w:spacing w:after="40" w:before="0"/>
        <w:ind w:left="360"/>
      </w:pPr>
      <w:r>
        <w:rPr>
          <w:rFonts w:ascii="Calibri" w:hAnsi="Calibri"/>
          <w:b/>
          <w:sz w:val="22"/>
        </w:rPr>
        <w:t>Requirements:</w:t>
      </w:r>
    </w:p>
    <w:p>
      <w:pPr>
        <w:spacing w:after="40" w:before="0"/>
        <w:ind w:left="360"/>
      </w:pPr>
      <w:r>
        <w:rPr>
          <w:rFonts w:ascii="Calibri" w:hAnsi="Calibri"/>
          <w:sz w:val="22"/>
        </w:rPr>
        <w:t>Lived in Property 1 for at least 3 months in past 12 months: YES</w:t>
      </w:r>
    </w:p>
    <w:p>
      <w:pPr>
        <w:spacing w:after="40" w:before="0"/>
        <w:ind w:left="360"/>
      </w:pPr>
      <w:r>
        <w:rPr>
          <w:rFonts w:ascii="Calibri" w:hAnsi="Calibri"/>
          <w:sz w:val="22"/>
        </w:rPr>
        <w:t>Property 1 did not produce income during overlap: YES</w:t>
      </w:r>
    </w:p>
    <w:p>
      <w:pPr>
        <w:spacing w:after="40" w:before="0"/>
        <w:ind w:left="360"/>
      </w:pPr>
      <w:r>
        <w:rPr>
          <w:rFonts w:ascii="Calibri" w:hAnsi="Calibri"/>
          <w:sz w:val="22"/>
        </w:rPr>
        <w:t>Overlap period 6 months or less: YES (137 days = 4.5 months)</w:t>
      </w:r>
    </w:p>
    <w:p>
      <w:pPr>
        <w:spacing w:after="40" w:before="0"/>
        <w:ind w:left="360"/>
      </w:pPr>
      <w:r>
        <w:rPr>
          <w:rFonts w:ascii="Calibri" w:hAnsi="Calibri"/>
          <w:b/>
          <w:color w:val="006400"/>
          <w:sz w:val="22"/>
        </w:rPr>
        <w:t>RESULT: Both properties treated as main residence during overlap</w:t>
      </w:r>
    </w:p>
    <w:p>
      <w:pPr>
        <w:spacing w:after="40" w:before="0"/>
        <w:ind w:left="360"/>
      </w:pPr>
      <w:r>
        <w:rPr>
          <w:rFonts w:ascii="Calibri" w:hAnsi="Calibri"/>
          <w:b/>
          <w:color w:val="003366"/>
          <w:sz w:val="22"/>
        </w:rPr>
        <w:t>Step 2: Calculate Main Residence Period for Property 1</w:t>
      </w:r>
    </w:p>
    <w:p>
      <w:pPr>
        <w:spacing w:after="40" w:before="0"/>
        <w:ind w:left="360"/>
      </w:pPr>
      <w:r>
        <w:rPr>
          <w:rFonts w:ascii="Calibri" w:hAnsi="Calibri"/>
          <w:sz w:val="22"/>
        </w:rPr>
        <w:t>Purchase: 1 July 2010</w:t>
      </w:r>
    </w:p>
    <w:p>
      <w:pPr>
        <w:spacing w:after="40" w:before="0"/>
        <w:ind w:left="360"/>
      </w:pPr>
      <w:r>
        <w:rPr>
          <w:rFonts w:ascii="Calibri" w:hAnsi="Calibri"/>
          <w:sz w:val="22"/>
        </w:rPr>
        <w:t>Sale: 15 August 2024</w:t>
      </w:r>
    </w:p>
    <w:p>
      <w:pPr>
        <w:spacing w:after="40" w:before="0"/>
        <w:ind w:left="360"/>
      </w:pPr>
      <w:r>
        <w:rPr>
          <w:rFonts w:ascii="Calibri" w:hAnsi="Calibri"/>
          <w:sz w:val="22"/>
        </w:rPr>
        <w:t>Total Ownership = 5,159 days</w:t>
      </w:r>
    </w:p>
    <w:p>
      <w:pPr>
        <w:spacing w:after="40" w:before="0"/>
        <w:ind w:left="360"/>
      </w:pPr>
      <w:r>
        <w:rPr>
          <w:rFonts w:ascii="Calibri" w:hAnsi="Calibri"/>
          <w:sz w:val="22"/>
        </w:rPr>
        <w:t>Property 1 treated as main residence: ENTIRE period</w:t>
      </w:r>
    </w:p>
    <w:p>
      <w:pPr>
        <w:spacing w:after="40" w:before="0"/>
        <w:ind w:left="360"/>
      </w:pPr>
      <w:r>
        <w:rPr>
          <w:rFonts w:ascii="Calibri" w:hAnsi="Calibri"/>
          <w:sz w:val="22"/>
        </w:rPr>
        <w:t>(Including overlap period under s118.140)</w:t>
      </w:r>
    </w:p>
    <w:p>
      <w:pPr>
        <w:spacing w:after="40" w:before="0"/>
        <w:ind w:left="360"/>
      </w:pPr>
      <w:r>
        <w:rPr>
          <w:rFonts w:ascii="Calibri" w:hAnsi="Calibri"/>
          <w:b/>
          <w:color w:val="003366"/>
          <w:sz w:val="22"/>
        </w:rPr>
        <w:t>Step 3: Calculate Capital Gain (for reference)</w:t>
      </w:r>
    </w:p>
    <w:p>
      <w:pPr>
        <w:spacing w:after="40" w:before="0"/>
        <w:ind w:left="360"/>
      </w:pPr>
      <w:r>
        <w:rPr>
          <w:rFonts w:ascii="Calibri" w:hAnsi="Calibri"/>
          <w:sz w:val="22"/>
        </w:rPr>
        <w:t>Sale Price: $980,000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$510,000</w:t>
      </w:r>
    </w:p>
    <w:p>
      <w:pPr>
        <w:spacing w:after="40" w:before="0"/>
        <w:ind w:left="360"/>
      </w:pPr>
      <w:r>
        <w:rPr>
          <w:rFonts w:ascii="Calibri" w:hAnsi="Calibri"/>
          <w:sz w:val="22"/>
        </w:rPr>
        <w:t>Stamp Duty: $17,850</w:t>
      </w:r>
    </w:p>
    <w:p>
      <w:pPr>
        <w:spacing w:after="40" w:before="0"/>
        <w:ind w:left="360"/>
      </w:pPr>
      <w:r>
        <w:rPr>
          <w:rFonts w:ascii="Calibri" w:hAnsi="Calibri"/>
          <w:sz w:val="22"/>
        </w:rPr>
        <w:t>Purchase Legal Fees: $2,800</w:t>
      </w:r>
    </w:p>
    <w:p>
      <w:pPr>
        <w:spacing w:after="40" w:before="0"/>
        <w:ind w:left="360"/>
      </w:pPr>
      <w:r>
        <w:rPr>
          <w:rFonts w:ascii="Calibri" w:hAnsi="Calibri"/>
          <w:sz w:val="22"/>
        </w:rPr>
        <w:t>Major Renovation: $85,000</w:t>
      </w:r>
    </w:p>
    <w:p>
      <w:pPr>
        <w:spacing w:after="40" w:before="0"/>
        <w:ind w:left="360"/>
      </w:pPr>
      <w:r>
        <w:rPr>
          <w:rFonts w:ascii="Calibri" w:hAnsi="Calibri"/>
          <w:sz w:val="22"/>
        </w:rPr>
        <w:t>Sale Agent Fees: $24,500</w:t>
      </w:r>
    </w:p>
    <w:p>
      <w:pPr>
        <w:spacing w:after="40" w:before="0"/>
        <w:ind w:left="360"/>
      </w:pPr>
      <w:r>
        <w:rPr>
          <w:rFonts w:ascii="Calibri" w:hAnsi="Calibri"/>
          <w:sz w:val="22"/>
        </w:rPr>
        <w:t>Sale Legal Fees: $2,400</w:t>
      </w:r>
    </w:p>
    <w:p>
      <w:pPr>
        <w:spacing w:after="40" w:before="0"/>
        <w:ind w:left="360"/>
      </w:pPr>
      <w:r>
        <w:rPr>
          <w:rFonts w:ascii="Calibri" w:hAnsi="Calibri"/>
          <w:sz w:val="22"/>
        </w:rPr>
        <w:t>Total Cost Base: $642,550</w:t>
      </w:r>
    </w:p>
    <w:p>
      <w:pPr>
        <w:spacing w:after="40" w:before="0"/>
        <w:ind w:left="360"/>
      </w:pPr>
      <w:r>
        <w:rPr>
          <w:rFonts w:ascii="Calibri" w:hAnsi="Calibri"/>
          <w:sz w:val="22"/>
        </w:rPr>
        <w:t>Capital Gain = $980,000 - $642,550 = $337,450</w:t>
      </w:r>
    </w:p>
    <w:p>
      <w:pPr>
        <w:spacing w:after="40" w:before="0"/>
        <w:ind w:left="360"/>
      </w:pPr>
      <w:r>
        <w:rPr>
          <w:rFonts w:ascii="Calibri" w:hAnsi="Calibri"/>
          <w:b/>
          <w:color w:val="003366"/>
          <w:sz w:val="22"/>
        </w:rPr>
        <w:t>Step 4: Apply Main Residence Exemption</w:t>
      </w:r>
    </w:p>
    <w:p>
      <w:pPr>
        <w:spacing w:after="40" w:before="0"/>
        <w:ind w:left="360"/>
      </w:pPr>
      <w:r>
        <w:rPr>
          <w:rFonts w:ascii="Calibri" w:hAnsi="Calibri"/>
          <w:sz w:val="22"/>
        </w:rPr>
        <w:t>Under s118.140, both homes treated as main residence for overlap</w:t>
      </w:r>
    </w:p>
    <w:p>
      <w:pPr>
        <w:spacing w:after="40" w:before="0"/>
        <w:ind w:left="360"/>
      </w:pPr>
      <w:r>
        <w:rPr>
          <w:rFonts w:ascii="Calibri" w:hAnsi="Calibri"/>
          <w:sz w:val="22"/>
        </w:rPr>
        <w:t>Property 1 was main residence for entire ownership</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5: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s118.140: Moving between main residences (6-month overlap rule)</w:t>
      </w:r>
    </w:p>
    <w:p>
      <w:r>
        <w:rPr>
          <w:rFonts w:ascii="Calibri" w:hAnsi="Calibri"/>
          <w:sz w:val="22"/>
        </w:rPr>
        <w:t>Both properties can be main residence for up to 6 months during transition</w:t>
      </w:r>
    </w:p>
    <w:p>
      <w:r>
        <w:rPr>
          <w:rFonts w:ascii="Calibri" w:hAnsi="Calibri"/>
          <w:sz w:val="22"/>
        </w:rPr>
        <w:t>Overlap of 4.5 months is within allowable period</w:t>
      </w:r>
    </w:p>
    <w:p>
      <w:pPr>
        <w:spacing w:before="120" w:after="120"/>
      </w:pPr>
      <w:r>
        <w:rPr>
          <w:color w:val="B4B4B4"/>
          <w:sz w:val="12"/>
        </w:rPr>
        <w:t>────────────────────────────────────────────────────────────────────────────────────────────────────</w:t>
      </w:r>
    </w:p>
    <w:p>
      <w:pPr>
        <w:pStyle w:val="Heading1"/>
      </w:pPr>
      <w:r>
        <w:t>Scenario 11: Multiple Absence Periods</w:t>
      </w:r>
    </w:p>
    <w:p>
      <w:pPr>
        <w:pStyle w:val="Heading2"/>
      </w:pPr>
      <w:r>
        <w:t>Description</w:t>
      </w:r>
    </w:p>
    <w:p>
      <w:r>
        <w:rPr>
          <w:rFonts w:ascii="Calibri" w:hAnsi="Calibri"/>
          <w:sz w:val="22"/>
        </w:rPr>
        <w:t>Ian purchases a home in Sydney and lives in it as his main residence. Over 30 years, he is posted to different cities for work, buying and selling properties along the way, while renting out his Sydney home during absences. The combined rental periods exceed 6 years, resulting in a partial exemption.</w:t>
      </w:r>
    </w:p>
    <w:p>
      <w:r>
        <w:rPr>
          <w:rFonts w:ascii="Calibri" w:hAnsi="Calibri"/>
          <w:sz w:val="22"/>
        </w:rPr>
        <w:t>Based on ATO Example 80.</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42 Harbour View Road, Sydney NSW 2000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July 1994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28 February 2025</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$2,850,000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11,201 days (30.7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First Rental Period</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Jan 1996 to 31 Dec 2000 (1,827 days)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Second Rental Period</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Mar 2001 to 28 Feb 2003 (730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Total Rental</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2,557 days (7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Six-Year Exemption</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2,192 days (6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Excess (Taxable)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365 days (1 year)</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Jul 1994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$320,000 + stamp duty +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Jul 1994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Jan 1996</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Posted to Brisbane for work</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Jan 1996</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Sydney home rented (first rental period)</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31 Dec 2000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End</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leaves, property vacant</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Mar 2001</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Sydney home rented again (second rental period)</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28 Feb 2003</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End</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leaves, property vacant</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31 Dec 2004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Returns to Sydney, re-establishes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28 Feb 2025</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$2,850,000</w:t>
            </w:r>
          </w:p>
        </w:tc>
      </w:tr>
    </w:tbl>
    <w:p/>
    <w:p>
      <w:pPr>
        <w:pStyle w:val="Heading2"/>
      </w:pPr>
      <w:r>
        <w:t>CGT Calculation</w:t>
      </w:r>
    </w:p>
    <w:p>
      <w:pPr>
        <w:spacing w:after="40" w:before="0"/>
        <w:ind w:left="360"/>
      </w:pPr>
      <w:r>
        <w:rPr>
          <w:rFonts w:ascii="Calibri" w:hAnsi="Calibri"/>
          <w:b/>
          <w:color w:val="003366"/>
          <w:sz w:val="22"/>
        </w:rPr>
        <w:t>Step 1: Calculate Total Rental Period</w:t>
      </w:r>
    </w:p>
    <w:p>
      <w:pPr>
        <w:spacing w:after="40" w:before="0"/>
        <w:ind w:left="360"/>
      </w:pPr>
      <w:r>
        <w:rPr>
          <w:rFonts w:ascii="Calibri" w:hAnsi="Calibri"/>
          <w:sz w:val="22"/>
        </w:rPr>
        <w:t>First rental: 1 Jan 1996 to 31 Dec 2000 = 1,827 days</w:t>
      </w:r>
    </w:p>
    <w:p>
      <w:pPr>
        <w:spacing w:after="40" w:before="0"/>
        <w:ind w:left="360"/>
      </w:pPr>
      <w:r>
        <w:rPr>
          <w:rFonts w:ascii="Calibri" w:hAnsi="Calibri"/>
          <w:sz w:val="22"/>
        </w:rPr>
        <w:t>Second rental: 1 Mar 2001 to 28 Feb 2003 = 730 days</w:t>
      </w:r>
    </w:p>
    <w:p>
      <w:pPr>
        <w:spacing w:after="40" w:before="0"/>
        <w:ind w:left="360"/>
      </w:pPr>
      <w:r>
        <w:rPr>
          <w:rFonts w:ascii="Calibri" w:hAnsi="Calibri"/>
          <w:sz w:val="22"/>
        </w:rPr>
        <w:t>Total rental = 2,557 days = 7 years</w:t>
      </w:r>
    </w:p>
    <w:p>
      <w:pPr>
        <w:spacing w:after="40" w:before="0"/>
        <w:ind w:left="360"/>
      </w:pPr>
      <w:r>
        <w:rPr>
          <w:rFonts w:ascii="Calibri" w:hAnsi="Calibri"/>
          <w:b/>
          <w:color w:val="003366"/>
          <w:sz w:val="22"/>
        </w:rPr>
        <w:t>Step 2: Apply Six-Year Rule</w:t>
      </w:r>
    </w:p>
    <w:p>
      <w:pPr>
        <w:spacing w:after="40" w:before="0"/>
        <w:ind w:left="360"/>
      </w:pPr>
      <w:r>
        <w:rPr>
          <w:rFonts w:ascii="Calibri" w:hAnsi="Calibri"/>
          <w:sz w:val="22"/>
        </w:rPr>
        <w:t>Six-year exemption covers: 2,192 days</w:t>
      </w:r>
    </w:p>
    <w:p>
      <w:pPr>
        <w:spacing w:after="40" w:before="0"/>
        <w:ind w:left="360"/>
      </w:pPr>
      <w:r>
        <w:rPr>
          <w:rFonts w:ascii="Calibri" w:hAnsi="Calibri"/>
          <w:sz w:val="22"/>
        </w:rPr>
        <w:t>Excess beyond six years: 2,557 - 2,192 = 365 days</w:t>
      </w:r>
    </w:p>
    <w:p>
      <w:pPr>
        <w:spacing w:after="40" w:before="0"/>
        <w:ind w:left="360"/>
      </w:pPr>
      <w:r>
        <w:rPr>
          <w:rFonts w:ascii="Calibri" w:hAnsi="Calibri"/>
          <w:b/>
          <w:color w:val="003366"/>
          <w:sz w:val="22"/>
        </w:rPr>
        <w:t>Step 3: Calculate Taxable Proportion</w:t>
      </w:r>
    </w:p>
    <w:p>
      <w:pPr>
        <w:spacing w:after="40" w:before="0"/>
        <w:ind w:left="360"/>
      </w:pPr>
      <w:r>
        <w:rPr>
          <w:rFonts w:ascii="Calibri" w:hAnsi="Calibri"/>
          <w:sz w:val="22"/>
        </w:rPr>
        <w:t>Total ownership: 11,201 days</w:t>
      </w:r>
    </w:p>
    <w:p>
      <w:pPr>
        <w:spacing w:after="40" w:before="0"/>
        <w:ind w:left="360"/>
      </w:pPr>
      <w:r>
        <w:rPr>
          <w:rFonts w:ascii="Calibri" w:hAnsi="Calibri"/>
          <w:sz w:val="22"/>
        </w:rPr>
        <w:t>Non-main-residence days: 365 days</w:t>
      </w:r>
    </w:p>
    <w:p>
      <w:pPr>
        <w:spacing w:after="40" w:before="0"/>
        <w:ind w:left="360"/>
      </w:pPr>
      <w:r>
        <w:rPr>
          <w:rFonts w:ascii="Calibri" w:hAnsi="Calibri"/>
          <w:sz w:val="22"/>
        </w:rPr>
        <w:t>Taxable Proportion = 365 / 11,201 = 3.26%</w:t>
      </w:r>
    </w:p>
    <w:p>
      <w:pPr>
        <w:spacing w:after="40" w:before="0"/>
        <w:ind w:left="360"/>
      </w:pPr>
      <w:r>
        <w:rPr>
          <w:rFonts w:ascii="Calibri" w:hAnsi="Calibri"/>
          <w:sz w:val="22"/>
        </w:rPr>
        <w:t>Exempt Proportion = 96.74%</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$2,850,000</w:t>
      </w:r>
    </w:p>
    <w:p>
      <w:pPr>
        <w:spacing w:after="40" w:before="0"/>
        <w:ind w:left="360"/>
      </w:pPr>
      <w:r>
        <w:rPr>
          <w:rFonts w:ascii="Calibri" w:hAnsi="Calibri"/>
          <w:sz w:val="22"/>
        </w:rPr>
        <w:t>Cost Base (estimated): $400,000</w:t>
      </w:r>
    </w:p>
    <w:p>
      <w:pPr>
        <w:spacing w:after="40" w:before="0"/>
        <w:ind w:left="360"/>
      </w:pPr>
      <w:r>
        <w:rPr>
          <w:rFonts w:ascii="Calibri" w:hAnsi="Calibri"/>
          <w:sz w:val="22"/>
        </w:rPr>
        <w:t>Capital Gain = $2,850,000 - $400,000 = $2,450,000</w:t>
      </w:r>
    </w:p>
    <w:p>
      <w:pPr>
        <w:spacing w:after="40" w:before="0"/>
        <w:ind w:left="360"/>
      </w:pPr>
      <w:r>
        <w:rPr>
          <w:rFonts w:ascii="Calibri" w:hAnsi="Calibri"/>
          <w:b/>
          <w:color w:val="003366"/>
          <w:sz w:val="22"/>
        </w:rPr>
        <w:t>Step 5: Apply Partial Exemption</w:t>
      </w:r>
    </w:p>
    <w:p>
      <w:pPr>
        <w:spacing w:after="40" w:before="0"/>
        <w:ind w:left="360"/>
      </w:pPr>
      <w:r>
        <w:rPr>
          <w:rFonts w:ascii="Calibri" w:hAnsi="Calibri"/>
          <w:sz w:val="22"/>
        </w:rPr>
        <w:t>Taxable Capital Gain = $2,450,000 x 3.26% = $79,870</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Discounted Gain = $79,870 x 50% = $39,935</w:t>
      </w:r>
    </w:p>
    <w:p>
      <w:pPr>
        <w:spacing w:after="40" w:before="0"/>
        <w:ind w:left="360"/>
      </w:pPr>
      <w:r>
        <w:rPr>
          <w:rFonts w:ascii="Calibri" w:hAnsi="Calibri"/>
          <w:b/>
          <w:color w:val="006400"/>
          <w:sz w:val="22"/>
        </w:rPr>
        <w:t>RESULT: NET CAPITAL GAIN = $39,935</w:t>
      </w:r>
    </w:p>
    <w:p>
      <w:pPr>
        <w:pStyle w:val="Heading2"/>
      </w:pPr>
      <w:r>
        <w:t>Applicable Rules</w:t>
      </w:r>
    </w:p>
    <w:p>
      <w:r>
        <w:rPr>
          <w:rFonts w:ascii="Calibri" w:hAnsi="Calibri"/>
          <w:sz w:val="22"/>
        </w:rPr>
        <w:t>ITAA97 s118.145: Six-year absence rule (partial - combined rental exceeds 6 years)</w:t>
      </w:r>
    </w:p>
    <w:p>
      <w:r>
        <w:rPr>
          <w:rFonts w:ascii="Calibri" w:hAnsi="Calibri"/>
          <w:sz w:val="22"/>
        </w:rPr>
        <w:t>Multiple absence periods are combined for the 6-year test</w:t>
      </w:r>
    </w:p>
    <w:p>
      <w:r>
        <w:rPr>
          <w:rFonts w:ascii="Calibri" w:hAnsi="Calibri"/>
          <w:sz w:val="22"/>
        </w:rPr>
        <w:t>Can choose to treat Sydney as main residence since no other property claimed as main residence</w:t>
      </w:r>
    </w:p>
    <w:p>
      <w:r>
        <w:rPr>
          <w:rFonts w:ascii="Calibri" w:hAnsi="Calibri"/>
          <w:sz w:val="22"/>
        </w:rPr>
        <w:t>ITAA97 s115.25: 50% CGT discount applies</w:t>
      </w:r>
    </w:p>
    <w:p>
      <w:pPr>
        <w:spacing w:before="120" w:after="120"/>
      </w:pPr>
      <w:r>
        <w:rPr>
          <w:color w:val="B4B4B4"/>
          <w:sz w:val="12"/>
        </w:rPr>
        <w:t>────────────────────────────────────────────────────────────────────────────────────────────────────</w:t>
      </w:r>
    </w:p>
    <w:p>
      <w:pPr>
        <w:pStyle w:val="Heading1"/>
      </w:pPr>
      <w:r>
        <w:t>Scenario 12: Two Properties - Strategic MRE Choice</w:t>
      </w:r>
    </w:p>
    <w:p>
      <w:pPr>
        <w:pStyle w:val="Heading2"/>
      </w:pPr>
      <w:r>
        <w:t>Description</w:t>
      </w:r>
    </w:p>
    <w:p>
      <w:r>
        <w:rPr>
          <w:rFonts w:ascii="Calibri" w:hAnsi="Calibri"/>
          <w:sz w:val="22"/>
        </w:rPr>
        <w:t>David owns two properties and must strategically choose which one to claim the main residence exemption on. He lived in a beach house first, then moved to a city apartment. The beach house was rented for exactly 6 years.</w:t>
      </w:r>
    </w:p>
    <w:p>
      <w:pPr>
        <w:pStyle w:val="Heading2"/>
      </w:pPr>
      <w:r>
        <w:t>Key Facts</w:t>
      </w:r>
    </w:p>
    <w:p>
      <w:r>
        <w:rPr>
          <w:rFonts w:ascii="Calibri" w:hAnsi="Calibri"/>
          <w:sz w:val="22"/>
        </w:rPr>
        <w:t>Property 1 - Beach House (Gold Coast)</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28 Ocean Parade, Broadbeach QLD 4218</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March 2015</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$650,000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30 June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$1,100,000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Rental Period</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Jul 2018 to 30 Jun 2024 (6 years exactly)</w:t>
            </w:r>
          </w:p>
        </w:tc>
      </w:tr>
    </w:tbl>
    <w:p/>
    <w:p>
      <w:r>
        <w:rPr>
          <w:rFonts w:ascii="Calibri" w:hAnsi="Calibri"/>
          <w:sz w:val="22"/>
        </w:rPr>
        <w:t>Property 2 - City Apartment (Brisbane)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150 Adelaide Street, Brisbane QLD 4000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July 2018</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December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$620,000</w:t>
            </w:r>
          </w:p>
        </w:tc>
      </w:tr>
    </w:tbl>
    <w:p/>
    <w:p>
      <w:pPr>
        <w:pStyle w:val="Heading2"/>
      </w:pPr>
      <w:r>
        <w:t>Timeline of Events</w:t>
      </w:r>
    </w:p>
    <w:p>
      <w:r>
        <w:rPr>
          <w:rFonts w:ascii="Calibri" w:hAnsi="Calibri"/>
          <w:sz w:val="22"/>
        </w:rPr>
        <w:t>Property 1 - Beach House</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Mar 2015</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$650,000 + $26,000 stamp duty + $3,000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Mar 2015</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Jul 2018</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Moved to city apartment</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Jul 2018</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Beach house rented</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30 Jun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$1,100,000 (agent fees: $27,500, legal fees: $2,500)</w:t>
            </w:r>
          </w:p>
        </w:tc>
      </w:tr>
    </w:tbl>
    <w:p/>
    <w:p>
      <w:r>
        <w:rPr>
          <w:rFonts w:ascii="Calibri" w:hAnsi="Calibri"/>
          <w:sz w:val="22"/>
        </w:rPr>
        <w:t>Property 2 - City Apartment</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Jul 2018</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$480,000 + $19,200 stamp duty + $2,800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Jul 2018</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Dec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$620,000 (agent fees: $15,500, legal fees: $2,200)</w:t>
            </w:r>
          </w:p>
        </w:tc>
      </w:tr>
    </w:tbl>
    <w:p/>
    <w:p>
      <w:pPr>
        <w:pStyle w:val="Heading2"/>
      </w:pPr>
      <w:r>
        <w:t>Strategic Analysis</w:t>
      </w:r>
    </w:p>
    <w:p>
      <w:r>
        <w:rPr>
          <w:rFonts w:ascii="Calibri" w:hAnsi="Calibri"/>
          <w:sz w:val="22"/>
        </w:rPr>
        <w:t>Option A: Claim MRE on Beach House</w:t>
      </w:r>
    </w:p>
    <w:p>
      <w:r>
        <w:rPr>
          <w:rFonts w:ascii="Calibri" w:hAnsi="Calibri"/>
          <w:sz w:val="22"/>
        </w:rPr>
        <w:t>Beach House rental = 6 years exactly (within 6-year rule)</w:t>
      </w:r>
    </w:p>
    <w:p>
      <w:r>
        <w:rPr>
          <w:rFonts w:ascii="Calibri" w:hAnsi="Calibri"/>
          <w:sz w:val="22"/>
        </w:rPr>
        <w:t>Beach House: FULL EXEMPTION under six-year rule</w:t>
      </w:r>
    </w:p>
    <w:p>
      <w:r>
        <w:rPr>
          <w:rFonts w:ascii="Calibri" w:hAnsi="Calibri"/>
          <w:sz w:val="22"/>
        </w:rPr>
        <w:t>City Apartment: FULLY TAXABLE (no MRE claimed)</w:t>
      </w:r>
    </w:p>
    <w:p>
      <w:r>
        <w:rPr>
          <w:rFonts w:ascii="Calibri" w:hAnsi="Calibri"/>
          <w:sz w:val="22"/>
        </w:rPr>
        <w:t>Option B: Claim MRE on City Apartment</w:t>
      </w:r>
    </w:p>
    <w:p>
      <w:r>
        <w:rPr>
          <w:rFonts w:ascii="Calibri" w:hAnsi="Calibri"/>
          <w:sz w:val="22"/>
        </w:rPr>
        <w:t>Beach House: PARTIALLY TAXABLE (rental period taxable)</w:t>
      </w:r>
    </w:p>
    <w:p>
      <w:r>
        <w:rPr>
          <w:rFonts w:ascii="Calibri" w:hAnsi="Calibri"/>
          <w:sz w:val="22"/>
        </w:rPr>
        <w:t>City Apartment: FULL EXEMPTION</w:t>
      </w:r>
    </w:p>
    <w:p>
      <w:pPr>
        <w:pStyle w:val="Heading2"/>
      </w:pPr>
      <w:r>
        <w:t>CGT Calculation - Option A (Recommended)</w:t>
      </w:r>
    </w:p>
    <w:p>
      <w:pPr>
        <w:spacing w:after="40" w:before="0"/>
        <w:ind w:left="360"/>
      </w:pPr>
      <w:r>
        <w:rPr>
          <w:rFonts w:ascii="Calibri" w:hAnsi="Calibri"/>
          <w:sz w:val="22"/>
        </w:rPr>
        <w:t>Beach House:</w:t>
      </w:r>
    </w:p>
    <w:p>
      <w:pPr>
        <w:spacing w:after="40" w:before="0"/>
        <w:ind w:left="360"/>
      </w:pPr>
      <w:r>
        <w:rPr>
          <w:rFonts w:ascii="Calibri" w:hAnsi="Calibri"/>
          <w:sz w:val="22"/>
        </w:rPr>
        <w:t>Capital Gain = $1,100,000 - $708,500 = $391,500</w:t>
      </w:r>
    </w:p>
    <w:p>
      <w:pPr>
        <w:spacing w:after="40" w:before="0"/>
        <w:ind w:left="360"/>
      </w:pPr>
      <w:r>
        <w:rPr>
          <w:rFonts w:ascii="Calibri" w:hAnsi="Calibri"/>
          <w:sz w:val="22"/>
        </w:rPr>
        <w:t>Exemption: 100% (six-year rule applies)</w:t>
      </w:r>
    </w:p>
    <w:p>
      <w:pPr>
        <w:spacing w:after="40" w:before="0"/>
        <w:ind w:left="360"/>
      </w:pPr>
      <w:r>
        <w:rPr>
          <w:rFonts w:ascii="Calibri" w:hAnsi="Calibri"/>
          <w:b/>
          <w:color w:val="006400"/>
          <w:sz w:val="22"/>
        </w:rPr>
        <w:t>Net Capital Gain: $0</w:t>
      </w:r>
    </w:p>
    <w:p>
      <w:pPr>
        <w:spacing w:after="40" w:before="0"/>
        <w:ind w:left="360"/>
      </w:pPr>
      <w:r>
        <w:rPr>
          <w:rFonts w:ascii="Calibri" w:hAnsi="Calibri"/>
          <w:sz w:val="22"/>
        </w:rPr>
        <w:t>City Apartment:</w:t>
      </w:r>
    </w:p>
    <w:p>
      <w:pPr>
        <w:spacing w:after="40" w:before="0"/>
        <w:ind w:left="360"/>
      </w:pPr>
      <w:r>
        <w:rPr>
          <w:rFonts w:ascii="Calibri" w:hAnsi="Calibri"/>
          <w:sz w:val="22"/>
        </w:rPr>
        <w:t>Capital Gain = $620,000 - $519,700 = $100,300</w:t>
      </w:r>
    </w:p>
    <w:p>
      <w:pPr>
        <w:spacing w:after="40" w:before="0"/>
        <w:ind w:left="360"/>
      </w:pPr>
      <w:r>
        <w:rPr>
          <w:rFonts w:ascii="Calibri" w:hAnsi="Calibri"/>
          <w:sz w:val="22"/>
        </w:rPr>
        <w:t>Exemption: 0%</w:t>
      </w:r>
    </w:p>
    <w:p>
      <w:pPr>
        <w:spacing w:after="40" w:before="0"/>
        <w:ind w:left="360"/>
      </w:pPr>
      <w:r>
        <w:rPr>
          <w:rFonts w:ascii="Calibri" w:hAnsi="Calibri"/>
          <w:sz w:val="22"/>
        </w:rPr>
        <w:t>After 50% discount: $50,150</w:t>
      </w:r>
    </w:p>
    <w:p>
      <w:pPr>
        <w:spacing w:after="40" w:before="0"/>
        <w:ind w:left="360"/>
      </w:pPr>
      <w:r>
        <w:rPr>
          <w:rFonts w:ascii="Calibri" w:hAnsi="Calibri"/>
          <w:b/>
          <w:color w:val="006400"/>
          <w:sz w:val="22"/>
        </w:rPr>
        <w:t>Net Capital Gain: $50,150</w:t>
      </w:r>
    </w:p>
    <w:p>
      <w:pPr>
        <w:spacing w:after="40" w:before="0"/>
        <w:ind w:left="360"/>
      </w:pPr>
      <w:r>
        <w:rPr>
          <w:rFonts w:ascii="Calibri" w:hAnsi="Calibri"/>
          <w:b/>
          <w:color w:val="006400"/>
          <w:sz w:val="22"/>
        </w:rPr>
        <w:t>TOTAL NET CAPITAL GAIN (Option A): $50,150</w:t>
      </w:r>
    </w:p>
    <w:p>
      <w:pPr>
        <w:pStyle w:val="Heading2"/>
      </w:pPr>
      <w:r>
        <w:t>Applicable Rules</w:t>
      </w:r>
    </w:p>
    <w:p>
      <w:r>
        <w:rPr>
          <w:rFonts w:ascii="Calibri" w:hAnsi="Calibri"/>
          <w:sz w:val="22"/>
        </w:rPr>
        <w:t>ITAA97 s118.145: Six-year absence rule applies to beach house (rental = 6 years exactly)</w:t>
      </w:r>
    </w:p>
    <w:p>
      <w:r>
        <w:rPr>
          <w:rFonts w:ascii="Calibri" w:hAnsi="Calibri"/>
          <w:sz w:val="22"/>
        </w:rPr>
        <w:t>Can only claim ONE property as main residence at any time</w:t>
      </w:r>
    </w:p>
    <w:p>
      <w:r>
        <w:rPr>
          <w:rFonts w:ascii="Calibri" w:hAnsi="Calibri"/>
          <w:sz w:val="22"/>
        </w:rPr>
        <w:t>Strategic choice: Claim MRE on property with larger gain</w:t>
      </w:r>
    </w:p>
    <w:p>
      <w:r>
        <w:rPr>
          <w:rFonts w:ascii="Calibri" w:hAnsi="Calibri"/>
          <w:sz w:val="22"/>
        </w:rPr>
        <w:t>ITAA97 s115.25: 50% CGT discount applies to taxable portions</w:t>
      </w:r>
    </w:p>
    <w:p>
      <w:pPr>
        <w:spacing w:before="120" w:after="120"/>
      </w:pPr>
      <w:r>
        <w:rPr>
          <w:color w:val="B4B4B4"/>
          <w:sz w:val="12"/>
        </w:rPr>
        <w:t>────────────────────────────────────────────────────────────────────────────────────────────────────</w:t>
      </w:r>
    </w:p>
    <w:p>
      <w:pPr>
        <w:pStyle w:val="Heading1"/>
      </w:pPr>
      <w:r>
        <w:t>Scenario 13: Inherited Property with Rental</w:t>
      </w:r>
    </w:p>
    <w:p>
      <w:pPr>
        <w:pStyle w:val="Heading2"/>
      </w:pPr>
      <w:r>
        <w:t>Description</w:t>
      </w:r>
    </w:p>
    <w:p>
      <w:r>
        <w:rPr>
          <w:rFonts w:ascii="Calibri" w:hAnsi="Calibri"/>
          <w:sz w:val="22"/>
        </w:rPr>
        <w:t>Emma inherits her mother's home (which was her mother's main residence) and then rents it out before selling. Because she sold more than 2 years after the death, the 2-year disposal rule does not apply, and normal CGT rules apply from the date of death.</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88 Jacaranda Lane, Indooroopilly QLD 4068</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Mother's Death</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August 2020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Market Value at Death</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$780,000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November 2020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31 October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$950,000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Time Since Death</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4.2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Aug 2020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Inherit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Mother passes. Property market value: $780,000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Oct 2020</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Transfer</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Emma receives property as beneficiary</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Nov 2020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 rented out</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31 Oct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$950,000 (agent fees: $23,750, legal fees: $2,800)</w:t>
            </w:r>
          </w:p>
        </w:tc>
      </w:tr>
    </w:tbl>
    <w:p/>
    <w:p>
      <w:pPr>
        <w:pStyle w:val="Heading2"/>
      </w:pPr>
      <w:r>
        <w:t>CGT Calculation</w:t>
      </w:r>
    </w:p>
    <w:p>
      <w:pPr>
        <w:spacing w:after="40" w:before="0"/>
        <w:ind w:left="360"/>
      </w:pPr>
      <w:r>
        <w:rPr>
          <w:rFonts w:ascii="Calibri" w:hAnsi="Calibri"/>
          <w:b/>
          <w:color w:val="003366"/>
          <w:sz w:val="22"/>
        </w:rPr>
        <w:t>Step 1: Determine Cost Base</w:t>
      </w:r>
    </w:p>
    <w:p>
      <w:pPr>
        <w:spacing w:after="40" w:before="0"/>
        <w:ind w:left="360"/>
      </w:pPr>
      <w:r>
        <w:rPr>
          <w:rFonts w:ascii="Calibri" w:hAnsi="Calibri"/>
          <w:sz w:val="22"/>
        </w:rPr>
        <w:t>Property was deceased's main residence</w:t>
      </w:r>
    </w:p>
    <w:p>
      <w:pPr>
        <w:spacing w:after="40" w:before="0"/>
        <w:ind w:left="360"/>
      </w:pPr>
      <w:r>
        <w:rPr>
          <w:rFonts w:ascii="Calibri" w:hAnsi="Calibri"/>
          <w:sz w:val="22"/>
        </w:rPr>
        <w:t>Cost base = Market value at death = $780,000</w:t>
      </w:r>
    </w:p>
    <w:p>
      <w:pPr>
        <w:spacing w:after="40" w:before="0"/>
        <w:ind w:left="360"/>
      </w:pPr>
      <w:r>
        <w:rPr>
          <w:rFonts w:ascii="Calibri" w:hAnsi="Calibri"/>
          <w:b/>
          <w:color w:val="003366"/>
          <w:sz w:val="22"/>
        </w:rPr>
        <w:t>Step 2: Check 2-Year Disposal Rule</w:t>
      </w:r>
    </w:p>
    <w:p>
      <w:pPr>
        <w:spacing w:after="40" w:before="0"/>
        <w:ind w:left="360"/>
      </w:pPr>
      <w:r>
        <w:rPr>
          <w:rFonts w:ascii="Calibri" w:hAnsi="Calibri"/>
          <w:sz w:val="22"/>
        </w:rPr>
        <w:t>Death date: 15 August 2020</w:t>
      </w:r>
    </w:p>
    <w:p>
      <w:pPr>
        <w:spacing w:after="40" w:before="0"/>
        <w:ind w:left="360"/>
      </w:pPr>
      <w:r>
        <w:rPr>
          <w:rFonts w:ascii="Calibri" w:hAnsi="Calibri"/>
          <w:sz w:val="22"/>
        </w:rPr>
        <w:t>Sale date: 31 October 2024</w:t>
      </w:r>
    </w:p>
    <w:p>
      <w:pPr>
        <w:spacing w:after="40" w:before="0"/>
        <w:ind w:left="360"/>
      </w:pPr>
      <w:r>
        <w:rPr>
          <w:rFonts w:ascii="Calibri" w:hAnsi="Calibri"/>
          <w:sz w:val="22"/>
        </w:rPr>
        <w:t>Time since death: 4.2 years</w:t>
      </w:r>
    </w:p>
    <w:p>
      <w:pPr>
        <w:spacing w:after="40" w:before="0"/>
        <w:ind w:left="360"/>
      </w:pPr>
      <w:r>
        <w:rPr>
          <w:rFonts w:ascii="Calibri" w:hAnsi="Calibri"/>
          <w:sz w:val="22"/>
        </w:rPr>
        <w:t>2-year rule does NOT apply (sold after 2 years)</w:t>
      </w:r>
    </w:p>
    <w:p>
      <w:pPr>
        <w:spacing w:after="40" w:before="0"/>
        <w:ind w:left="360"/>
      </w:pPr>
      <w:r>
        <w:rPr>
          <w:rFonts w:ascii="Calibri" w:hAnsi="Calibri"/>
          <w:b/>
          <w:color w:val="003366"/>
          <w:sz w:val="22"/>
        </w:rPr>
        <w:t>Step 3: Calculate Ownership Period (Emma)</w:t>
      </w:r>
    </w:p>
    <w:p>
      <w:pPr>
        <w:spacing w:after="40" w:before="0"/>
        <w:ind w:left="360"/>
      </w:pPr>
      <w:r>
        <w:rPr>
          <w:rFonts w:ascii="Calibri" w:hAnsi="Calibri"/>
          <w:sz w:val="22"/>
        </w:rPr>
        <w:t>From death: 15 Aug 2020 to 31 Oct 2024 = 1,538 days</w:t>
      </w:r>
    </w:p>
    <w:p>
      <w:pPr>
        <w:spacing w:after="40" w:before="0"/>
        <w:ind w:left="360"/>
      </w:pPr>
      <w:r>
        <w:rPr>
          <w:rFonts w:ascii="Calibri" w:hAnsi="Calibri"/>
          <w:sz w:val="22"/>
        </w:rPr>
        <w:t>Entire period was rental (no MRE for Emma)</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$950,000</w:t>
      </w:r>
    </w:p>
    <w:p>
      <w:pPr>
        <w:spacing w:after="40" w:before="0"/>
        <w:ind w:left="360"/>
      </w:pPr>
      <w:r>
        <w:rPr>
          <w:rFonts w:ascii="Calibri" w:hAnsi="Calibri"/>
          <w:b/>
          <w:sz w:val="22"/>
        </w:rPr>
        <w:t>Cost Base:</w:t>
      </w:r>
    </w:p>
    <w:p>
      <w:pPr>
        <w:spacing w:after="40" w:before="0"/>
        <w:ind w:left="360"/>
      </w:pPr>
      <w:r>
        <w:rPr>
          <w:rFonts w:ascii="Calibri" w:hAnsi="Calibri"/>
          <w:sz w:val="22"/>
        </w:rPr>
        <w:t>Market Value at Death: $780,000</w:t>
      </w:r>
    </w:p>
    <w:p>
      <w:pPr>
        <w:spacing w:after="40" w:before="0"/>
        <w:ind w:left="360"/>
      </w:pPr>
      <w:r>
        <w:rPr>
          <w:rFonts w:ascii="Calibri" w:hAnsi="Calibri"/>
          <w:sz w:val="22"/>
        </w:rPr>
        <w:t>Sale Agent Fees: $23,750</w:t>
      </w:r>
    </w:p>
    <w:p>
      <w:pPr>
        <w:spacing w:after="40" w:before="0"/>
        <w:ind w:left="360"/>
      </w:pPr>
      <w:r>
        <w:rPr>
          <w:rFonts w:ascii="Calibri" w:hAnsi="Calibri"/>
          <w:sz w:val="22"/>
        </w:rPr>
        <w:t>Sale Legal Fees: $2,800</w:t>
      </w:r>
    </w:p>
    <w:p>
      <w:pPr>
        <w:spacing w:after="40" w:before="0"/>
        <w:ind w:left="360"/>
      </w:pPr>
      <w:r>
        <w:rPr>
          <w:rFonts w:ascii="Calibri" w:hAnsi="Calibri"/>
          <w:sz w:val="22"/>
        </w:rPr>
        <w:t>Total Cost Base: $806,550</w:t>
      </w:r>
    </w:p>
    <w:p>
      <w:pPr>
        <w:spacing w:after="40" w:before="0"/>
        <w:ind w:left="360"/>
      </w:pPr>
      <w:r>
        <w:rPr>
          <w:rFonts w:ascii="Calibri" w:hAnsi="Calibri"/>
          <w:sz w:val="22"/>
        </w:rPr>
        <w:t>Capital Gain = $950,000 - $806,550 = $143,450</w:t>
      </w:r>
    </w:p>
    <w:p>
      <w:pPr>
        <w:spacing w:after="40" w:before="0"/>
        <w:ind w:left="360"/>
      </w:pPr>
      <w:r>
        <w:rPr>
          <w:rFonts w:ascii="Calibri" w:hAnsi="Calibri"/>
          <w:b/>
          <w:color w:val="003366"/>
          <w:sz w:val="22"/>
        </w:rPr>
        <w:t>Step 5: Apply Main Residence Exemption</w:t>
      </w:r>
    </w:p>
    <w:p>
      <w:pPr>
        <w:spacing w:after="40" w:before="0"/>
        <w:ind w:left="360"/>
      </w:pPr>
      <w:r>
        <w:rPr>
          <w:rFonts w:ascii="Calibri" w:hAnsi="Calibri"/>
          <w:sz w:val="22"/>
        </w:rPr>
        <w:t>Emma did not live in property: No MRE applies</w:t>
      </w:r>
    </w:p>
    <w:p>
      <w:pPr>
        <w:spacing w:after="40" w:before="0"/>
        <w:ind w:left="360"/>
      </w:pPr>
      <w:r>
        <w:rPr>
          <w:rFonts w:ascii="Calibri" w:hAnsi="Calibri"/>
          <w:sz w:val="22"/>
        </w:rPr>
        <w:t>Taxable Capital Gain = $143,450</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from date of death: YES</w:t>
      </w:r>
    </w:p>
    <w:p>
      <w:pPr>
        <w:spacing w:after="40" w:before="0"/>
        <w:ind w:left="360"/>
      </w:pPr>
      <w:r>
        <w:rPr>
          <w:rFonts w:ascii="Calibri" w:hAnsi="Calibri"/>
          <w:sz w:val="22"/>
        </w:rPr>
        <w:t>Discounted Gain = $143,450 x 50% = $71,725</w:t>
      </w:r>
    </w:p>
    <w:p>
      <w:pPr>
        <w:spacing w:after="40" w:before="0"/>
        <w:ind w:left="360"/>
      </w:pPr>
      <w:r>
        <w:rPr>
          <w:rFonts w:ascii="Calibri" w:hAnsi="Calibri"/>
          <w:b/>
          <w:color w:val="006400"/>
          <w:sz w:val="22"/>
        </w:rPr>
        <w:t>RESULT: NET CAPITAL GAIN = $71,725</w:t>
      </w:r>
    </w:p>
    <w:p>
      <w:pPr>
        <w:pStyle w:val="Heading2"/>
      </w:pPr>
      <w:r>
        <w:t>Applicable Rules</w:t>
      </w:r>
    </w:p>
    <w:p>
      <w:r>
        <w:rPr>
          <w:rFonts w:ascii="Calibri" w:hAnsi="Calibri"/>
          <w:sz w:val="22"/>
        </w:rPr>
        <w:t>ITAA97 s118.195: 2-year disposal rule does not apply (sold after 2 years)</w:t>
      </w:r>
    </w:p>
    <w:p>
      <w:r>
        <w:rPr>
          <w:rFonts w:ascii="Calibri" w:hAnsi="Calibri"/>
          <w:sz w:val="22"/>
        </w:rPr>
        <w:t>Cost base = Market value at date of death</w:t>
      </w:r>
    </w:p>
    <w:p>
      <w:r>
        <w:rPr>
          <w:rFonts w:ascii="Calibri" w:hAnsi="Calibri"/>
          <w:sz w:val="22"/>
        </w:rPr>
        <w:t>No main residence exemption for Emma (never lived in property)</w:t>
      </w:r>
    </w:p>
    <w:p>
      <w:r>
        <w:rPr>
          <w:rFonts w:ascii="Calibri" w:hAnsi="Calibri"/>
          <w:sz w:val="22"/>
        </w:rPr>
        <w:t>ITAA97 s115.25: 50% CGT discount applies (held &gt; 12 months from death)</w:t>
      </w:r>
    </w:p>
    <w:p>
      <w:pPr>
        <w:spacing w:before="120" w:after="120"/>
      </w:pPr>
      <w:r>
        <w:rPr>
          <w:color w:val="B4B4B4"/>
          <w:sz w:val="12"/>
        </w:rPr>
        <w:t>────────────────────────────────────────────────────────────────────────────────────────────────────</w:t>
      </w:r>
    </w:p>
    <w:p>
      <w:pPr>
        <w:pStyle w:val="Heading1"/>
      </w:pPr>
      <w:r>
        <w:t>Scenario 14: Investment Then PPR Then Rental</w:t>
      </w:r>
    </w:p>
    <w:p>
      <w:pPr>
        <w:pStyle w:val="Heading2"/>
      </w:pPr>
      <w:r>
        <w:t>Description</w:t>
      </w:r>
    </w:p>
    <w:p>
      <w:r>
        <w:rPr>
          <w:rFonts w:ascii="Calibri" w:hAnsi="Calibri"/>
          <w:sz w:val="22"/>
        </w:rPr>
        <w:t>Michael buys an investment property, later moves in as his main residence, then moves out and rents it again. Because the property was rented before becoming a main residence, the six-year rule does NOT apply. Only the actual residence period qualifies for exemption.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42 Riverside Drive, West End QLD 4101</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February 2014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$385,000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First Rental</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Feb 2014 to 15 Jul 2017 (1,261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Main Residence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Jul 2017 to 1 Sep 2020 (1,144 days)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Second Rental</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Sep 2020 to 30 Nov 2024 (1,538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30 November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$580,000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3,955 days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Feb 2014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$385,000 + $15,400 stamp duty + $2,200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Feb 2014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Rented as investment</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Jul 2017</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 End</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Tenant leaves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Jul 2017</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Michael moves in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Sep 2020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Relocates for work</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Sep 2020</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Property rented again</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30 Nov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$580,000 (agent fees: $14,500, legal fees: $2,000)</w:t>
            </w:r>
          </w:p>
        </w:tc>
      </w:tr>
    </w:tbl>
    <w:p/>
    <w:p>
      <w:pPr>
        <w:pStyle w:val="Heading2"/>
      </w:pPr>
      <w:r>
        <w:t>CGT Calculation</w:t>
      </w:r>
    </w:p>
    <w:p>
      <w:pPr>
        <w:spacing w:after="40" w:before="0"/>
        <w:ind w:left="360"/>
      </w:pPr>
      <w:r>
        <w:rPr>
          <w:rFonts w:ascii="Calibri" w:hAnsi="Calibri"/>
          <w:b/>
          <w:color w:val="003366"/>
          <w:sz w:val="22"/>
        </w:rPr>
        <w:t>Step 1: Verify Six-Year Rule Eligibility</w:t>
      </w:r>
    </w:p>
    <w:p>
      <w:pPr>
        <w:spacing w:after="40" w:before="0"/>
        <w:ind w:left="360"/>
      </w:pPr>
      <w:r>
        <w:rPr>
          <w:rFonts w:ascii="Calibri" w:hAnsi="Calibri"/>
          <w:sz w:val="22"/>
        </w:rPr>
        <w:t>Property was rented BEFORE being used as main residence</w:t>
      </w:r>
    </w:p>
    <w:p>
      <w:pPr>
        <w:spacing w:after="40" w:before="0"/>
        <w:ind w:left="360"/>
      </w:pPr>
      <w:r>
        <w:rPr>
          <w:rFonts w:ascii="Calibri" w:hAnsi="Calibri"/>
          <w:sz w:val="22"/>
        </w:rPr>
        <w:t>Six-year rule does NOT apply</w:t>
      </w:r>
    </w:p>
    <w:p>
      <w:pPr>
        <w:spacing w:after="40" w:before="0"/>
        <w:ind w:left="360"/>
      </w:pPr>
      <w:r>
        <w:rPr>
          <w:rFonts w:ascii="Calibri" w:hAnsi="Calibri"/>
          <w:b/>
          <w:color w:val="003366"/>
          <w:sz w:val="22"/>
        </w:rPr>
        <w:t>Step 2: Calculate Ownership Periods</w:t>
      </w:r>
    </w:p>
    <w:p>
      <w:pPr>
        <w:spacing w:after="40" w:before="0"/>
        <w:ind w:left="360"/>
      </w:pPr>
      <w:r>
        <w:rPr>
          <w:rFonts w:ascii="Calibri" w:hAnsi="Calibri"/>
          <w:sz w:val="22"/>
        </w:rPr>
        <w:t>Total Ownership: 1 Feb 2014 to 30 Nov 2024 = 3,955 days</w:t>
      </w:r>
    </w:p>
    <w:p>
      <w:pPr>
        <w:spacing w:after="40" w:before="0"/>
        <w:ind w:left="360"/>
      </w:pPr>
      <w:r>
        <w:rPr>
          <w:rFonts w:ascii="Calibri" w:hAnsi="Calibri"/>
          <w:sz w:val="22"/>
        </w:rPr>
        <w:t>First Rental (Non-MR): 1,261 days</w:t>
      </w:r>
    </w:p>
    <w:p>
      <w:pPr>
        <w:spacing w:after="40" w:before="0"/>
        <w:ind w:left="360"/>
      </w:pPr>
      <w:r>
        <w:rPr>
          <w:rFonts w:ascii="Calibri" w:hAnsi="Calibri"/>
          <w:sz w:val="22"/>
        </w:rPr>
        <w:t>Main Residence: 1,144 days</w:t>
      </w:r>
    </w:p>
    <w:p>
      <w:pPr>
        <w:spacing w:after="40" w:before="0"/>
        <w:ind w:left="360"/>
      </w:pPr>
      <w:r>
        <w:rPr>
          <w:rFonts w:ascii="Calibri" w:hAnsi="Calibri"/>
          <w:sz w:val="22"/>
        </w:rPr>
        <w:t>Second Rental (Non-MR): 1,538 days</w:t>
      </w:r>
    </w:p>
    <w:p>
      <w:pPr>
        <w:spacing w:after="40" w:before="0"/>
        <w:ind w:left="360"/>
      </w:pPr>
      <w:r>
        <w:rPr>
          <w:rFonts w:ascii="Calibri" w:hAnsi="Calibri"/>
          <w:sz w:val="22"/>
        </w:rPr>
        <w:t>Total Non-MR days: 1,261 + 1,538 = 2,799 days</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Sale Price: $580,000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$385,000</w:t>
      </w:r>
    </w:p>
    <w:p>
      <w:pPr>
        <w:spacing w:after="40" w:before="0"/>
        <w:ind w:left="360"/>
      </w:pPr>
      <w:r>
        <w:rPr>
          <w:rFonts w:ascii="Calibri" w:hAnsi="Calibri"/>
          <w:sz w:val="22"/>
        </w:rPr>
        <w:t>Stamp Duty: $15,400</w:t>
      </w:r>
    </w:p>
    <w:p>
      <w:pPr>
        <w:spacing w:after="40" w:before="0"/>
        <w:ind w:left="360"/>
      </w:pPr>
      <w:r>
        <w:rPr>
          <w:rFonts w:ascii="Calibri" w:hAnsi="Calibri"/>
          <w:sz w:val="22"/>
        </w:rPr>
        <w:t>Purchase Legal Fees: $2,200</w:t>
      </w:r>
    </w:p>
    <w:p>
      <w:pPr>
        <w:spacing w:after="40" w:before="0"/>
        <w:ind w:left="360"/>
      </w:pPr>
      <w:r>
        <w:rPr>
          <w:rFonts w:ascii="Calibri" w:hAnsi="Calibri"/>
          <w:sz w:val="22"/>
        </w:rPr>
        <w:t>Sale Agent Fees: $14,500</w:t>
      </w:r>
    </w:p>
    <w:p>
      <w:pPr>
        <w:spacing w:after="40" w:before="0"/>
        <w:ind w:left="360"/>
      </w:pPr>
      <w:r>
        <w:rPr>
          <w:rFonts w:ascii="Calibri" w:hAnsi="Calibri"/>
          <w:sz w:val="22"/>
        </w:rPr>
        <w:t>Sale Legal Fees: $2,000</w:t>
      </w:r>
    </w:p>
    <w:p>
      <w:pPr>
        <w:spacing w:after="40" w:before="0"/>
        <w:ind w:left="360"/>
      </w:pPr>
      <w:r>
        <w:rPr>
          <w:rFonts w:ascii="Calibri" w:hAnsi="Calibri"/>
          <w:sz w:val="22"/>
        </w:rPr>
        <w:t>Total Cost Base: $419,100</w:t>
      </w:r>
    </w:p>
    <w:p>
      <w:pPr>
        <w:spacing w:after="40" w:before="0"/>
        <w:ind w:left="360"/>
      </w:pPr>
      <w:r>
        <w:rPr>
          <w:rFonts w:ascii="Calibri" w:hAnsi="Calibri"/>
          <w:sz w:val="22"/>
        </w:rPr>
        <w:t>Capital Gain = $580,000 - $419,100 = $160,900</w:t>
      </w:r>
    </w:p>
    <w:p>
      <w:pPr>
        <w:spacing w:after="40" w:before="0"/>
        <w:ind w:left="360"/>
      </w:pPr>
      <w:r>
        <w:rPr>
          <w:rFonts w:ascii="Calibri" w:hAnsi="Calibri"/>
          <w:b/>
          <w:color w:val="003366"/>
          <w:sz w:val="22"/>
        </w:rPr>
        <w:t>Step 4: Apply Partial Main Residence Exemption</w:t>
      </w:r>
    </w:p>
    <w:p>
      <w:pPr>
        <w:spacing w:after="40" w:before="0"/>
        <w:ind w:left="360"/>
      </w:pPr>
      <w:r>
        <w:rPr>
          <w:rFonts w:ascii="Calibri" w:hAnsi="Calibri"/>
          <w:sz w:val="22"/>
        </w:rPr>
        <w:t>Taxable Proportion = Non-MR Days / Total Ownership Days</w:t>
      </w:r>
    </w:p>
    <w:p>
      <w:pPr>
        <w:spacing w:after="40" w:before="0"/>
        <w:ind w:left="360"/>
      </w:pPr>
      <w:r>
        <w:rPr>
          <w:rFonts w:ascii="Calibri" w:hAnsi="Calibri"/>
          <w:sz w:val="22"/>
        </w:rPr>
        <w:t>Taxable Proportion = 2,799 / 3,955 = 70.77%</w:t>
      </w:r>
    </w:p>
    <w:p>
      <w:pPr>
        <w:spacing w:after="40" w:before="0"/>
        <w:ind w:left="360"/>
      </w:pPr>
      <w:r>
        <w:rPr>
          <w:rFonts w:ascii="Calibri" w:hAnsi="Calibri"/>
          <w:sz w:val="22"/>
        </w:rPr>
        <w:t>Exempt Proportion = 1,144 / 3,955 = 28.93%</w:t>
      </w:r>
    </w:p>
    <w:p>
      <w:pPr>
        <w:spacing w:after="40" w:before="0"/>
        <w:ind w:left="360"/>
      </w:pPr>
      <w:r>
        <w:rPr>
          <w:rFonts w:ascii="Calibri" w:hAnsi="Calibri"/>
          <w:sz w:val="22"/>
        </w:rPr>
        <w:t>Taxable Capital Gain = $160,900 x 70.77% = $113,869</w:t>
      </w:r>
    </w:p>
    <w:p>
      <w:pPr>
        <w:spacing w:after="40" w:before="0"/>
        <w:ind w:left="360"/>
      </w:pPr>
      <w:r>
        <w:rPr>
          <w:rFonts w:ascii="Calibri" w:hAnsi="Calibri"/>
          <w:b/>
          <w:color w:val="003366"/>
          <w:sz w:val="22"/>
        </w:rPr>
        <w:t>Step 5: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$113,869 x 50% = $56,935</w:t>
      </w:r>
    </w:p>
    <w:p>
      <w:pPr>
        <w:spacing w:after="40" w:before="0"/>
        <w:ind w:left="360"/>
      </w:pPr>
      <w:r>
        <w:rPr>
          <w:rFonts w:ascii="Calibri" w:hAnsi="Calibri"/>
          <w:b/>
          <w:color w:val="006400"/>
          <w:sz w:val="22"/>
        </w:rPr>
        <w:t>RESULT: NET CAPITAL GAIN = $56,935</w:t>
      </w:r>
    </w:p>
    <w:p>
      <w:pPr>
        <w:pStyle w:val="Heading2"/>
      </w:pPr>
      <w:r>
        <w:t>Applicable Rules</w:t>
      </w:r>
    </w:p>
    <w:p>
      <w:r>
        <w:rPr>
          <w:rFonts w:ascii="Calibri" w:hAnsi="Calibri"/>
          <w:sz w:val="22"/>
        </w:rPr>
        <w:t>Six-year rule NOT applicable (property was investment first)</w:t>
      </w:r>
    </w:p>
    <w:p>
      <w:r>
        <w:rPr>
          <w:rFonts w:ascii="Calibri" w:hAnsi="Calibri"/>
          <w:sz w:val="22"/>
        </w:rPr>
        <w:t>ITAA97 s118.185: Partial main residence exemption</w:t>
      </w:r>
    </w:p>
    <w:p>
      <w:r>
        <w:rPr>
          <w:rFonts w:ascii="Calibri" w:hAnsi="Calibri"/>
          <w:sz w:val="22"/>
        </w:rPr>
        <w:t>Only actual residence period (28.93%) is exempt</w:t>
      </w:r>
    </w:p>
    <w:p>
      <w:r>
        <w:rPr>
          <w:rFonts w:ascii="Calibri" w:hAnsi="Calibri"/>
          <w:sz w:val="22"/>
        </w:rPr>
        <w:t>ITAA97 s115.25: 50% CGT discount applies</w:t>
      </w:r>
    </w:p>
    <w:p>
      <w:pPr>
        <w:spacing w:before="120" w:after="120"/>
      </w:pPr>
      <w:r>
        <w:rPr>
          <w:color w:val="B4B4B4"/>
          <w:sz w:val="12"/>
        </w:rPr>
        <w:t>────────────────────────────────────────────────────────────────────────────────────────────────────</w:t>
      </w:r>
    </w:p>
    <w:p>
      <w:pPr>
        <w:pStyle w:val="Heading1"/>
      </w:pPr>
      <w:r>
        <w:t>Scenario 15: Six-Month Overlap Exceeded</w:t>
      </w:r>
    </w:p>
    <w:p>
      <w:pPr>
        <w:pStyle w:val="Heading2"/>
      </w:pPr>
      <w:r>
        <w:t>Description</w:t>
      </w:r>
    </w:p>
    <w:p>
      <w:r>
        <w:rPr>
          <w:rFonts w:ascii="Calibri" w:hAnsi="Calibri"/>
          <w:sz w:val="22"/>
        </w:rPr>
        <w:t>Jennifer buys a new home before selling her old one, but takes too long to sell. The overlap period exceeds the 6-month allowance, resulting in a partial loss of the main residence exemption.</w:t>
      </w:r>
    </w:p>
    <w:p>
      <w:pPr>
        <w:pStyle w:val="Heading2"/>
      </w:pPr>
      <w:r>
        <w:t>Key Facts</w:t>
      </w:r>
    </w:p>
    <w:p>
      <w:r>
        <w:rPr>
          <w:rFonts w:ascii="Calibri" w:hAnsi="Calibri"/>
          <w:sz w:val="22"/>
        </w:rPr>
        <w:t>Property 1 - Old Home (Paddington)</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55 Latrobe Terrace, Paddington QLD 4064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March 2012</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$720,000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February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October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$1,450,000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4,611 days</w:t>
            </w:r>
          </w:p>
        </w:tc>
      </w:tr>
    </w:tbl>
    <w:p/>
    <w:p>
      <w:r>
        <w:rPr>
          <w:rFonts w:ascii="Calibri" w:hAnsi="Calibri"/>
          <w:sz w:val="22"/>
        </w:rPr>
        <w:t>Property 2 - New Home (Ascot)</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88 Douro Road, Ascot QLD 4007</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February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$1,200,000</w:t>
            </w:r>
          </w:p>
        </w:tc>
      </w:tr>
    </w:tbl>
    <w:p/>
    <w:p>
      <w:r>
        <w:rPr>
          <w:rFonts w:ascii="Calibri" w:hAnsi="Calibri"/>
          <w:sz w:val="22"/>
        </w:rPr>
        <w:t>Overlap Period</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New Home Purchase (Move In)</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February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Old Home Sale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October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Overlap Duration</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257 days (8.5 months)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6-Month Limit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183 days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Excess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74 days</w:t>
            </w:r>
          </w:p>
        </w:tc>
      </w:tr>
    </w:tbl>
    <w:p/>
    <w:p>
      <w:pPr>
        <w:pStyle w:val="Heading2"/>
      </w:pPr>
      <w:r>
        <w:t>Timeline of Events</w:t>
      </w:r>
    </w:p>
    <w:p>
      <w:r>
        <w:rPr>
          <w:rFonts w:ascii="Calibri" w:hAnsi="Calibri"/>
          <w:sz w:val="22"/>
        </w:rPr>
        <w:t>Property 1 - Old Home</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Mar 2012</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$720,000 + $28,800 stamp duty + $3,500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Mar 2012</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Feb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Moved to new home</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Oct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$1,450,000 (agent fees: $36,250, legal fees: $3,200)</w:t>
            </w:r>
          </w:p>
        </w:tc>
      </w:tr>
    </w:tbl>
    <w:p/>
    <w:p>
      <w:r>
        <w:rPr>
          <w:rFonts w:ascii="Calibri" w:hAnsi="Calibri"/>
          <w:sz w:val="22"/>
        </w:rPr>
        <w:t>Property 2 - New Home</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Feb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$1,200,000 + stamp duty +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Feb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bl>
    <w:p/>
    <w:p>
      <w:pPr>
        <w:pStyle w:val="Heading2"/>
      </w:pPr>
      <w:r>
        <w:t>CGT Calculation</w:t>
      </w:r>
    </w:p>
    <w:p>
      <w:pPr>
        <w:spacing w:after="40" w:before="0"/>
        <w:ind w:left="360"/>
      </w:pPr>
      <w:r>
        <w:rPr>
          <w:rFonts w:ascii="Calibri" w:hAnsi="Calibri"/>
          <w:b/>
          <w:color w:val="003366"/>
          <w:sz w:val="22"/>
        </w:rPr>
        <w:t>Step 1: Calculate Overlap Excess</w:t>
      </w:r>
    </w:p>
    <w:p>
      <w:pPr>
        <w:spacing w:after="40" w:before="0"/>
        <w:ind w:left="360"/>
      </w:pPr>
      <w:r>
        <w:rPr>
          <w:rFonts w:ascii="Calibri" w:hAnsi="Calibri"/>
          <w:sz w:val="22"/>
        </w:rPr>
        <w:t>Overlap period: 1 Feb 2024 to 15 Oct 2024 = 257 days</w:t>
      </w:r>
    </w:p>
    <w:p>
      <w:pPr>
        <w:spacing w:after="40" w:before="0"/>
        <w:ind w:left="360"/>
      </w:pPr>
      <w:r>
        <w:rPr>
          <w:rFonts w:ascii="Calibri" w:hAnsi="Calibri"/>
          <w:sz w:val="22"/>
        </w:rPr>
        <w:t>6-month allowance: 183 days</w:t>
      </w:r>
    </w:p>
    <w:p>
      <w:pPr>
        <w:spacing w:after="40" w:before="0"/>
        <w:ind w:left="360"/>
      </w:pPr>
      <w:r>
        <w:rPr>
          <w:rFonts w:ascii="Calibri" w:hAnsi="Calibri"/>
          <w:sz w:val="22"/>
        </w:rPr>
        <w:t>Excess: 257 - 183 = 74 days</w:t>
      </w:r>
    </w:p>
    <w:p>
      <w:pPr>
        <w:spacing w:after="40" w:before="0"/>
        <w:ind w:left="360"/>
      </w:pPr>
      <w:r>
        <w:rPr>
          <w:rFonts w:ascii="Calibri" w:hAnsi="Calibri"/>
          <w:sz w:val="22"/>
        </w:rPr>
        <w:t>One property must lose exemption for 74 days</w:t>
      </w:r>
    </w:p>
    <w:p>
      <w:pPr>
        <w:spacing w:after="40" w:before="0"/>
        <w:ind w:left="360"/>
      </w:pPr>
      <w:r>
        <w:rPr>
          <w:rFonts w:ascii="Calibri" w:hAnsi="Calibri"/>
          <w:sz w:val="22"/>
        </w:rPr>
        <w:t>Choose old home (smaller proportion of ownership)</w:t>
      </w:r>
    </w:p>
    <w:p>
      <w:pPr>
        <w:spacing w:after="40" w:before="0"/>
        <w:ind w:left="360"/>
      </w:pPr>
      <w:r>
        <w:rPr>
          <w:rFonts w:ascii="Calibri" w:hAnsi="Calibri"/>
          <w:b/>
          <w:color w:val="003366"/>
          <w:sz w:val="22"/>
        </w:rPr>
        <w:t>Step 2: Calculate Taxable Proportion</w:t>
      </w:r>
    </w:p>
    <w:p>
      <w:pPr>
        <w:spacing w:after="40" w:before="0"/>
        <w:ind w:left="360"/>
      </w:pPr>
      <w:r>
        <w:rPr>
          <w:rFonts w:ascii="Calibri" w:hAnsi="Calibri"/>
          <w:sz w:val="22"/>
        </w:rPr>
        <w:t>Total ownership (old home): 4,611 days</w:t>
      </w:r>
    </w:p>
    <w:p>
      <w:pPr>
        <w:spacing w:after="40" w:before="0"/>
        <w:ind w:left="360"/>
      </w:pPr>
      <w:r>
        <w:rPr>
          <w:rFonts w:ascii="Calibri" w:hAnsi="Calibri"/>
          <w:sz w:val="22"/>
        </w:rPr>
        <w:t>Non-exempt days: 74 days</w:t>
      </w:r>
    </w:p>
    <w:p>
      <w:pPr>
        <w:spacing w:after="40" w:before="0"/>
        <w:ind w:left="360"/>
      </w:pPr>
      <w:r>
        <w:rPr>
          <w:rFonts w:ascii="Calibri" w:hAnsi="Calibri"/>
          <w:sz w:val="22"/>
        </w:rPr>
        <w:t>Taxable Proportion = 74 / 4,611 = 1.60%</w:t>
      </w:r>
    </w:p>
    <w:p>
      <w:pPr>
        <w:spacing w:after="40" w:before="0"/>
        <w:ind w:left="360"/>
      </w:pPr>
      <w:r>
        <w:rPr>
          <w:rFonts w:ascii="Calibri" w:hAnsi="Calibri"/>
          <w:sz w:val="22"/>
        </w:rPr>
        <w:t>Exempt Proportion = 98.40%</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Sale Price: $1,450,000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$720,000</w:t>
      </w:r>
    </w:p>
    <w:p>
      <w:pPr>
        <w:spacing w:after="40" w:before="0"/>
        <w:ind w:left="360"/>
      </w:pPr>
      <w:r>
        <w:rPr>
          <w:rFonts w:ascii="Calibri" w:hAnsi="Calibri"/>
          <w:sz w:val="22"/>
        </w:rPr>
        <w:t>Stamp Duty: $28,800</w:t>
      </w:r>
    </w:p>
    <w:p>
      <w:pPr>
        <w:spacing w:after="40" w:before="0"/>
        <w:ind w:left="360"/>
      </w:pPr>
      <w:r>
        <w:rPr>
          <w:rFonts w:ascii="Calibri" w:hAnsi="Calibri"/>
          <w:sz w:val="22"/>
        </w:rPr>
        <w:t>Purchase Legal Fees: $3,500</w:t>
      </w:r>
    </w:p>
    <w:p>
      <w:pPr>
        <w:spacing w:after="40" w:before="0"/>
        <w:ind w:left="360"/>
      </w:pPr>
      <w:r>
        <w:rPr>
          <w:rFonts w:ascii="Calibri" w:hAnsi="Calibri"/>
          <w:sz w:val="22"/>
        </w:rPr>
        <w:t>Sale Agent Fees: $36,250</w:t>
      </w:r>
    </w:p>
    <w:p>
      <w:pPr>
        <w:spacing w:after="40" w:before="0"/>
        <w:ind w:left="360"/>
      </w:pPr>
      <w:r>
        <w:rPr>
          <w:rFonts w:ascii="Calibri" w:hAnsi="Calibri"/>
          <w:sz w:val="22"/>
        </w:rPr>
        <w:t>Sale Legal Fees: $3,200</w:t>
      </w:r>
    </w:p>
    <w:p>
      <w:pPr>
        <w:spacing w:after="40" w:before="0"/>
        <w:ind w:left="360"/>
      </w:pPr>
      <w:r>
        <w:rPr>
          <w:rFonts w:ascii="Calibri" w:hAnsi="Calibri"/>
          <w:sz w:val="22"/>
        </w:rPr>
        <w:t>Total Cost Base: $791,750</w:t>
      </w:r>
    </w:p>
    <w:p>
      <w:pPr>
        <w:spacing w:after="40" w:before="0"/>
        <w:ind w:left="360"/>
      </w:pPr>
      <w:r>
        <w:rPr>
          <w:rFonts w:ascii="Calibri" w:hAnsi="Calibri"/>
          <w:sz w:val="22"/>
        </w:rPr>
        <w:t>Capital Gain = $1,450,000 - $791,750 = $658,250</w:t>
      </w:r>
    </w:p>
    <w:p>
      <w:pPr>
        <w:spacing w:after="40" w:before="0"/>
        <w:ind w:left="360"/>
      </w:pPr>
      <w:r>
        <w:rPr>
          <w:rFonts w:ascii="Calibri" w:hAnsi="Calibri"/>
          <w:b/>
          <w:color w:val="003366"/>
          <w:sz w:val="22"/>
        </w:rPr>
        <w:t>Step 4: Apply Partial Exemption</w:t>
      </w:r>
    </w:p>
    <w:p>
      <w:pPr>
        <w:spacing w:after="40" w:before="0"/>
        <w:ind w:left="360"/>
      </w:pPr>
      <w:r>
        <w:rPr>
          <w:rFonts w:ascii="Calibri" w:hAnsi="Calibri"/>
          <w:sz w:val="22"/>
        </w:rPr>
        <w:t>Taxable Capital Gain = $658,250 x 1.60% = $10,532</w:t>
      </w:r>
    </w:p>
    <w:p>
      <w:pPr>
        <w:spacing w:after="40" w:before="0"/>
        <w:ind w:left="360"/>
      </w:pPr>
      <w:r>
        <w:rPr>
          <w:rFonts w:ascii="Calibri" w:hAnsi="Calibri"/>
          <w:b/>
          <w:color w:val="003366"/>
          <w:sz w:val="22"/>
        </w:rPr>
        <w:t>Step 5: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$10,532 x 50% = $5,266</w:t>
      </w:r>
    </w:p>
    <w:p>
      <w:pPr>
        <w:spacing w:after="40" w:before="0"/>
        <w:ind w:left="360"/>
      </w:pPr>
      <w:r>
        <w:rPr>
          <w:rFonts w:ascii="Calibri" w:hAnsi="Calibri"/>
          <w:b/>
          <w:color w:val="006400"/>
          <w:sz w:val="22"/>
        </w:rPr>
        <w:t>RESULT: NET CAPITAL GAIN = $5,266</w:t>
      </w:r>
    </w:p>
    <w:p>
      <w:pPr>
        <w:pStyle w:val="Heading2"/>
      </w:pPr>
      <w:r>
        <w:t>Applicable Rules</w:t>
      </w:r>
    </w:p>
    <w:p>
      <w:r>
        <w:rPr>
          <w:rFonts w:ascii="Calibri" w:hAnsi="Calibri"/>
          <w:sz w:val="22"/>
        </w:rPr>
        <w:t>ITAA97 s118.140: 6-month overlap rule</w:t>
      </w:r>
    </w:p>
    <w:p>
      <w:r>
        <w:rPr>
          <w:rFonts w:ascii="Calibri" w:hAnsi="Calibri"/>
          <w:sz w:val="22"/>
        </w:rPr>
        <w:t>Overlap of 257 days exceeds 183-day limit by 74 days</w:t>
      </w:r>
    </w:p>
    <w:p>
      <w:r>
        <w:rPr>
          <w:rFonts w:ascii="Calibri" w:hAnsi="Calibri"/>
          <w:sz w:val="22"/>
        </w:rPr>
        <w:t>Must choose which property loses exemption for excess period</w:t>
      </w:r>
    </w:p>
    <w:p>
      <w:r>
        <w:rPr>
          <w:rFonts w:ascii="Calibri" w:hAnsi="Calibri"/>
          <w:sz w:val="22"/>
        </w:rPr>
        <w:t>Old home loses exemption for 74 days (smaller proportion)</w:t>
      </w:r>
    </w:p>
    <w:p>
      <w:r>
        <w:rPr>
          <w:rFonts w:ascii="Calibri" w:hAnsi="Calibri"/>
          <w:sz w:val="22"/>
        </w:rPr>
        <w:t>ITAA97 s115.25: 50% CGT discount applies</w:t>
      </w:r>
    </w:p>
    <w:p>
      <w:pPr>
        <w:spacing w:before="120" w:after="120"/>
      </w:pPr>
      <w:r>
        <w:rPr>
          <w:color w:val="B4B4B4"/>
          <w:sz w:val="12"/>
        </w:rPr>
        <w:t>────────────────────────────────────────────────────────────────────────────────────────────────────</w:t>
      </w:r>
    </w:p>
    <w:p>
      <w:pPr>
        <w:pStyle w:val="Heading1"/>
      </w:pPr>
      <w:r>
        <w:t>Scenario 16: Construction and 4-Year Building Rule</w:t>
      </w:r>
    </w:p>
    <w:p>
      <w:pPr>
        <w:pStyle w:val="Heading2"/>
      </w:pPr>
      <w:r>
        <w:t>Description</w:t>
      </w:r>
    </w:p>
    <w:p>
      <w:r>
        <w:rPr>
          <w:rFonts w:ascii="Calibri" w:hAnsi="Calibri"/>
          <w:sz w:val="22"/>
        </w:rPr>
        <w:t>Robert buys vacant land and builds his dream home. The 4-year construction rule allows the land to be treated as his main residence from purchase if he builds and moves in within 4 years.</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Hillcrest Avenue, Tarragindi QLD 4121</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Land 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June 2020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Land 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Construction Start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September 2020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Construction Complete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December 2022</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5 January 2023</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20 November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$1,150,000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Build Cost</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Construction Period</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2.6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Jun 2020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Land: $450,000 + $18,000 stamp duty + $2,500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Sep 2020</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Construction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Building commences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Dec 2022</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Construction Complete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Total build cost: $380,000</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05 Jan 2023</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20 Nov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$1,150,000 (agent fees: $28,750, legal fees: $3,000)</w:t>
            </w:r>
          </w:p>
        </w:tc>
      </w:tr>
    </w:tbl>
    <w:p/>
    <w:p>
      <w:pPr>
        <w:pStyle w:val="Heading2"/>
      </w:pPr>
      <w:r>
        <w:t>CGT Calculation</w:t>
      </w:r>
    </w:p>
    <w:p>
      <w:pPr>
        <w:spacing w:after="40" w:before="0"/>
        <w:ind w:left="360"/>
      </w:pPr>
      <w:r>
        <w:rPr>
          <w:rFonts w:ascii="Calibri" w:hAnsi="Calibri"/>
          <w:b/>
          <w:color w:val="003366"/>
          <w:sz w:val="22"/>
        </w:rPr>
        <w:t>Step 1: Verify 4-Year Construction Rule (s118.150)</w:t>
      </w:r>
    </w:p>
    <w:p>
      <w:pPr>
        <w:spacing w:after="40" w:before="0"/>
        <w:ind w:left="360"/>
      </w:pPr>
      <w:r>
        <w:rPr>
          <w:rFonts w:ascii="Calibri" w:hAnsi="Calibri"/>
          <w:sz w:val="22"/>
        </w:rPr>
        <w:t>Land purchase: 1 June 2020</w:t>
      </w:r>
    </w:p>
    <w:p>
      <w:pPr>
        <w:spacing w:after="40" w:before="0"/>
        <w:ind w:left="360"/>
      </w:pPr>
      <w:r>
        <w:rPr>
          <w:rFonts w:ascii="Calibri" w:hAnsi="Calibri"/>
          <w:sz w:val="22"/>
        </w:rPr>
        <w:t>Move in: 5 January 2023</w:t>
      </w:r>
    </w:p>
    <w:p>
      <w:pPr>
        <w:spacing w:after="40" w:before="0"/>
        <w:ind w:left="360"/>
      </w:pPr>
      <w:r>
        <w:rPr>
          <w:rFonts w:ascii="Calibri" w:hAnsi="Calibri"/>
          <w:sz w:val="22"/>
        </w:rPr>
        <w:t>Construction period: 2.6 years</w:t>
      </w:r>
    </w:p>
    <w:p>
      <w:pPr>
        <w:spacing w:after="40" w:before="0"/>
        <w:ind w:left="360"/>
      </w:pPr>
      <w:r>
        <w:rPr>
          <w:rFonts w:ascii="Calibri" w:hAnsi="Calibri"/>
          <w:sz w:val="22"/>
        </w:rPr>
        <w:t>Within 4 years: YES</w:t>
      </w:r>
    </w:p>
    <w:p>
      <w:pPr>
        <w:spacing w:after="40" w:before="0"/>
        <w:ind w:left="360"/>
      </w:pPr>
      <w:r>
        <w:rPr>
          <w:rFonts w:ascii="Calibri" w:hAnsi="Calibri"/>
          <w:b/>
          <w:sz w:val="22"/>
        </w:rPr>
        <w:t>Requirements:</w:t>
      </w:r>
    </w:p>
    <w:p>
      <w:pPr>
        <w:spacing w:after="40" w:before="0"/>
        <w:ind w:left="360"/>
      </w:pPr>
      <w:r>
        <w:rPr>
          <w:rFonts w:ascii="Calibri" w:hAnsi="Calibri"/>
          <w:sz w:val="22"/>
        </w:rPr>
        <w:t>Built dwelling on land: YES</w:t>
      </w:r>
    </w:p>
    <w:p>
      <w:pPr>
        <w:spacing w:after="40" w:before="0"/>
        <w:ind w:left="360"/>
      </w:pPr>
      <w:r>
        <w:rPr>
          <w:rFonts w:ascii="Calibri" w:hAnsi="Calibri"/>
          <w:sz w:val="22"/>
        </w:rPr>
        <w:t>Lived in as main residence as soon as practicable: YES</w:t>
      </w:r>
    </w:p>
    <w:p>
      <w:pPr>
        <w:spacing w:after="40" w:before="0"/>
        <w:ind w:left="360"/>
      </w:pPr>
      <w:r>
        <w:rPr>
          <w:rFonts w:ascii="Calibri" w:hAnsi="Calibri"/>
          <w:sz w:val="22"/>
        </w:rPr>
        <w:t>Did not use land to produce income: YES</w:t>
      </w:r>
    </w:p>
    <w:p>
      <w:pPr>
        <w:spacing w:after="40" w:before="0"/>
        <w:ind w:left="360"/>
      </w:pPr>
      <w:r>
        <w:rPr>
          <w:rFonts w:ascii="Calibri" w:hAnsi="Calibri"/>
          <w:b/>
          <w:color w:val="006400"/>
          <w:sz w:val="22"/>
        </w:rPr>
        <w:t>RESULT: Land treated as main residence from purchase date</w:t>
      </w:r>
    </w:p>
    <w:p>
      <w:pPr>
        <w:spacing w:after="40" w:before="0"/>
        <w:ind w:left="360"/>
      </w:pPr>
      <w:r>
        <w:rPr>
          <w:rFonts w:ascii="Calibri" w:hAnsi="Calibri"/>
          <w:b/>
          <w:color w:val="003366"/>
          <w:sz w:val="22"/>
        </w:rPr>
        <w:t>Step 2: Calculate Capital Gain (for reference)</w:t>
      </w:r>
    </w:p>
    <w:p>
      <w:pPr>
        <w:spacing w:after="40" w:before="0"/>
        <w:ind w:left="360"/>
      </w:pPr>
      <w:r>
        <w:rPr>
          <w:rFonts w:ascii="Calibri" w:hAnsi="Calibri"/>
          <w:sz w:val="22"/>
        </w:rPr>
        <w:t>Sale Price: $1,150,000</w:t>
      </w:r>
    </w:p>
    <w:p>
      <w:pPr>
        <w:spacing w:after="40" w:before="0"/>
        <w:ind w:left="360"/>
      </w:pPr>
      <w:r>
        <w:rPr>
          <w:rFonts w:ascii="Calibri" w:hAnsi="Calibri"/>
          <w:b/>
          <w:sz w:val="22"/>
        </w:rPr>
        <w:t>Cost Base:</w:t>
      </w:r>
    </w:p>
    <w:p>
      <w:pPr>
        <w:spacing w:after="40" w:before="0"/>
        <w:ind w:left="360"/>
      </w:pPr>
      <w:r>
        <w:rPr>
          <w:rFonts w:ascii="Calibri" w:hAnsi="Calibri"/>
          <w:sz w:val="22"/>
        </w:rPr>
        <w:t>Land Purchase: $450,000</w:t>
      </w:r>
    </w:p>
    <w:p>
      <w:pPr>
        <w:spacing w:after="40" w:before="0"/>
        <w:ind w:left="360"/>
      </w:pPr>
      <w:r>
        <w:rPr>
          <w:rFonts w:ascii="Calibri" w:hAnsi="Calibri"/>
          <w:sz w:val="22"/>
        </w:rPr>
        <w:t>Stamp Duty: $18,000</w:t>
      </w:r>
    </w:p>
    <w:p>
      <w:pPr>
        <w:spacing w:after="40" w:before="0"/>
        <w:ind w:left="360"/>
      </w:pPr>
      <w:r>
        <w:rPr>
          <w:rFonts w:ascii="Calibri" w:hAnsi="Calibri"/>
          <w:sz w:val="22"/>
        </w:rPr>
        <w:t>Legal Fees: $2,500</w:t>
      </w:r>
    </w:p>
    <w:p>
      <w:pPr>
        <w:spacing w:after="40" w:before="0"/>
        <w:ind w:left="360"/>
      </w:pPr>
      <w:r>
        <w:rPr>
          <w:rFonts w:ascii="Calibri" w:hAnsi="Calibri"/>
          <w:sz w:val="22"/>
        </w:rPr>
        <w:t>Build Cost: $380,000</w:t>
      </w:r>
    </w:p>
    <w:p>
      <w:pPr>
        <w:spacing w:after="40" w:before="0"/>
        <w:ind w:left="360"/>
      </w:pPr>
      <w:r>
        <w:rPr>
          <w:rFonts w:ascii="Calibri" w:hAnsi="Calibri"/>
          <w:sz w:val="22"/>
        </w:rPr>
        <w:t>Sale Agent Fees: $28,750</w:t>
      </w:r>
    </w:p>
    <w:p>
      <w:pPr>
        <w:spacing w:after="40" w:before="0"/>
        <w:ind w:left="360"/>
      </w:pPr>
      <w:r>
        <w:rPr>
          <w:rFonts w:ascii="Calibri" w:hAnsi="Calibri"/>
          <w:sz w:val="22"/>
        </w:rPr>
        <w:t>Sale Legal Fees: $3,000</w:t>
      </w:r>
    </w:p>
    <w:p>
      <w:pPr>
        <w:spacing w:after="40" w:before="0"/>
        <w:ind w:left="360"/>
      </w:pPr>
      <w:r>
        <w:rPr>
          <w:rFonts w:ascii="Calibri" w:hAnsi="Calibri"/>
          <w:sz w:val="22"/>
        </w:rPr>
        <w:t>Total Cost Base: $882,250</w:t>
      </w:r>
    </w:p>
    <w:p>
      <w:pPr>
        <w:spacing w:after="40" w:before="0"/>
        <w:ind w:left="360"/>
      </w:pPr>
      <w:r>
        <w:rPr>
          <w:rFonts w:ascii="Calibri" w:hAnsi="Calibri"/>
          <w:sz w:val="22"/>
        </w:rPr>
        <w:t>Capital Gain = $1,150,000 - $882,250 = $267,750</w:t>
      </w:r>
    </w:p>
    <w:p>
      <w:pPr>
        <w:spacing w:after="40" w:before="0"/>
        <w:ind w:left="360"/>
      </w:pPr>
      <w:r>
        <w:rPr>
          <w:rFonts w:ascii="Calibri" w:hAnsi="Calibri"/>
          <w:b/>
          <w:color w:val="003366"/>
          <w:sz w:val="22"/>
        </w:rPr>
        <w:t>Step 3: Apply Main Residence Exemption</w:t>
      </w:r>
    </w:p>
    <w:p>
      <w:pPr>
        <w:spacing w:after="40" w:before="0"/>
        <w:ind w:left="360"/>
      </w:pPr>
      <w:r>
        <w:rPr>
          <w:rFonts w:ascii="Calibri" w:hAnsi="Calibri"/>
          <w:sz w:val="22"/>
        </w:rPr>
        <w:t>4-year construction rule applies</w:t>
      </w:r>
    </w:p>
    <w:p>
      <w:pPr>
        <w:spacing w:after="40" w:before="0"/>
        <w:ind w:left="360"/>
      </w:pPr>
      <w:r>
        <w:rPr>
          <w:rFonts w:ascii="Calibri" w:hAnsi="Calibri"/>
          <w:sz w:val="22"/>
        </w:rPr>
        <w:t>Land treated as main residence from purchase</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4: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pStyle w:val="Heading2"/>
      </w:pPr>
      <w:r>
        <w:t>Applicable Rules</w:t>
      </w:r>
    </w:p>
    <w:p>
      <w:r>
        <w:rPr>
          <w:rFonts w:ascii="Calibri" w:hAnsi="Calibri"/>
          <w:sz w:val="22"/>
        </w:rPr>
        <w:t>ITAA97 s118.150: 4-year construction rule</w:t>
      </w:r>
    </w:p>
    <w:p>
      <w:r>
        <w:rPr>
          <w:rFonts w:ascii="Calibri" w:hAnsi="Calibri"/>
          <w:sz w:val="22"/>
        </w:rPr>
        <w:t>Construction period (2.6 years) within 4 years</w:t>
      </w:r>
    </w:p>
    <w:p>
      <w:r>
        <w:rPr>
          <w:rFonts w:ascii="Calibri" w:hAnsi="Calibri"/>
          <w:sz w:val="22"/>
        </w:rPr>
        <w:t>Land treated as main residence from purchase date</w:t>
      </w:r>
    </w:p>
    <w:p>
      <w:r>
        <w:rPr>
          <w:rFonts w:ascii="Calibri" w:hAnsi="Calibri"/>
          <w:sz w:val="22"/>
        </w:rPr>
        <w:t>Moved in as soon as practicable after completion</w:t>
      </w:r>
    </w:p>
    <w:p>
      <w:r>
        <w:rPr>
          <w:rFonts w:ascii="Calibri" w:hAnsi="Calibri"/>
          <w:sz w:val="22"/>
        </w:rPr>
        <w:t>Full exemption applies</w:t>
      </w:r>
    </w:p>
    <w:p>
      <w:pPr>
        <w:spacing w:before="120" w:after="120"/>
      </w:pPr>
      <w:r>
        <w:rPr>
          <w:color w:val="B4B4B4"/>
          <w:sz w:val="12"/>
        </w:rPr>
        <w:t>────────────────────────────────────────────────────────────────────────────────────────────────────</w:t>
      </w:r>
    </w:p>
    <w:p>
      <w:pPr>
        <w:pStyle w:val="Heading1"/>
      </w:pPr>
      <w:r>
        <w:t>Scenario 17: Partial Use - Airbnb Room Rental</w:t>
      </w:r>
    </w:p>
    <w:p>
      <w:pPr>
        <w:pStyle w:val="Heading2"/>
      </w:pPr>
      <w:r>
        <w:t>Description</w:t>
      </w:r>
    </w:p>
    <w:p>
      <w:r>
        <w:rPr>
          <w:rFonts w:ascii="Calibri" w:hAnsi="Calibri"/>
          <w:sz w:val="22"/>
        </w:rPr>
        <w:t>Sophie lives in her home but rents out a spare room on Airbnb for 5 years. The interest deductibility test applies, requiring floor area and time apportionment for the CGT calculation.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22 Birdwood Street, Auchenflower QLD 4066</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April 2016</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Airbnb Start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January 2019</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Airbnb End</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31 December 2023</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August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$850,000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Floor Area</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180 sqm</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Rented Room (Exclusive)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18 sqm</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Shared Areas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45 sqm</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Airbnb Period</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1,826 days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3,059 days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Apr 2016</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$520,000 + $20,800 stamp duty + $2,600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Apr 2016</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Jan 2019</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Airbnb Start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Spare room listed on Airbnb</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31 Dec 2023</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Airbnb End</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Stopped Airbnb rental</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Aug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$850,000 (agent fees: $21,250, legal fees: $2,400)</w:t>
            </w:r>
          </w:p>
        </w:tc>
      </w:tr>
    </w:tbl>
    <w:p/>
    <w:p>
      <w:pPr>
        <w:pStyle w:val="Heading2"/>
      </w:pPr>
      <w:r>
        <w:t>CGT Calculation</w:t>
      </w:r>
    </w:p>
    <w:p>
      <w:pPr>
        <w:spacing w:after="40" w:before="0"/>
        <w:ind w:left="360"/>
      </w:pPr>
      <w:r>
        <w:rPr>
          <w:rFonts w:ascii="Calibri" w:hAnsi="Calibri"/>
          <w:b/>
          <w:color w:val="003366"/>
          <w:sz w:val="22"/>
        </w:rPr>
        <w:t>Step 1: Calculate Income-Producing Proportion</w:t>
      </w:r>
    </w:p>
    <w:p>
      <w:pPr>
        <w:spacing w:after="40" w:before="0"/>
        <w:ind w:left="360"/>
      </w:pPr>
      <w:r>
        <w:rPr>
          <w:rFonts w:ascii="Calibri" w:hAnsi="Calibri"/>
          <w:sz w:val="22"/>
        </w:rPr>
        <w:t>Interest deductibility test applies (s118.190)</w:t>
      </w:r>
    </w:p>
    <w:p>
      <w:pPr>
        <w:spacing w:after="40" w:before="0"/>
        <w:ind w:left="360"/>
      </w:pPr>
      <w:r>
        <w:rPr>
          <w:rFonts w:ascii="Calibri" w:hAnsi="Calibri"/>
          <w:sz w:val="22"/>
        </w:rPr>
        <w:t>Exclusive rented area: 18 / 180 = 10%</w:t>
      </w:r>
    </w:p>
    <w:p>
      <w:pPr>
        <w:spacing w:after="40" w:before="0"/>
        <w:ind w:left="360"/>
      </w:pPr>
      <w:r>
        <w:rPr>
          <w:rFonts w:ascii="Calibri" w:hAnsi="Calibri"/>
          <w:sz w:val="22"/>
        </w:rPr>
        <w:t>Shared area proportion: (45 / 180) x 50% = 12.5%</w:t>
      </w:r>
    </w:p>
    <w:p>
      <w:pPr>
        <w:spacing w:after="40" w:before="0"/>
        <w:ind w:left="360"/>
      </w:pPr>
      <w:r>
        <w:rPr>
          <w:rFonts w:ascii="Calibri" w:hAnsi="Calibri"/>
          <w:sz w:val="22"/>
        </w:rPr>
        <w:t>Total income-producing floor area: 10% + 12.5% = 22.5%</w:t>
      </w:r>
    </w:p>
    <w:p>
      <w:pPr>
        <w:spacing w:after="40" w:before="0"/>
        <w:ind w:left="360"/>
      </w:pPr>
      <w:r>
        <w:rPr>
          <w:rFonts w:ascii="Calibri" w:hAnsi="Calibri"/>
          <w:b/>
          <w:color w:val="003366"/>
          <w:sz w:val="22"/>
        </w:rPr>
        <w:t>Step 2: Calculate Time Proportion</w:t>
      </w:r>
    </w:p>
    <w:p>
      <w:pPr>
        <w:spacing w:after="40" w:before="0"/>
        <w:ind w:left="360"/>
      </w:pPr>
      <w:r>
        <w:rPr>
          <w:rFonts w:ascii="Calibri" w:hAnsi="Calibri"/>
          <w:sz w:val="22"/>
        </w:rPr>
        <w:t>Airbnb period: 1,826 days</w:t>
      </w:r>
    </w:p>
    <w:p>
      <w:pPr>
        <w:spacing w:after="40" w:before="0"/>
        <w:ind w:left="360"/>
      </w:pPr>
      <w:r>
        <w:rPr>
          <w:rFonts w:ascii="Calibri" w:hAnsi="Calibri"/>
          <w:sz w:val="22"/>
        </w:rPr>
        <w:t>Total ownership: 3,059 days</w:t>
      </w:r>
    </w:p>
    <w:p>
      <w:pPr>
        <w:spacing w:after="40" w:before="0"/>
        <w:ind w:left="360"/>
      </w:pPr>
      <w:r>
        <w:rPr>
          <w:rFonts w:ascii="Calibri" w:hAnsi="Calibri"/>
          <w:sz w:val="22"/>
        </w:rPr>
        <w:t>Time proportion: 1,826 / 3,059 = 59.69%</w:t>
      </w:r>
    </w:p>
    <w:p>
      <w:pPr>
        <w:spacing w:after="40" w:before="0"/>
        <w:ind w:left="360"/>
      </w:pPr>
      <w:r>
        <w:rPr>
          <w:rFonts w:ascii="Calibri" w:hAnsi="Calibri"/>
          <w:b/>
          <w:color w:val="003366"/>
          <w:sz w:val="22"/>
        </w:rPr>
        <w:t>Step 3: Calculate Taxable Proportion</w:t>
      </w:r>
    </w:p>
    <w:p>
      <w:pPr>
        <w:spacing w:after="40" w:before="0"/>
        <w:ind w:left="360"/>
      </w:pPr>
      <w:r>
        <w:rPr>
          <w:rFonts w:ascii="Calibri" w:hAnsi="Calibri"/>
          <w:sz w:val="22"/>
        </w:rPr>
        <w:t>Taxable = Floor Area % x Time %</w:t>
      </w:r>
    </w:p>
    <w:p>
      <w:pPr>
        <w:spacing w:after="40" w:before="0"/>
        <w:ind w:left="360"/>
      </w:pPr>
      <w:r>
        <w:rPr>
          <w:rFonts w:ascii="Calibri" w:hAnsi="Calibri"/>
          <w:sz w:val="22"/>
        </w:rPr>
        <w:t>Taxable = 22.5% x 59.69% = 13.43%</w:t>
      </w:r>
    </w:p>
    <w:p>
      <w:pPr>
        <w:spacing w:after="40" w:before="0"/>
        <w:ind w:left="360"/>
      </w:pPr>
      <w:r>
        <w:rPr>
          <w:rFonts w:ascii="Calibri" w:hAnsi="Calibri"/>
          <w:sz w:val="22"/>
        </w:rPr>
        <w:t>Exempt = 86.57%</w:t>
      </w:r>
    </w:p>
    <w:p>
      <w:pPr>
        <w:spacing w:after="40" w:before="0"/>
        <w:ind w:left="360"/>
      </w:pPr>
      <w:r>
        <w:rPr>
          <w:rFonts w:ascii="Calibri" w:hAnsi="Calibri"/>
          <w:b/>
          <w:color w:val="003366"/>
          <w:sz w:val="22"/>
        </w:rPr>
        <w:t>Step 4: Calculate Capital Gain</w:t>
      </w:r>
    </w:p>
    <w:p>
      <w:pPr>
        <w:spacing w:after="40" w:before="0"/>
        <w:ind w:left="360"/>
      </w:pPr>
      <w:r>
        <w:rPr>
          <w:rFonts w:ascii="Calibri" w:hAnsi="Calibri"/>
          <w:sz w:val="22"/>
        </w:rPr>
        <w:t>Sale Price: $850,000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$520,000</w:t>
      </w:r>
    </w:p>
    <w:p>
      <w:pPr>
        <w:spacing w:after="40" w:before="0"/>
        <w:ind w:left="360"/>
      </w:pPr>
      <w:r>
        <w:rPr>
          <w:rFonts w:ascii="Calibri" w:hAnsi="Calibri"/>
          <w:sz w:val="22"/>
        </w:rPr>
        <w:t>Stamp Duty: $20,800</w:t>
      </w:r>
    </w:p>
    <w:p>
      <w:pPr>
        <w:spacing w:after="40" w:before="0"/>
        <w:ind w:left="360"/>
      </w:pPr>
      <w:r>
        <w:rPr>
          <w:rFonts w:ascii="Calibri" w:hAnsi="Calibri"/>
          <w:sz w:val="22"/>
        </w:rPr>
        <w:t>Purchase Legal Fees: $2,600</w:t>
      </w:r>
    </w:p>
    <w:p>
      <w:pPr>
        <w:spacing w:after="40" w:before="0"/>
        <w:ind w:left="360"/>
      </w:pPr>
      <w:r>
        <w:rPr>
          <w:rFonts w:ascii="Calibri" w:hAnsi="Calibri"/>
          <w:sz w:val="22"/>
        </w:rPr>
        <w:t>Sale Agent Fees: $21,250</w:t>
      </w:r>
    </w:p>
    <w:p>
      <w:pPr>
        <w:spacing w:after="40" w:before="0"/>
        <w:ind w:left="360"/>
      </w:pPr>
      <w:r>
        <w:rPr>
          <w:rFonts w:ascii="Calibri" w:hAnsi="Calibri"/>
          <w:sz w:val="22"/>
        </w:rPr>
        <w:t>Sale Legal Fees: $2,400</w:t>
      </w:r>
    </w:p>
    <w:p>
      <w:pPr>
        <w:spacing w:after="40" w:before="0"/>
        <w:ind w:left="360"/>
      </w:pPr>
      <w:r>
        <w:rPr>
          <w:rFonts w:ascii="Calibri" w:hAnsi="Calibri"/>
          <w:sz w:val="22"/>
        </w:rPr>
        <w:t>Total Cost Base: $567,050</w:t>
      </w:r>
    </w:p>
    <w:p>
      <w:pPr>
        <w:spacing w:after="40" w:before="0"/>
        <w:ind w:left="360"/>
      </w:pPr>
      <w:r>
        <w:rPr>
          <w:rFonts w:ascii="Calibri" w:hAnsi="Calibri"/>
          <w:sz w:val="22"/>
        </w:rPr>
        <w:t>Capital Gain = $850,000 - $567,050 = $282,950</w:t>
      </w:r>
    </w:p>
    <w:p>
      <w:pPr>
        <w:spacing w:after="40" w:before="0"/>
        <w:ind w:left="360"/>
      </w:pPr>
      <w:r>
        <w:rPr>
          <w:rFonts w:ascii="Calibri" w:hAnsi="Calibri"/>
          <w:b/>
          <w:color w:val="003366"/>
          <w:sz w:val="22"/>
        </w:rPr>
        <w:t>Step 5: Apply Partial Exemption</w:t>
      </w:r>
    </w:p>
    <w:p>
      <w:pPr>
        <w:spacing w:after="40" w:before="0"/>
        <w:ind w:left="360"/>
      </w:pPr>
      <w:r>
        <w:rPr>
          <w:rFonts w:ascii="Calibri" w:hAnsi="Calibri"/>
          <w:sz w:val="22"/>
        </w:rPr>
        <w:t>Taxable Capital Gain = $282,950 x 13.43% = $38,002</w:t>
      </w:r>
    </w:p>
    <w:p>
      <w:pPr>
        <w:spacing w:after="40" w:before="0"/>
        <w:ind w:left="360"/>
      </w:pPr>
      <w:r>
        <w:rPr>
          <w:rFonts w:ascii="Calibri" w:hAnsi="Calibri"/>
          <w:b/>
          <w:color w:val="003366"/>
          <w:sz w:val="22"/>
        </w:rPr>
        <w:t>Step 6: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$38,002 x 50% = $19,001</w:t>
      </w:r>
    </w:p>
    <w:p>
      <w:pPr>
        <w:spacing w:after="40" w:before="0"/>
        <w:ind w:left="360"/>
      </w:pPr>
      <w:r>
        <w:rPr>
          <w:rFonts w:ascii="Calibri" w:hAnsi="Calibri"/>
          <w:b/>
          <w:color w:val="006400"/>
          <w:sz w:val="22"/>
        </w:rPr>
        <w:t>RESULT: NET CAPITAL GAIN = $19,001</w:t>
      </w:r>
    </w:p>
    <w:p>
      <w:pPr>
        <w:pStyle w:val="Heading2"/>
      </w:pPr>
      <w:r>
        <w:t>Applicable Rules</w:t>
      </w:r>
    </w:p>
    <w:p>
      <w:r>
        <w:rPr>
          <w:rFonts w:ascii="Calibri" w:hAnsi="Calibri"/>
          <w:sz w:val="22"/>
        </w:rPr>
        <w:t>ITAA97 s118.190: Interest deductibility test applies</w:t>
      </w:r>
    </w:p>
    <w:p>
      <w:r>
        <w:rPr>
          <w:rFonts w:ascii="Calibri" w:hAnsi="Calibri"/>
          <w:sz w:val="22"/>
        </w:rPr>
        <w:t>Floor area apportionment required</w:t>
      </w:r>
    </w:p>
    <w:p>
      <w:r>
        <w:rPr>
          <w:rFonts w:ascii="Calibri" w:hAnsi="Calibri"/>
          <w:sz w:val="22"/>
        </w:rPr>
        <w:t>Time apportionment for rental period</w:t>
      </w:r>
    </w:p>
    <w:p>
      <w:r>
        <w:rPr>
          <w:rFonts w:ascii="Calibri" w:hAnsi="Calibri"/>
          <w:sz w:val="22"/>
        </w:rPr>
        <w:t>Taxable proportion = 22.5% x 59.69% = 13.43%</w:t>
      </w:r>
    </w:p>
    <w:p>
      <w:r>
        <w:rPr>
          <w:rFonts w:ascii="Calibri" w:hAnsi="Calibri"/>
          <w:sz w:val="22"/>
        </w:rPr>
        <w:t>ITAA97 s115.25: 50% CGT discount applies</w:t>
      </w:r>
    </w:p>
    <w:p>
      <w:pPr>
        <w:spacing w:before="120" w:after="120"/>
      </w:pPr>
      <w:r>
        <w:rPr>
          <w:color w:val="B4B4B4"/>
          <w:sz w:val="12"/>
        </w:rPr>
        <w:t>────────────────────────────────────────────────────────────────────────────────────────────────────</w:t>
      </w:r>
    </w:p>
    <w:p>
      <w:pPr>
        <w:pStyle w:val="Heading1"/>
      </w:pPr>
      <w:r>
        <w:t>Scenario 18: Couple with Separate Properties</w:t>
      </w:r>
    </w:p>
    <w:p>
      <w:pPr>
        <w:pStyle w:val="Heading2"/>
      </w:pPr>
      <w:r>
        <w:t>Description</w:t>
      </w:r>
    </w:p>
    <w:p>
      <w:r>
        <w:rPr>
          <w:rFonts w:ascii="Calibri" w:hAnsi="Calibri"/>
          <w:sz w:val="22"/>
        </w:rPr>
        <w:t>Alex and Sam each own a home before they get married and move in together. From the date of cohabitation, they can only claim one property as their joint main residence.</w:t>
      </w:r>
    </w:p>
    <w:p>
      <w:pPr>
        <w:pStyle w:val="Heading2"/>
      </w:pPr>
      <w:r>
        <w:t>Key Facts</w:t>
      </w:r>
    </w:p>
    <w:p>
      <w:r>
        <w:rPr>
          <w:rFonts w:ascii="Calibri" w:hAnsi="Calibri"/>
          <w:sz w:val="22"/>
        </w:rPr>
        <w:t>Alex's Property (Bulimba)</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45 Oxford Street, Bulimba QLD 4171</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July 2015</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Out (to Sam's)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March 2020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Marriage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June 2020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September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$920,000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3,365 days</w:t>
            </w:r>
          </w:p>
        </w:tc>
      </w:tr>
    </w:tbl>
    <w:p/>
    <w:p>
      <w:r>
        <w:rPr>
          <w:rFonts w:ascii="Calibri" w:hAnsi="Calibri"/>
          <w:sz w:val="22"/>
        </w:rPr>
        <w:t>Sam's Property (New Farm) - Shared Home</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88 Moray Street, New Farm QLD 4005</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January 2017</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$650,000</w:t>
            </w:r>
          </w:p>
        </w:tc>
      </w:tr>
    </w:tbl>
    <w:p/>
    <w:p>
      <w:pPr>
        <w:pStyle w:val="Heading2"/>
      </w:pPr>
      <w:r>
        <w:t>Timeline of Events</w:t>
      </w:r>
    </w:p>
    <w:p>
      <w:r>
        <w:rPr>
          <w:rFonts w:ascii="Calibri" w:hAnsi="Calibri"/>
          <w:sz w:val="22"/>
        </w:rPr>
        <w:t>Alex's Property</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Jul 2015</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$580,000 + $23,200 stamp duty + $2,900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Jul 2015</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Mar 2020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Moved in with Sam</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Sep 2024</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$920,000 (agent fees: $23,000, legal fees: $2,600)</w:t>
            </w:r>
          </w:p>
        </w:tc>
      </w:tr>
    </w:tbl>
    <w:p/>
    <w:p>
      <w:r>
        <w:rPr>
          <w:rFonts w:ascii="Calibri" w:hAnsi="Calibri"/>
          <w:sz w:val="22"/>
        </w:rPr>
        <w:t>Sam's Property</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Jan 2017</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$650,000 + stamp duty +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Jan 2017</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Sam's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Mar 2020</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Alex Move In</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Couple cohabits, joint main residence</w:t>
            </w:r>
          </w:p>
        </w:tc>
      </w:tr>
    </w:tbl>
    <w:p/>
    <w:p>
      <w:pPr>
        <w:pStyle w:val="Heading2"/>
      </w:pPr>
      <w:r>
        <w:t>CGT Calculation - Alex's Property</w:t>
      </w:r>
    </w:p>
    <w:p>
      <w:pPr>
        <w:spacing w:after="40" w:before="0"/>
        <w:ind w:left="360"/>
      </w:pPr>
      <w:r>
        <w:rPr>
          <w:rFonts w:ascii="Calibri" w:hAnsi="Calibri"/>
          <w:b/>
          <w:color w:val="003366"/>
          <w:sz w:val="22"/>
        </w:rPr>
        <w:t>Step 1: Determine Main Residence Periods</w:t>
      </w:r>
    </w:p>
    <w:p>
      <w:pPr>
        <w:spacing w:after="40" w:before="0"/>
        <w:ind w:left="360"/>
      </w:pPr>
      <w:r>
        <w:rPr>
          <w:rFonts w:ascii="Calibri" w:hAnsi="Calibri"/>
          <w:sz w:val="22"/>
        </w:rPr>
        <w:t>Alex's main residence: 1 Jul 2015 to 1 Mar 2020 = 1,705 days</w:t>
      </w:r>
    </w:p>
    <w:p>
      <w:pPr>
        <w:spacing w:after="40" w:before="0"/>
        <w:ind w:left="360"/>
      </w:pPr>
      <w:r>
        <w:rPr>
          <w:rFonts w:ascii="Calibri" w:hAnsi="Calibri"/>
          <w:sz w:val="22"/>
        </w:rPr>
        <w:t>Non-main residence (after cohabitation): 1 Mar 2020 to 15 Sep 2024 = 1,660 days</w:t>
      </w:r>
    </w:p>
    <w:p>
      <w:pPr>
        <w:spacing w:after="40" w:before="0"/>
        <w:ind w:left="360"/>
      </w:pPr>
      <w:r>
        <w:rPr>
          <w:rFonts w:ascii="Calibri" w:hAnsi="Calibri"/>
          <w:sz w:val="22"/>
        </w:rPr>
        <w:t>Note: Couple claimed Sam's property as joint main residence from 1 March 2020</w:t>
      </w:r>
    </w:p>
    <w:p>
      <w:pPr>
        <w:spacing w:after="40" w:before="0"/>
        <w:ind w:left="360"/>
      </w:pPr>
      <w:r>
        <w:rPr>
          <w:rFonts w:ascii="Calibri" w:hAnsi="Calibri"/>
          <w:b/>
          <w:color w:val="003366"/>
          <w:sz w:val="22"/>
        </w:rPr>
        <w:t>Step 2: Calculate Proportions</w:t>
      </w:r>
    </w:p>
    <w:p>
      <w:pPr>
        <w:spacing w:after="40" w:before="0"/>
        <w:ind w:left="360"/>
      </w:pPr>
      <w:r>
        <w:rPr>
          <w:rFonts w:ascii="Calibri" w:hAnsi="Calibri"/>
          <w:sz w:val="22"/>
        </w:rPr>
        <w:t>Total ownership: 3,365 days</w:t>
      </w:r>
    </w:p>
    <w:p>
      <w:pPr>
        <w:spacing w:after="40" w:before="0"/>
        <w:ind w:left="360"/>
      </w:pPr>
      <w:r>
        <w:rPr>
          <w:rFonts w:ascii="Calibri" w:hAnsi="Calibri"/>
          <w:sz w:val="22"/>
        </w:rPr>
        <w:t>Main residence days: 1,705 days</w:t>
      </w:r>
    </w:p>
    <w:p>
      <w:pPr>
        <w:spacing w:after="40" w:before="0"/>
        <w:ind w:left="360"/>
      </w:pPr>
      <w:r>
        <w:rPr>
          <w:rFonts w:ascii="Calibri" w:hAnsi="Calibri"/>
          <w:sz w:val="22"/>
        </w:rPr>
        <w:t>Non-main residence days: 1,660 days</w:t>
      </w:r>
    </w:p>
    <w:p>
      <w:pPr>
        <w:spacing w:after="40" w:before="0"/>
        <w:ind w:left="360"/>
      </w:pPr>
      <w:r>
        <w:rPr>
          <w:rFonts w:ascii="Calibri" w:hAnsi="Calibri"/>
          <w:sz w:val="22"/>
        </w:rPr>
        <w:t>Exempt Proportion = 1,705 / 3,365 = 50.67%</w:t>
      </w:r>
    </w:p>
    <w:p>
      <w:pPr>
        <w:spacing w:after="40" w:before="0"/>
        <w:ind w:left="360"/>
      </w:pPr>
      <w:r>
        <w:rPr>
          <w:rFonts w:ascii="Calibri" w:hAnsi="Calibri"/>
          <w:sz w:val="22"/>
        </w:rPr>
        <w:t>Taxable Proportion = 1,660 / 3,365 = 49.33%</w:t>
      </w:r>
    </w:p>
    <w:p>
      <w:pPr>
        <w:spacing w:after="40" w:before="0"/>
        <w:ind w:left="360"/>
      </w:pPr>
      <w:r>
        <w:rPr>
          <w:rFonts w:ascii="Calibri" w:hAnsi="Calibri"/>
          <w:b/>
          <w:color w:val="003366"/>
          <w:sz w:val="22"/>
        </w:rPr>
        <w:t>Step 3: Calculate Capital Gain</w:t>
      </w:r>
    </w:p>
    <w:p>
      <w:pPr>
        <w:spacing w:after="40" w:before="0"/>
        <w:ind w:left="360"/>
      </w:pPr>
      <w:r>
        <w:rPr>
          <w:rFonts w:ascii="Calibri" w:hAnsi="Calibri"/>
          <w:sz w:val="22"/>
        </w:rPr>
        <w:t>Sale Price: $920,000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$580,000</w:t>
      </w:r>
    </w:p>
    <w:p>
      <w:pPr>
        <w:spacing w:after="40" w:before="0"/>
        <w:ind w:left="360"/>
      </w:pPr>
      <w:r>
        <w:rPr>
          <w:rFonts w:ascii="Calibri" w:hAnsi="Calibri"/>
          <w:sz w:val="22"/>
        </w:rPr>
        <w:t>Stamp Duty: $23,200</w:t>
      </w:r>
    </w:p>
    <w:p>
      <w:pPr>
        <w:spacing w:after="40" w:before="0"/>
        <w:ind w:left="360"/>
      </w:pPr>
      <w:r>
        <w:rPr>
          <w:rFonts w:ascii="Calibri" w:hAnsi="Calibri"/>
          <w:sz w:val="22"/>
        </w:rPr>
        <w:t>Purchase Legal Fees: $2,900</w:t>
      </w:r>
    </w:p>
    <w:p>
      <w:pPr>
        <w:spacing w:after="40" w:before="0"/>
        <w:ind w:left="360"/>
      </w:pPr>
      <w:r>
        <w:rPr>
          <w:rFonts w:ascii="Calibri" w:hAnsi="Calibri"/>
          <w:sz w:val="22"/>
        </w:rPr>
        <w:t>Sale Agent Fees: $23,000</w:t>
      </w:r>
    </w:p>
    <w:p>
      <w:pPr>
        <w:spacing w:after="40" w:before="0"/>
        <w:ind w:left="360"/>
      </w:pPr>
      <w:r>
        <w:rPr>
          <w:rFonts w:ascii="Calibri" w:hAnsi="Calibri"/>
          <w:sz w:val="22"/>
        </w:rPr>
        <w:t>Sale Legal Fees: $2,600</w:t>
      </w:r>
    </w:p>
    <w:p>
      <w:pPr>
        <w:spacing w:after="40" w:before="0"/>
        <w:ind w:left="360"/>
      </w:pPr>
      <w:r>
        <w:rPr>
          <w:rFonts w:ascii="Calibri" w:hAnsi="Calibri"/>
          <w:sz w:val="22"/>
        </w:rPr>
        <w:t>Total Cost Base: $631,700</w:t>
      </w:r>
    </w:p>
    <w:p>
      <w:pPr>
        <w:spacing w:after="40" w:before="0"/>
        <w:ind w:left="360"/>
      </w:pPr>
      <w:r>
        <w:rPr>
          <w:rFonts w:ascii="Calibri" w:hAnsi="Calibri"/>
          <w:sz w:val="22"/>
        </w:rPr>
        <w:t>Capital Gain = $920,000 - $631,700 = $288,300</w:t>
      </w:r>
    </w:p>
    <w:p>
      <w:pPr>
        <w:spacing w:after="40" w:before="0"/>
        <w:ind w:left="360"/>
      </w:pPr>
      <w:r>
        <w:rPr>
          <w:rFonts w:ascii="Calibri" w:hAnsi="Calibri"/>
          <w:b/>
          <w:color w:val="003366"/>
          <w:sz w:val="22"/>
        </w:rPr>
        <w:t>Step 4: Apply Partial Exemption</w:t>
      </w:r>
    </w:p>
    <w:p>
      <w:pPr>
        <w:spacing w:after="40" w:before="0"/>
        <w:ind w:left="360"/>
      </w:pPr>
      <w:r>
        <w:rPr>
          <w:rFonts w:ascii="Calibri" w:hAnsi="Calibri"/>
          <w:sz w:val="22"/>
        </w:rPr>
        <w:t>Taxable Capital Gain = $288,300 x 49.33% = $142,214</w:t>
      </w:r>
    </w:p>
    <w:p>
      <w:pPr>
        <w:spacing w:after="40" w:before="0"/>
        <w:ind w:left="360"/>
      </w:pPr>
      <w:r>
        <w:rPr>
          <w:rFonts w:ascii="Calibri" w:hAnsi="Calibri"/>
          <w:b/>
          <w:color w:val="003366"/>
          <w:sz w:val="22"/>
        </w:rPr>
        <w:t>Step 5: Apply 50% CGT Discount</w:t>
      </w:r>
    </w:p>
    <w:p>
      <w:pPr>
        <w:spacing w:after="40" w:before="0"/>
        <w:ind w:left="360"/>
      </w:pPr>
      <w:r>
        <w:rPr>
          <w:rFonts w:ascii="Calibri" w:hAnsi="Calibri"/>
          <w:sz w:val="22"/>
        </w:rPr>
        <w:t>Held &gt; 12 months: YES</w:t>
      </w:r>
    </w:p>
    <w:p>
      <w:pPr>
        <w:spacing w:after="40" w:before="0"/>
        <w:ind w:left="360"/>
      </w:pPr>
      <w:r>
        <w:rPr>
          <w:rFonts w:ascii="Calibri" w:hAnsi="Calibri"/>
          <w:sz w:val="22"/>
        </w:rPr>
        <w:t>Discounted Gain = $142,214 x 50% = $71,107</w:t>
      </w:r>
    </w:p>
    <w:p>
      <w:pPr>
        <w:spacing w:after="40" w:before="0"/>
        <w:ind w:left="360"/>
      </w:pPr>
      <w:r>
        <w:rPr>
          <w:rFonts w:ascii="Calibri" w:hAnsi="Calibri"/>
          <w:b/>
          <w:color w:val="006400"/>
          <w:sz w:val="22"/>
        </w:rPr>
        <w:t>RESULT: NET CAPITAL GAIN = $71,107</w:t>
      </w:r>
    </w:p>
    <w:p>
      <w:pPr>
        <w:pStyle w:val="Heading2"/>
      </w:pPr>
      <w:r>
        <w:t>Applicable Rules</w:t>
      </w:r>
    </w:p>
    <w:p>
      <w:r>
        <w:rPr>
          <w:rFonts w:ascii="Calibri" w:hAnsi="Calibri"/>
          <w:sz w:val="22"/>
        </w:rPr>
        <w:t>From cohabitation date (1 Mar 2020), couple can only claim ONE main residence</w:t>
      </w:r>
    </w:p>
    <w:p>
      <w:r>
        <w:rPr>
          <w:rFonts w:ascii="Calibri" w:hAnsi="Calibri"/>
          <w:sz w:val="22"/>
        </w:rPr>
        <w:t>Alex's property was no longer main residence after moving in with Sam</w:t>
      </w:r>
    </w:p>
    <w:p>
      <w:r>
        <w:rPr>
          <w:rFonts w:ascii="Calibri" w:hAnsi="Calibri"/>
          <w:sz w:val="22"/>
        </w:rPr>
        <w:t>Couple claimed Sam's property as joint main residence</w:t>
      </w:r>
    </w:p>
    <w:p>
      <w:r>
        <w:rPr>
          <w:rFonts w:ascii="Calibri" w:hAnsi="Calibri"/>
          <w:sz w:val="22"/>
        </w:rPr>
        <w:t>ITAA97 s118.185: Partial exemption applies</w:t>
      </w:r>
    </w:p>
    <w:p>
      <w:r>
        <w:rPr>
          <w:rFonts w:ascii="Calibri" w:hAnsi="Calibri"/>
          <w:sz w:val="22"/>
        </w:rPr>
        <w:t>ITAA97 s115.25: 50% CGT discount applies</w:t>
      </w:r>
    </w:p>
    <w:p>
      <w:pPr>
        <w:spacing w:before="120" w:after="120"/>
      </w:pPr>
      <w:r>
        <w:rPr>
          <w:color w:val="B4B4B4"/>
          <w:sz w:val="12"/>
        </w:rPr>
        <w:t>────────────────────────────────────────────────────────────────────────────────────────────────────</w:t>
      </w:r>
    </w:p>
    <w:p>
      <w:pPr>
        <w:pStyle w:val="Heading1"/>
      </w:pPr>
      <w:r>
        <w:t>Scenario 19: Foreign Resident Period Impact</w:t>
      </w:r>
    </w:p>
    <w:p>
      <w:pPr>
        <w:pStyle w:val="Heading2"/>
      </w:pPr>
      <w:r>
        <w:t>Description</w:t>
      </w:r>
    </w:p>
    <w:p>
      <w:r>
        <w:rPr>
          <w:rFonts w:ascii="Calibri" w:hAnsi="Calibri"/>
          <w:sz w:val="22"/>
        </w:rPr>
        <w:t>Lisa is an Australian resident who moves overseas for work, becomes a foreign resident for tax purposes, rents her home, then returns to Australia. The foreign residency period affects the CGT discount calculation.</w:t>
      </w:r>
    </w:p>
    <w:p>
      <w:pPr>
        <w:pStyle w:val="Heading2"/>
      </w:pPr>
      <w:r>
        <w:t>Key Facts</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Property</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33 Hillside Crescent, Hamilton QLD 4007</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August 2013</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$495,000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to Singapore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July 2018</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Rental Period</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 Jul 2018 to 30 Jun 2022 (4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Return to Australia</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30 June 2022</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November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$810,000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Total Ownership</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11.3 years</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Australian Resident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7.3 years</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Foreign Resident</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 years</w:t>
            </w:r>
          </w:p>
        </w:tc>
      </w:tr>
    </w:tbl>
    <w:p/>
    <w:p>
      <w:pPr>
        <w:pStyle w:val="Heading2"/>
      </w:pPr>
      <w:r>
        <w:t>Timeline of Events</w:t>
      </w:r>
    </w:p>
    <w:tbl>
      <w:tblPr>
        <w:tblStyle w:val="TableGrid"/>
        <w:tblW w:type="auto" w:w="0"/>
        <w:jc w:val="left"/>
        <w:tblLayout w:type="autofit"/>
        <w:tblLook w:firstColumn="1" w:firstRow="1" w:lastColumn="0" w:lastRow="0" w:noHBand="0" w:noVBand="1" w:val="04A0"/>
      </w:tblPr>
      <w:tblGrid>
        <w:gridCol w:w="3360"/>
        <w:gridCol w:w="3360"/>
        <w:gridCol w:w="3360"/>
      </w:tblGrid>
      <w:tr>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Date</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Event</w:t>
            </w:r>
          </w:p>
        </w:tc>
        <w:tc>
          <w:tcPr>
            <w:tcW w:type="dxa" w:w="336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Details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Aug 2013</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$495,000 + $19,800 stamp duty + $2,400 legal fees</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Aug 2013</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Established as main residence</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01 Jul 2018</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Out</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Moved to Singapore (becomes foreign resident)</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01 Jul 2018</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Start</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Property rented</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30 Jun 2022</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Move In</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Returns to Australia (Australian resident again)</w:t>
            </w:r>
          </w:p>
        </w:tc>
      </w:tr>
      <w:tr>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30 Jun 2022</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 End</w:t>
            </w:r>
          </w:p>
        </w:tc>
        <w:tc>
          <w:tcPr>
            <w:tcW w:type="dxa" w:w="3360"/>
            <w:shd w:fill="FFFFFF"/>
            <w:tcBorders>
              <w:top w:val="single" w:sz="4" w:color="CCCCCC"/>
              <w:left w:val="single" w:sz="4" w:color="CCCCCC"/>
              <w:bottom w:val="single" w:sz="4" w:color="CCCCCC"/>
              <w:right w:val="single" w:sz="4" w:color="CCCCCC"/>
            </w:tcBorders>
          </w:tcPr>
          <w:p>
            <w:pPr>
              <w:jc w:val="left"/>
            </w:pPr>
            <w:r>
              <w:rPr>
                <w:rFonts w:ascii="Calibri" w:hAnsi="Calibri"/>
                <w:sz w:val="20"/>
              </w:rPr>
              <w:t>Tenant leaves</w:t>
            </w:r>
          </w:p>
        </w:tc>
      </w:tr>
      <w:tr>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Nov 2024</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w:t>
            </w:r>
          </w:p>
        </w:tc>
        <w:tc>
          <w:tcPr>
            <w:tcW w:type="dxa" w:w="3360"/>
            <w:shd w:fill="F0F4F8"/>
            <w:tcBorders>
              <w:top w:val="single" w:sz="4" w:color="CCCCCC"/>
              <w:left w:val="single" w:sz="4" w:color="CCCCCC"/>
              <w:bottom w:val="single" w:sz="4" w:color="CCCCCC"/>
              <w:right w:val="single" w:sz="4" w:color="CCCCCC"/>
            </w:tcBorders>
          </w:tcPr>
          <w:p>
            <w:pPr>
              <w:jc w:val="left"/>
            </w:pPr>
            <w:r>
              <w:rPr>
                <w:rFonts w:ascii="Calibri" w:hAnsi="Calibri"/>
                <w:sz w:val="20"/>
              </w:rPr>
              <w:t>$810,000 (agent fees: $20,250, legal fees: $2,300)</w:t>
            </w:r>
          </w:p>
        </w:tc>
      </w:tr>
    </w:tbl>
    <w:p/>
    <w:p>
      <w:pPr>
        <w:pStyle w:val="Heading2"/>
      </w:pPr>
      <w:r>
        <w:t>CGT Calculation</w:t>
      </w:r>
    </w:p>
    <w:p>
      <w:pPr>
        <w:spacing w:after="40" w:before="0"/>
        <w:ind w:left="360"/>
      </w:pPr>
      <w:r>
        <w:rPr>
          <w:rFonts w:ascii="Calibri" w:hAnsi="Calibri"/>
          <w:b/>
          <w:color w:val="003366"/>
          <w:sz w:val="22"/>
        </w:rPr>
        <w:t>Step 1: Check Six-Year Rule Eligibility</w:t>
      </w:r>
    </w:p>
    <w:p>
      <w:pPr>
        <w:spacing w:after="40" w:before="0"/>
        <w:ind w:left="360"/>
      </w:pPr>
      <w:r>
        <w:rPr>
          <w:rFonts w:ascii="Calibri" w:hAnsi="Calibri"/>
          <w:sz w:val="22"/>
        </w:rPr>
        <w:t>Rental period: 1 Jul 2018 to 30 Jun 2022 = 4 years</w:t>
      </w:r>
    </w:p>
    <w:p>
      <w:pPr>
        <w:spacing w:after="40" w:before="0"/>
        <w:ind w:left="360"/>
      </w:pPr>
      <w:r>
        <w:rPr>
          <w:rFonts w:ascii="Calibri" w:hAnsi="Calibri"/>
          <w:sz w:val="22"/>
        </w:rPr>
        <w:t>Six-year rule applies (rental &lt; 6 years)</w:t>
      </w:r>
    </w:p>
    <w:p>
      <w:pPr>
        <w:spacing w:after="40" w:before="0"/>
        <w:ind w:left="360"/>
      </w:pPr>
      <w:r>
        <w:rPr>
          <w:rFonts w:ascii="Calibri" w:hAnsi="Calibri"/>
          <w:sz w:val="22"/>
        </w:rPr>
        <w:t>Full main residence exemption available</w:t>
      </w:r>
    </w:p>
    <w:p>
      <w:pPr>
        <w:spacing w:after="40" w:before="0"/>
        <w:ind w:left="360"/>
      </w:pPr>
      <w:r>
        <w:rPr>
          <w:rFonts w:ascii="Calibri" w:hAnsi="Calibri"/>
          <w:b/>
          <w:color w:val="003366"/>
          <w:sz w:val="22"/>
        </w:rPr>
        <w:t>Step 2: Check Foreign Resident Impact</w:t>
      </w:r>
    </w:p>
    <w:p>
      <w:pPr>
        <w:spacing w:after="40" w:before="0"/>
        <w:ind w:left="360"/>
      </w:pPr>
      <w:r>
        <w:rPr>
          <w:rFonts w:ascii="Calibri" w:hAnsi="Calibri"/>
          <w:sz w:val="22"/>
        </w:rPr>
        <w:t>Lisa was Australian resident at time of sale</w:t>
      </w:r>
    </w:p>
    <w:p>
      <w:pPr>
        <w:spacing w:after="40" w:before="0"/>
        <w:ind w:left="360"/>
      </w:pPr>
      <w:r>
        <w:rPr>
          <w:rFonts w:ascii="Calibri" w:hAnsi="Calibri"/>
          <w:sz w:val="22"/>
        </w:rPr>
        <w:t>Foreign resident period: 4 years</w:t>
      </w:r>
    </w:p>
    <w:p>
      <w:pPr>
        <w:spacing w:after="40" w:before="0"/>
        <w:ind w:left="360"/>
      </w:pPr>
      <w:r>
        <w:rPr>
          <w:rFonts w:ascii="Calibri" w:hAnsi="Calibri"/>
          <w:sz w:val="22"/>
        </w:rPr>
        <w:t>Australian resident period: 7.3 years</w:t>
      </w:r>
    </w:p>
    <w:p>
      <w:pPr>
        <w:spacing w:after="40" w:before="0"/>
        <w:ind w:left="360"/>
      </w:pPr>
      <w:r>
        <w:rPr>
          <w:rFonts w:ascii="Calibri" w:hAnsi="Calibri"/>
          <w:sz w:val="22"/>
        </w:rPr>
        <w:t>Since she returned BEFORE selling:</w:t>
      </w:r>
    </w:p>
    <w:p>
      <w:pPr>
        <w:spacing w:after="40" w:before="0"/>
        <w:ind w:left="360"/>
      </w:pPr>
      <w:r>
        <w:rPr>
          <w:rFonts w:ascii="Calibri" w:hAnsi="Calibri"/>
          <w:sz w:val="22"/>
        </w:rPr>
        <w:t>Full MRE can be claimed</w:t>
      </w:r>
    </w:p>
    <w:p>
      <w:pPr>
        <w:spacing w:after="40" w:before="0"/>
        <w:ind w:left="360"/>
      </w:pPr>
      <w:r>
        <w:rPr>
          <w:rFonts w:ascii="Calibri" w:hAnsi="Calibri"/>
          <w:sz w:val="22"/>
        </w:rPr>
        <w:t>CGT discount reduced for foreign resident period</w:t>
      </w:r>
    </w:p>
    <w:p>
      <w:pPr>
        <w:spacing w:after="40" w:before="0"/>
        <w:ind w:left="360"/>
      </w:pPr>
      <w:r>
        <w:rPr>
          <w:rFonts w:ascii="Calibri" w:hAnsi="Calibri"/>
          <w:b/>
          <w:color w:val="003366"/>
          <w:sz w:val="22"/>
        </w:rPr>
        <w:t>Step 3: Calculate CGT Discount Reduction</w:t>
      </w:r>
    </w:p>
    <w:p>
      <w:pPr>
        <w:spacing w:after="40" w:before="0"/>
        <w:ind w:left="360"/>
      </w:pPr>
      <w:r>
        <w:rPr>
          <w:rFonts w:ascii="Calibri" w:hAnsi="Calibri"/>
          <w:sz w:val="22"/>
        </w:rPr>
        <w:t>Standard discount: 50%</w:t>
      </w:r>
    </w:p>
    <w:p>
      <w:pPr>
        <w:spacing w:after="40" w:before="0"/>
        <w:ind w:left="360"/>
      </w:pPr>
      <w:r>
        <w:rPr>
          <w:rFonts w:ascii="Calibri" w:hAnsi="Calibri"/>
          <w:sz w:val="22"/>
        </w:rPr>
        <w:t>Australian resident proportion: 7.3 / 11.3 = 64.6%</w:t>
      </w:r>
    </w:p>
    <w:p>
      <w:pPr>
        <w:spacing w:after="40" w:before="0"/>
        <w:ind w:left="360"/>
      </w:pPr>
      <w:r>
        <w:rPr>
          <w:rFonts w:ascii="Calibri" w:hAnsi="Calibri"/>
          <w:sz w:val="22"/>
        </w:rPr>
        <w:t>Reduced discount: 50% x 64.6% = 32.3%</w:t>
      </w:r>
    </w:p>
    <w:p>
      <w:pPr>
        <w:spacing w:after="40" w:before="0"/>
        <w:ind w:left="360"/>
      </w:pPr>
      <w:r>
        <w:rPr>
          <w:rFonts w:ascii="Calibri" w:hAnsi="Calibri"/>
          <w:b/>
          <w:color w:val="003366"/>
          <w:sz w:val="22"/>
        </w:rPr>
        <w:t>Step 4: Calculate Capital Gain (for reference)</w:t>
      </w:r>
    </w:p>
    <w:p>
      <w:pPr>
        <w:spacing w:after="40" w:before="0"/>
        <w:ind w:left="360"/>
      </w:pPr>
      <w:r>
        <w:rPr>
          <w:rFonts w:ascii="Calibri" w:hAnsi="Calibri"/>
          <w:sz w:val="22"/>
        </w:rPr>
        <w:t>Sale Price: $810,000</w:t>
      </w:r>
    </w:p>
    <w:p>
      <w:pPr>
        <w:spacing w:after="40" w:before="0"/>
        <w:ind w:left="360"/>
      </w:pPr>
      <w:r>
        <w:rPr>
          <w:rFonts w:ascii="Calibri" w:hAnsi="Calibri"/>
          <w:b/>
          <w:sz w:val="22"/>
        </w:rPr>
        <w:t>Cost Base:</w:t>
      </w:r>
    </w:p>
    <w:p>
      <w:pPr>
        <w:spacing w:after="40" w:before="0"/>
        <w:ind w:left="360"/>
      </w:pPr>
      <w:r>
        <w:rPr>
          <w:rFonts w:ascii="Calibri" w:hAnsi="Calibri"/>
          <w:sz w:val="22"/>
        </w:rPr>
        <w:t>Purchase Price: $495,000</w:t>
      </w:r>
    </w:p>
    <w:p>
      <w:pPr>
        <w:spacing w:after="40" w:before="0"/>
        <w:ind w:left="360"/>
      </w:pPr>
      <w:r>
        <w:rPr>
          <w:rFonts w:ascii="Calibri" w:hAnsi="Calibri"/>
          <w:sz w:val="22"/>
        </w:rPr>
        <w:t>Stamp Duty: $19,800</w:t>
      </w:r>
    </w:p>
    <w:p>
      <w:pPr>
        <w:spacing w:after="40" w:before="0"/>
        <w:ind w:left="360"/>
      </w:pPr>
      <w:r>
        <w:rPr>
          <w:rFonts w:ascii="Calibri" w:hAnsi="Calibri"/>
          <w:sz w:val="22"/>
        </w:rPr>
        <w:t>Purchase Legal Fees: $2,400</w:t>
      </w:r>
    </w:p>
    <w:p>
      <w:pPr>
        <w:spacing w:after="40" w:before="0"/>
        <w:ind w:left="360"/>
      </w:pPr>
      <w:r>
        <w:rPr>
          <w:rFonts w:ascii="Calibri" w:hAnsi="Calibri"/>
          <w:sz w:val="22"/>
        </w:rPr>
        <w:t>Sale Agent Fees: $20,250</w:t>
      </w:r>
    </w:p>
    <w:p>
      <w:pPr>
        <w:spacing w:after="40" w:before="0"/>
        <w:ind w:left="360"/>
      </w:pPr>
      <w:r>
        <w:rPr>
          <w:rFonts w:ascii="Calibri" w:hAnsi="Calibri"/>
          <w:sz w:val="22"/>
        </w:rPr>
        <w:t>Sale Legal Fees: $2,300</w:t>
      </w:r>
    </w:p>
    <w:p>
      <w:pPr>
        <w:spacing w:after="40" w:before="0"/>
        <w:ind w:left="360"/>
      </w:pPr>
      <w:r>
        <w:rPr>
          <w:rFonts w:ascii="Calibri" w:hAnsi="Calibri"/>
          <w:sz w:val="22"/>
        </w:rPr>
        <w:t>Total Cost Base: $539,750</w:t>
      </w:r>
    </w:p>
    <w:p>
      <w:pPr>
        <w:spacing w:after="40" w:before="0"/>
        <w:ind w:left="360"/>
      </w:pPr>
      <w:r>
        <w:rPr>
          <w:rFonts w:ascii="Calibri" w:hAnsi="Calibri"/>
          <w:sz w:val="22"/>
        </w:rPr>
        <w:t>Capital Gain = $810,000 - $539,750 = $270,250</w:t>
      </w:r>
    </w:p>
    <w:p>
      <w:pPr>
        <w:spacing w:after="40" w:before="0"/>
        <w:ind w:left="360"/>
      </w:pPr>
      <w:r>
        <w:rPr>
          <w:rFonts w:ascii="Calibri" w:hAnsi="Calibri"/>
          <w:b/>
          <w:color w:val="003366"/>
          <w:sz w:val="22"/>
        </w:rPr>
        <w:t>Step 5: Apply Main Residence Exemption</w:t>
      </w:r>
    </w:p>
    <w:p>
      <w:pPr>
        <w:spacing w:after="40" w:before="0"/>
        <w:ind w:left="360"/>
      </w:pPr>
      <w:r>
        <w:rPr>
          <w:rFonts w:ascii="Calibri" w:hAnsi="Calibri"/>
          <w:sz w:val="22"/>
        </w:rPr>
        <w:t>Six-year rule applies (rental 4 years &lt; 6 years)</w:t>
      </w:r>
    </w:p>
    <w:p>
      <w:pPr>
        <w:spacing w:after="40" w:before="0"/>
        <w:ind w:left="360"/>
      </w:pPr>
      <w:r>
        <w:rPr>
          <w:rFonts w:ascii="Calibri" w:hAnsi="Calibri"/>
          <w:sz w:val="22"/>
        </w:rPr>
        <w:t>Exemption: FULL (100%)</w:t>
      </w:r>
    </w:p>
    <w:p>
      <w:pPr>
        <w:spacing w:after="40" w:before="0"/>
        <w:ind w:left="360"/>
      </w:pPr>
      <w:r>
        <w:rPr>
          <w:rFonts w:ascii="Calibri" w:hAnsi="Calibri"/>
          <w:b/>
          <w:color w:val="003366"/>
          <w:sz w:val="22"/>
        </w:rPr>
        <w:t>Step 6: Taxable Capital Gain</w:t>
      </w:r>
    </w:p>
    <w:p>
      <w:pPr>
        <w:spacing w:after="40" w:before="0"/>
        <w:ind w:left="360"/>
      </w:pPr>
      <w:r>
        <w:rPr>
          <w:rFonts w:ascii="Calibri" w:hAnsi="Calibri"/>
          <w:b/>
          <w:color w:val="006400"/>
          <w:sz w:val="22"/>
        </w:rPr>
        <w:t>Taxable Amount = $0 (FULLY EXEMPT)</w:t>
      </w:r>
    </w:p>
    <w:p>
      <w:pPr>
        <w:spacing w:after="40" w:before="0"/>
        <w:ind w:left="360"/>
      </w:pPr>
      <w:r>
        <w:rPr>
          <w:rFonts w:ascii="Calibri" w:hAnsi="Calibri"/>
          <w:b/>
          <w:color w:val="006400"/>
          <w:sz w:val="22"/>
        </w:rPr>
        <w:t>RESULT: NO CGT PAYABLE</w:t>
      </w:r>
    </w:p>
    <w:p>
      <w:pPr>
        <w:spacing w:after="40" w:before="0"/>
        <w:ind w:left="360"/>
      </w:pPr>
      <w:r>
        <w:rPr>
          <w:rFonts w:ascii="Calibri" w:hAnsi="Calibri"/>
          <w:sz w:val="22"/>
        </w:rPr>
        <w:t>Note: CGT discount reduction would only apply if there was a taxable gain</w:t>
      </w:r>
    </w:p>
    <w:p>
      <w:pPr>
        <w:pStyle w:val="Heading2"/>
      </w:pPr>
      <w:r>
        <w:t>Applicable Rules</w:t>
      </w:r>
    </w:p>
    <w:p>
      <w:r>
        <w:rPr>
          <w:rFonts w:ascii="Calibri" w:hAnsi="Calibri"/>
          <w:sz w:val="22"/>
        </w:rPr>
        <w:t>ITAA97 s118.145: Six-year absence rule applies (rental &lt; 6 years)</w:t>
      </w:r>
    </w:p>
    <w:p>
      <w:r>
        <w:rPr>
          <w:rFonts w:ascii="Calibri" w:hAnsi="Calibri"/>
          <w:sz w:val="22"/>
        </w:rPr>
        <w:t>Returned to Australia BEFORE selling = Can claim full MRE</w:t>
      </w:r>
    </w:p>
    <w:p>
      <w:r>
        <w:rPr>
          <w:rFonts w:ascii="Calibri" w:hAnsi="Calibri"/>
          <w:sz w:val="22"/>
        </w:rPr>
        <w:t>CGT discount reduced for foreign resident period (if taxable)</w:t>
      </w:r>
    </w:p>
    <w:p>
      <w:r>
        <w:rPr>
          <w:rFonts w:ascii="Calibri" w:hAnsi="Calibri"/>
          <w:sz w:val="22"/>
        </w:rPr>
        <w:t>Since full MRE applies, no CGT payable</w:t>
      </w:r>
    </w:p>
    <w:p>
      <w:pPr>
        <w:spacing w:before="120" w:after="120"/>
      </w:pPr>
      <w:r>
        <w:rPr>
          <w:color w:val="B4B4B4"/>
          <w:sz w:val="12"/>
        </w:rPr>
        <w:t>────────────────────────────────────────────────────────────────────────────────────────────────────</w:t>
      </w:r>
    </w:p>
    <w:p>
      <w:pPr>
        <w:pStyle w:val="Heading1"/>
      </w:pPr>
      <w:r>
        <w:t>Scenario 20: Three Property Portfolio</w:t>
      </w:r>
    </w:p>
    <w:p>
      <w:pPr>
        <w:pStyle w:val="Heading2"/>
      </w:pPr>
      <w:r>
        <w:t>Description</w:t>
      </w:r>
    </w:p>
    <w:p>
      <w:r>
        <w:rPr>
          <w:rFonts w:ascii="Calibri" w:hAnsi="Calibri"/>
          <w:sz w:val="22"/>
        </w:rPr>
        <w:t>A property investor sells three properties in the same financial year, each with different CGT treatments: a main residence (fully exempt), a pure investment (fully taxable), and a holiday house (no exemption).</w:t>
      </w:r>
    </w:p>
    <w:p>
      <w:pPr>
        <w:pStyle w:val="Heading2"/>
      </w:pPr>
      <w:r>
        <w:t>Key Facts</w:t>
      </w:r>
    </w:p>
    <w:p>
      <w:r>
        <w:rPr>
          <w:rFonts w:ascii="Calibri" w:hAnsi="Calibri"/>
          <w:sz w:val="22"/>
        </w:rPr>
        <w:t>Property A - Family Home (Clayfield)</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28 Bonney Avenue, Clayfield QLD 4011</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March 2010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$420,000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February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$890,000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Status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Main Residence (entire period)</w:t>
            </w:r>
          </w:p>
        </w:tc>
      </w:tr>
    </w:tbl>
    <w:p/>
    <w:p>
      <w:r>
        <w:rPr>
          <w:rFonts w:ascii="Calibri" w:hAnsi="Calibri"/>
          <w:sz w:val="22"/>
        </w:rPr>
        <w:t>Property B - Investment Unit (Fortitude Valley)</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505/120 Wickham Street, Fortitude Valley QLD 4006</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15 June 2016</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$340,000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20 December 2024</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$485,000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Status</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Investment (never lived in)</w:t>
            </w:r>
          </w:p>
        </w:tc>
      </w:tr>
    </w:tbl>
    <w:p/>
    <w:p>
      <w:r>
        <w:rPr>
          <w:rFonts w:ascii="Calibri" w:hAnsi="Calibri"/>
          <w:sz w:val="22"/>
        </w:rPr>
        <w:t>Property C - Holiday House (Noosa)</w:t>
      </w:r>
    </w:p>
    <w:tbl>
      <w:tblPr>
        <w:tblStyle w:val="TableGrid"/>
        <w:tblW w:type="auto" w:w="0"/>
        <w:jc w:val="left"/>
        <w:tblLayout w:type="autofit"/>
        <w:tblLook w:firstColumn="1" w:firstRow="1" w:lastColumn="0" w:lastRow="0" w:noHBand="0" w:noVBand="1" w:val="04A0"/>
      </w:tblPr>
      <w:tblGrid>
        <w:gridCol w:w="5040"/>
        <w:gridCol w:w="5040"/>
      </w:tblGrid>
      <w:tr>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Item</w:t>
            </w:r>
          </w:p>
        </w:tc>
        <w:tc>
          <w:tcPr>
            <w:tcW w:type="dxa" w:w="504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Value</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Address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15 Hastings Street, Noosa Heads QLD 4567</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Purchase Date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December 2018</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Purchase Price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$580,000</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Airbnb Start</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1 January 2021</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Sale Date</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30 November 2024</w:t>
            </w:r>
          </w:p>
        </w:tc>
      </w:tr>
      <w:tr>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Sale Price</w:t>
            </w:r>
          </w:p>
        </w:tc>
        <w:tc>
          <w:tcPr>
            <w:tcW w:type="dxa" w:w="5040"/>
            <w:shd w:fill="FFFFFF"/>
            <w:tcBorders>
              <w:top w:val="single" w:sz="4" w:color="CCCCCC"/>
              <w:left w:val="single" w:sz="4" w:color="CCCCCC"/>
              <w:bottom w:val="single" w:sz="4" w:color="CCCCCC"/>
              <w:right w:val="single" w:sz="4" w:color="CCCCCC"/>
            </w:tcBorders>
          </w:tcPr>
          <w:p>
            <w:pPr>
              <w:jc w:val="left"/>
            </w:pPr>
            <w:r>
              <w:rPr>
                <w:rFonts w:ascii="Calibri" w:hAnsi="Calibri"/>
                <w:sz w:val="20"/>
              </w:rPr>
              <w:t>$920,000</w:t>
            </w:r>
          </w:p>
        </w:tc>
      </w:tr>
      <w:tr>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Status</w:t>
            </w:r>
          </w:p>
        </w:tc>
        <w:tc>
          <w:tcPr>
            <w:tcW w:type="dxa" w:w="5040"/>
            <w:shd w:fill="F0F4F8"/>
            <w:tcBorders>
              <w:top w:val="single" w:sz="4" w:color="CCCCCC"/>
              <w:left w:val="single" w:sz="4" w:color="CCCCCC"/>
              <w:bottom w:val="single" w:sz="4" w:color="CCCCCC"/>
              <w:right w:val="single" w:sz="4" w:color="CCCCCC"/>
            </w:tcBorders>
          </w:tcPr>
          <w:p>
            <w:pPr>
              <w:jc w:val="left"/>
            </w:pPr>
            <w:r>
              <w:rPr>
                <w:rFonts w:ascii="Calibri" w:hAnsi="Calibri"/>
                <w:sz w:val="20"/>
              </w:rPr>
              <w:t>Holiday/Mixed Use (no MRE)</w:t>
            </w:r>
          </w:p>
        </w:tc>
      </w:tr>
    </w:tbl>
    <w:p/>
    <w:p>
      <w:pPr>
        <w:pStyle w:val="Heading2"/>
      </w:pPr>
      <w:r>
        <w:t>CGT Calculation - Property A (Family Home)</w:t>
      </w:r>
    </w:p>
    <w:p>
      <w:pPr>
        <w:spacing w:after="40" w:before="0"/>
        <w:ind w:left="360"/>
      </w:pPr>
      <w:r>
        <w:rPr>
          <w:rFonts w:ascii="Calibri" w:hAnsi="Calibri"/>
          <w:b/>
          <w:sz w:val="22"/>
        </w:rPr>
        <w:t>Cost Base:</w:t>
      </w:r>
    </w:p>
    <w:p>
      <w:pPr>
        <w:spacing w:after="40" w:before="0"/>
        <w:ind w:left="360"/>
      </w:pPr>
      <w:r>
        <w:rPr>
          <w:rFonts w:ascii="Calibri" w:hAnsi="Calibri"/>
          <w:sz w:val="22"/>
        </w:rPr>
        <w:t>Purchase Price: $420,000</w:t>
      </w:r>
    </w:p>
    <w:p>
      <w:pPr>
        <w:spacing w:after="40" w:before="0"/>
        <w:ind w:left="360"/>
      </w:pPr>
      <w:r>
        <w:rPr>
          <w:rFonts w:ascii="Calibri" w:hAnsi="Calibri"/>
          <w:sz w:val="22"/>
        </w:rPr>
        <w:t>Stamp Duty: $16,800</w:t>
      </w:r>
    </w:p>
    <w:p>
      <w:pPr>
        <w:spacing w:after="40" w:before="0"/>
        <w:ind w:left="360"/>
      </w:pPr>
      <w:r>
        <w:rPr>
          <w:rFonts w:ascii="Calibri" w:hAnsi="Calibri"/>
          <w:sz w:val="22"/>
        </w:rPr>
        <w:t>Legal Fees: $2,100</w:t>
      </w:r>
    </w:p>
    <w:p>
      <w:pPr>
        <w:spacing w:after="40" w:before="0"/>
        <w:ind w:left="360"/>
      </w:pPr>
      <w:r>
        <w:rPr>
          <w:rFonts w:ascii="Calibri" w:hAnsi="Calibri"/>
          <w:sz w:val="22"/>
        </w:rPr>
        <w:t>Sale Agent Fees: $22,250</w:t>
      </w:r>
    </w:p>
    <w:p>
      <w:pPr>
        <w:spacing w:after="40" w:before="0"/>
        <w:ind w:left="360"/>
      </w:pPr>
      <w:r>
        <w:rPr>
          <w:rFonts w:ascii="Calibri" w:hAnsi="Calibri"/>
          <w:sz w:val="22"/>
        </w:rPr>
        <w:t>Sale Legal Fees: $2,000</w:t>
      </w:r>
    </w:p>
    <w:p>
      <w:pPr>
        <w:spacing w:after="40" w:before="0"/>
        <w:ind w:left="360"/>
      </w:pPr>
      <w:r>
        <w:rPr>
          <w:rFonts w:ascii="Calibri" w:hAnsi="Calibri"/>
          <w:sz w:val="22"/>
        </w:rPr>
        <w:t>Total Cost Base: $463,150</w:t>
      </w:r>
    </w:p>
    <w:p>
      <w:pPr>
        <w:spacing w:after="40" w:before="0"/>
        <w:ind w:left="360"/>
      </w:pPr>
      <w:r>
        <w:rPr>
          <w:rFonts w:ascii="Calibri" w:hAnsi="Calibri"/>
          <w:sz w:val="22"/>
        </w:rPr>
        <w:t>Capital Gain = $890,000 - $463,150 = $426,850</w:t>
      </w:r>
    </w:p>
    <w:p>
      <w:pPr>
        <w:spacing w:after="40" w:before="0"/>
        <w:ind w:left="360"/>
      </w:pPr>
      <w:r>
        <w:rPr>
          <w:rFonts w:ascii="Calibri" w:hAnsi="Calibri"/>
          <w:sz w:val="22"/>
        </w:rPr>
        <w:t>Main Residence Exemption: FULL (100%)</w:t>
      </w:r>
    </w:p>
    <w:p>
      <w:pPr>
        <w:spacing w:after="40" w:before="0"/>
        <w:ind w:left="360"/>
      </w:pPr>
      <w:r>
        <w:rPr>
          <w:rFonts w:ascii="Calibri" w:hAnsi="Calibri"/>
          <w:b/>
          <w:color w:val="006400"/>
          <w:sz w:val="22"/>
        </w:rPr>
        <w:t>NET CAPITAL GAIN (Property A): $0</w:t>
      </w:r>
    </w:p>
    <w:p>
      <w:pPr>
        <w:pStyle w:val="Heading2"/>
      </w:pPr>
      <w:r>
        <w:t>CGT Calculation - Property B (Investment Unit)</w:t>
      </w:r>
    </w:p>
    <w:p>
      <w:pPr>
        <w:spacing w:after="40" w:before="0"/>
        <w:ind w:left="360"/>
      </w:pPr>
      <w:r>
        <w:rPr>
          <w:rFonts w:ascii="Calibri" w:hAnsi="Calibri"/>
          <w:b/>
          <w:sz w:val="22"/>
        </w:rPr>
        <w:t>Cost Base:</w:t>
      </w:r>
    </w:p>
    <w:p>
      <w:pPr>
        <w:spacing w:after="40" w:before="0"/>
        <w:ind w:left="360"/>
      </w:pPr>
      <w:r>
        <w:rPr>
          <w:rFonts w:ascii="Calibri" w:hAnsi="Calibri"/>
          <w:sz w:val="22"/>
        </w:rPr>
        <w:t>Purchase Price: $340,000</w:t>
      </w:r>
    </w:p>
    <w:p>
      <w:pPr>
        <w:spacing w:after="40" w:before="0"/>
        <w:ind w:left="360"/>
      </w:pPr>
      <w:r>
        <w:rPr>
          <w:rFonts w:ascii="Calibri" w:hAnsi="Calibri"/>
          <w:sz w:val="22"/>
        </w:rPr>
        <w:t>Stamp Duty: $13,600</w:t>
      </w:r>
    </w:p>
    <w:p>
      <w:pPr>
        <w:spacing w:after="40" w:before="0"/>
        <w:ind w:left="360"/>
      </w:pPr>
      <w:r>
        <w:rPr>
          <w:rFonts w:ascii="Calibri" w:hAnsi="Calibri"/>
          <w:sz w:val="22"/>
        </w:rPr>
        <w:t>Legal Fees: $1,900</w:t>
      </w:r>
    </w:p>
    <w:p>
      <w:pPr>
        <w:spacing w:after="40" w:before="0"/>
        <w:ind w:left="360"/>
      </w:pPr>
      <w:r>
        <w:rPr>
          <w:rFonts w:ascii="Calibri" w:hAnsi="Calibri"/>
          <w:sz w:val="22"/>
        </w:rPr>
        <w:t>Sale Agent Fees: $12,125</w:t>
      </w:r>
    </w:p>
    <w:p>
      <w:pPr>
        <w:spacing w:after="40" w:before="0"/>
        <w:ind w:left="360"/>
      </w:pPr>
      <w:r>
        <w:rPr>
          <w:rFonts w:ascii="Calibri" w:hAnsi="Calibri"/>
          <w:sz w:val="22"/>
        </w:rPr>
        <w:t>Sale Legal Fees: $1,800</w:t>
      </w:r>
    </w:p>
    <w:p>
      <w:pPr>
        <w:spacing w:after="40" w:before="0"/>
        <w:ind w:left="360"/>
      </w:pPr>
      <w:r>
        <w:rPr>
          <w:rFonts w:ascii="Calibri" w:hAnsi="Calibri"/>
          <w:sz w:val="22"/>
        </w:rPr>
        <w:t>Total Cost Base: $369,425</w:t>
      </w:r>
    </w:p>
    <w:p>
      <w:pPr>
        <w:spacing w:after="40" w:before="0"/>
        <w:ind w:left="360"/>
      </w:pPr>
      <w:r>
        <w:rPr>
          <w:rFonts w:ascii="Calibri" w:hAnsi="Calibri"/>
          <w:sz w:val="22"/>
        </w:rPr>
        <w:t>Capital Gain = $485,000 - $369,425 = $115,575</w:t>
      </w:r>
    </w:p>
    <w:p>
      <w:pPr>
        <w:spacing w:after="40" w:before="0"/>
        <w:ind w:left="360"/>
      </w:pPr>
      <w:r>
        <w:rPr>
          <w:rFonts w:ascii="Calibri" w:hAnsi="Calibri"/>
          <w:sz w:val="22"/>
        </w:rPr>
        <w:t>Main Residence Exemption: NONE (pure investment)</w:t>
      </w:r>
    </w:p>
    <w:p>
      <w:pPr>
        <w:spacing w:after="40" w:before="0"/>
        <w:ind w:left="360"/>
      </w:pPr>
      <w:r>
        <w:rPr>
          <w:rFonts w:ascii="Calibri" w:hAnsi="Calibri"/>
          <w:sz w:val="22"/>
        </w:rPr>
        <w:t>Taxable Capital Gain: $115,575</w:t>
      </w:r>
    </w:p>
    <w:p>
      <w:pPr>
        <w:spacing w:after="40" w:before="0"/>
        <w:ind w:left="360"/>
      </w:pPr>
      <w:r>
        <w:rPr>
          <w:rFonts w:ascii="Calibri" w:hAnsi="Calibri"/>
          <w:sz w:val="22"/>
        </w:rPr>
        <w:t>After 50% Discount: $57,788</w:t>
      </w:r>
    </w:p>
    <w:p>
      <w:pPr>
        <w:spacing w:after="40" w:before="0"/>
        <w:ind w:left="360"/>
      </w:pPr>
      <w:r>
        <w:rPr>
          <w:rFonts w:ascii="Calibri" w:hAnsi="Calibri"/>
          <w:b/>
          <w:color w:val="006400"/>
          <w:sz w:val="22"/>
        </w:rPr>
        <w:t>NET CAPITAL GAIN (Property B): $57,788</w:t>
      </w:r>
    </w:p>
    <w:p>
      <w:pPr>
        <w:pStyle w:val="Heading2"/>
      </w:pPr>
      <w:r>
        <w:t>CGT Calculation - Property C (Holiday House)</w:t>
      </w:r>
    </w:p>
    <w:p>
      <w:pPr>
        <w:spacing w:after="40" w:before="0"/>
        <w:ind w:left="360"/>
      </w:pPr>
      <w:r>
        <w:rPr>
          <w:rFonts w:ascii="Calibri" w:hAnsi="Calibri"/>
          <w:b/>
          <w:sz w:val="22"/>
        </w:rPr>
        <w:t>Cost Base:</w:t>
      </w:r>
    </w:p>
    <w:p>
      <w:pPr>
        <w:spacing w:after="40" w:before="0"/>
        <w:ind w:left="360"/>
      </w:pPr>
      <w:r>
        <w:rPr>
          <w:rFonts w:ascii="Calibri" w:hAnsi="Calibri"/>
          <w:sz w:val="22"/>
        </w:rPr>
        <w:t>Purchase Price: $580,000</w:t>
      </w:r>
    </w:p>
    <w:p>
      <w:pPr>
        <w:spacing w:after="40" w:before="0"/>
        <w:ind w:left="360"/>
      </w:pPr>
      <w:r>
        <w:rPr>
          <w:rFonts w:ascii="Calibri" w:hAnsi="Calibri"/>
          <w:sz w:val="22"/>
        </w:rPr>
        <w:t>Stamp Duty: $23,200</w:t>
      </w:r>
    </w:p>
    <w:p>
      <w:pPr>
        <w:spacing w:after="40" w:before="0"/>
        <w:ind w:left="360"/>
      </w:pPr>
      <w:r>
        <w:rPr>
          <w:rFonts w:ascii="Calibri" w:hAnsi="Calibri"/>
          <w:sz w:val="22"/>
        </w:rPr>
        <w:t>Legal Fees: $2,700</w:t>
      </w:r>
    </w:p>
    <w:p>
      <w:pPr>
        <w:spacing w:after="40" w:before="0"/>
        <w:ind w:left="360"/>
      </w:pPr>
      <w:r>
        <w:rPr>
          <w:rFonts w:ascii="Calibri" w:hAnsi="Calibri"/>
          <w:sz w:val="22"/>
        </w:rPr>
        <w:t>Sale Agent Fees: $23,000</w:t>
      </w:r>
    </w:p>
    <w:p>
      <w:pPr>
        <w:spacing w:after="40" w:before="0"/>
        <w:ind w:left="360"/>
      </w:pPr>
      <w:r>
        <w:rPr>
          <w:rFonts w:ascii="Calibri" w:hAnsi="Calibri"/>
          <w:sz w:val="22"/>
        </w:rPr>
        <w:t>Sale Legal Fees: $2,500</w:t>
      </w:r>
    </w:p>
    <w:p>
      <w:pPr>
        <w:spacing w:after="40" w:before="0"/>
        <w:ind w:left="360"/>
      </w:pPr>
      <w:r>
        <w:rPr>
          <w:rFonts w:ascii="Calibri" w:hAnsi="Calibri"/>
          <w:sz w:val="22"/>
        </w:rPr>
        <w:t>Total Cost Base: $631,400</w:t>
      </w:r>
    </w:p>
    <w:p>
      <w:pPr>
        <w:spacing w:after="40" w:before="0"/>
        <w:ind w:left="360"/>
      </w:pPr>
      <w:r>
        <w:rPr>
          <w:rFonts w:ascii="Calibri" w:hAnsi="Calibri"/>
          <w:sz w:val="22"/>
        </w:rPr>
        <w:t>Capital Gain = $920,000 - $631,400 = $288,600</w:t>
      </w:r>
    </w:p>
    <w:p>
      <w:pPr>
        <w:spacing w:after="40" w:before="0"/>
        <w:ind w:left="360"/>
      </w:pPr>
      <w:r>
        <w:rPr>
          <w:rFonts w:ascii="Calibri" w:hAnsi="Calibri"/>
          <w:sz w:val="22"/>
        </w:rPr>
        <w:t>Main Residence Exemption: NONE (holiday house, not main residence)</w:t>
      </w:r>
    </w:p>
    <w:p>
      <w:pPr>
        <w:spacing w:after="40" w:before="0"/>
        <w:ind w:left="360"/>
      </w:pPr>
      <w:r>
        <w:rPr>
          <w:rFonts w:ascii="Calibri" w:hAnsi="Calibri"/>
          <w:sz w:val="22"/>
        </w:rPr>
        <w:t>Taxable Capital Gain: $288,600</w:t>
      </w:r>
    </w:p>
    <w:p>
      <w:pPr>
        <w:spacing w:after="40" w:before="0"/>
        <w:ind w:left="360"/>
      </w:pPr>
      <w:r>
        <w:rPr>
          <w:rFonts w:ascii="Calibri" w:hAnsi="Calibri"/>
          <w:sz w:val="22"/>
        </w:rPr>
        <w:t>After 50% Discount: $144,300</w:t>
      </w:r>
    </w:p>
    <w:p>
      <w:pPr>
        <w:spacing w:after="40" w:before="0"/>
        <w:ind w:left="360"/>
      </w:pPr>
      <w:r>
        <w:rPr>
          <w:rFonts w:ascii="Calibri" w:hAnsi="Calibri"/>
          <w:b/>
          <w:color w:val="006400"/>
          <w:sz w:val="22"/>
        </w:rPr>
        <w:t>NET CAPITAL GAIN (Property C): $144,300</w:t>
      </w:r>
    </w:p>
    <w:p>
      <w:pPr>
        <w:pStyle w:val="Heading2"/>
      </w:pPr>
      <w:r>
        <w:t>Portfolio Summary</w:t>
      </w:r>
    </w:p>
    <w:tbl>
      <w:tblPr>
        <w:tblStyle w:val="TableGrid"/>
        <w:tblW w:type="auto" w:w="0"/>
        <w:jc w:val="left"/>
        <w:tblLayout w:type="autofit"/>
        <w:tblLook w:firstColumn="1" w:firstRow="1" w:lastColumn="0" w:lastRow="0" w:noHBand="0" w:noVBand="1" w:val="04A0"/>
      </w:tblPr>
      <w:tblGrid>
        <w:gridCol w:w="2520"/>
        <w:gridCol w:w="2520"/>
        <w:gridCol w:w="2520"/>
        <w:gridCol w:w="2520"/>
      </w:tblGrid>
      <w:tr>
        <w:tc>
          <w:tcPr>
            <w:tcW w:type="dxa" w:w="252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Property</w:t>
            </w:r>
          </w:p>
        </w:tc>
        <w:tc>
          <w:tcPr>
            <w:tcW w:type="dxa" w:w="252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Capital Gain</w:t>
            </w:r>
          </w:p>
        </w:tc>
        <w:tc>
          <w:tcPr>
            <w:tcW w:type="dxa" w:w="252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Exemption</w:t>
            </w:r>
          </w:p>
        </w:tc>
        <w:tc>
          <w:tcPr>
            <w:tcW w:type="dxa" w:w="2520"/>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Net CGT</w:t>
            </w:r>
          </w:p>
        </w:tc>
      </w:tr>
      <w:tr>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A - Family Home</w:t>
            </w:r>
          </w:p>
        </w:tc>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$426,850</w:t>
            </w:r>
          </w:p>
        </w:tc>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Full MRE</w:t>
            </w:r>
          </w:p>
        </w:tc>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t>B - Investment Unit</w:t>
            </w:r>
          </w:p>
        </w:tc>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t>$115,575</w:t>
            </w:r>
          </w:p>
        </w:tc>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t>None</w:t>
            </w:r>
          </w:p>
        </w:tc>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t>$57,788</w:t>
            </w:r>
          </w:p>
        </w:tc>
      </w:tr>
      <w:tr>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C - Holiday House</w:t>
            </w:r>
          </w:p>
        </w:tc>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$288,600</w:t>
            </w:r>
          </w:p>
        </w:tc>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None</w:t>
            </w:r>
          </w:p>
        </w:tc>
        <w:tc>
          <w:tcPr>
            <w:tcW w:type="dxa" w:w="2520"/>
            <w:shd w:fill="F0F4F8"/>
            <w:tcBorders>
              <w:top w:val="single" w:sz="4" w:color="CCCCCC"/>
              <w:left w:val="single" w:sz="4" w:color="CCCCCC"/>
              <w:bottom w:val="single" w:sz="4" w:color="CCCCCC"/>
              <w:right w:val="single" w:sz="4" w:color="CCCCCC"/>
            </w:tcBorders>
          </w:tcPr>
          <w:p>
            <w:pPr>
              <w:jc w:val="left"/>
            </w:pPr>
            <w:r>
              <w:rPr>
                <w:rFonts w:ascii="Calibri" w:hAnsi="Calibri"/>
                <w:sz w:val="20"/>
              </w:rPr>
              <w:t>$144,300</w:t>
            </w:r>
          </w:p>
        </w:tc>
      </w:tr>
      <w:tr>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t>TOTAL</w:t>
            </w:r>
          </w:p>
        </w:tc>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t>$831,025</w:t>
            </w:r>
          </w:p>
        </w:tc>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r>
          </w:p>
        </w:tc>
        <w:tc>
          <w:tcPr>
            <w:tcW w:type="dxa" w:w="2520"/>
            <w:shd w:fill="FFFFFF"/>
            <w:tcBorders>
              <w:top w:val="single" w:sz="4" w:color="CCCCCC"/>
              <w:left w:val="single" w:sz="4" w:color="CCCCCC"/>
              <w:bottom w:val="single" w:sz="4" w:color="CCCCCC"/>
              <w:right w:val="single" w:sz="4" w:color="CCCCCC"/>
            </w:tcBorders>
          </w:tcPr>
          <w:p>
            <w:pPr>
              <w:jc w:val="left"/>
            </w:pPr>
            <w:r>
              <w:rPr>
                <w:rFonts w:ascii="Calibri" w:hAnsi="Calibri"/>
                <w:sz w:val="20"/>
              </w:rPr>
              <w:t>$202,088</w:t>
            </w:r>
          </w:p>
        </w:tc>
      </w:tr>
    </w:tbl>
    <w:p/>
    <w:p>
      <w:r>
        <w:rPr>
          <w:rFonts w:ascii="Calibri" w:hAnsi="Calibri"/>
          <w:sz w:val="22"/>
        </w:rPr>
        <w:t>TOTAL NET CAPITAL GAIN: $202,088</w:t>
      </w:r>
    </w:p>
    <w:p>
      <w:pPr>
        <w:pStyle w:val="Heading2"/>
      </w:pPr>
      <w:r>
        <w:t>Applicable Rules</w:t>
      </w:r>
    </w:p>
    <w:p>
      <w:r>
        <w:rPr>
          <w:rFonts w:ascii="Calibri" w:hAnsi="Calibri"/>
          <w:sz w:val="22"/>
        </w:rPr>
        <w:t>Property A: ITAA97 s118.110 - Full main residence exemption</w:t>
      </w:r>
    </w:p>
    <w:p>
      <w:r>
        <w:rPr>
          <w:rFonts w:ascii="Calibri" w:hAnsi="Calibri"/>
          <w:sz w:val="22"/>
        </w:rPr>
        <w:t>Property B: No exemption - pure investment property</w:t>
      </w:r>
    </w:p>
    <w:p>
      <w:r>
        <w:rPr>
          <w:rFonts w:ascii="Calibri" w:hAnsi="Calibri"/>
          <w:sz w:val="22"/>
        </w:rPr>
        <w:t>Property C: No exemption - holiday house (not main residence)</w:t>
      </w:r>
    </w:p>
    <w:p>
      <w:r>
        <w:rPr>
          <w:rFonts w:ascii="Calibri" w:hAnsi="Calibri"/>
          <w:sz w:val="22"/>
        </w:rPr>
        <w:t>ITAA97 s115.25: 50% CGT discount applies to all three (held &gt; 12 months)</w:t>
      </w:r>
    </w:p>
    <w:p>
      <w:pPr>
        <w:spacing w:before="120" w:after="120"/>
      </w:pPr>
      <w:r>
        <w:rPr>
          <w:color w:val="B4B4B4"/>
          <w:sz w:val="12"/>
        </w:rPr>
        <w:t>────────────────────────────────────────────────────────────────────────────────────────────────────</w:t>
      </w:r>
    </w:p>
    <w:p>
      <w:pPr>
        <w:pStyle w:val="Heading1"/>
      </w:pPr>
      <w:r>
        <w:t>Summary Table - All 20 Scenarios</w:t>
      </w:r>
    </w:p>
    <w:tbl>
      <w:tblPr>
        <w:tblStyle w:val="TableGrid"/>
        <w:tblW w:type="auto" w:w="0"/>
        <w:jc w:val="left"/>
        <w:tblLayout w:type="autofit"/>
        <w:tblLook w:firstColumn="1" w:firstRow="1" w:lastColumn="0" w:lastRow="0" w:noHBand="0" w:noVBand="1" w:val="04A0"/>
      </w:tblPr>
      <w:tblGrid>
        <w:gridCol w:w="2016"/>
        <w:gridCol w:w="2016"/>
        <w:gridCol w:w="2016"/>
        <w:gridCol w:w="2016"/>
        <w:gridCol w:w="2016"/>
      </w:tblGrid>
      <w:tr>
        <w:tc>
          <w:tcPr>
            <w:tcW w:type="dxa" w:w="2016"/>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w:t>
            </w:r>
          </w:p>
        </w:tc>
        <w:tc>
          <w:tcPr>
            <w:tcW w:type="dxa" w:w="2016"/>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Scenario</w:t>
            </w:r>
          </w:p>
        </w:tc>
        <w:tc>
          <w:tcPr>
            <w:tcW w:type="dxa" w:w="2016"/>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Key Rule</w:t>
            </w:r>
          </w:p>
        </w:tc>
        <w:tc>
          <w:tcPr>
            <w:tcW w:type="dxa" w:w="2016"/>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Exemption</w:t>
            </w:r>
          </w:p>
        </w:tc>
        <w:tc>
          <w:tcPr>
            <w:tcW w:type="dxa" w:w="2016"/>
            <w:shd w:fill="003366"/>
            <w:tcBorders>
              <w:top w:val="single" w:sz="4" w:color="003366"/>
              <w:left w:val="single" w:sz="4" w:color="003366"/>
              <w:bottom w:val="single" w:sz="4" w:color="003366"/>
              <w:right w:val="single" w:sz="4" w:color="003366"/>
            </w:tcBorders>
          </w:tcPr>
          <w:p>
            <w:pPr>
              <w:jc w:val="left"/>
            </w:pPr>
            <w:r>
              <w:rPr>
                <w:rFonts w:ascii="Calibri" w:hAnsi="Calibri"/>
                <w:b/>
                <w:color w:val="FFFFFF"/>
                <w:sz w:val="20"/>
              </w:rPr>
              <w:t>Net Capital Gain</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Full Main Residence</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s118.110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2</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Six-Year Rule (Within)</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s118.145</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3</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Six-Year Rule (Exceeded)</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s118.145 + s118.192</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58.50%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$152,710</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4</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Rental First</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s118.185</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63.20%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$40,172</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5</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Moving Between Residences</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s118.140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6</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Full Main Residence (Var B)</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s118.110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7</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Six-Year Rule Within (Var B)</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s118.145</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8</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Six-Year Rule Exceeded (Var B)</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s118.145 + s118.192</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69.23%</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$160,273</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9</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Rental First (Var B)</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s118.185</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60.77%</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$61,843</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Moving Between Residences (Var B)</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s118.140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11</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Multiple Absence Periods</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s118.145</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96.74%</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$39,935</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12</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Two Properties - Strategic MRE</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s118.145</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Strategic</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$50,150</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13</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Inherited Property</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s118.195</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$71,725</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14</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Investment Then PPR Then Rental</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s118.185</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28.93%</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$56,935</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15</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Six-Month Overlap Exceeded</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s118.140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98.40%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$5,266</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16</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4-Year Construction</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s118.150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17</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Airbnb Room Rental</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s118.190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86.57%</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$19,001</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18</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Couple Separate Properties</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s118.185</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50.67%</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$71,107</w:t>
            </w:r>
          </w:p>
        </w:tc>
      </w:tr>
      <w:tr>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19</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Foreign Resident Period</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s118.145</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100%</w:t>
            </w:r>
          </w:p>
        </w:tc>
        <w:tc>
          <w:tcPr>
            <w:tcW w:type="dxa" w:w="2016"/>
            <w:shd w:fill="F0F4F8"/>
            <w:tcBorders>
              <w:top w:val="single" w:sz="4" w:color="CCCCCC"/>
              <w:left w:val="single" w:sz="4" w:color="CCCCCC"/>
              <w:bottom w:val="single" w:sz="4" w:color="CCCCCC"/>
              <w:right w:val="single" w:sz="4" w:color="CCCCCC"/>
            </w:tcBorders>
          </w:tcPr>
          <w:p>
            <w:pPr>
              <w:jc w:val="left"/>
            </w:pPr>
            <w:r>
              <w:rPr>
                <w:rFonts w:ascii="Calibri" w:hAnsi="Calibri"/>
                <w:sz w:val="20"/>
              </w:rPr>
              <w:t>$0</w:t>
            </w:r>
          </w:p>
        </w:tc>
      </w:tr>
      <w:tr>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20</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Three Property Portfolio</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Mixed</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Mixed</w:t>
            </w:r>
          </w:p>
        </w:tc>
        <w:tc>
          <w:tcPr>
            <w:tcW w:type="dxa" w:w="2016"/>
            <w:shd w:fill="FFFFFF"/>
            <w:tcBorders>
              <w:top w:val="single" w:sz="4" w:color="CCCCCC"/>
              <w:left w:val="single" w:sz="4" w:color="CCCCCC"/>
              <w:bottom w:val="single" w:sz="4" w:color="CCCCCC"/>
              <w:right w:val="single" w:sz="4" w:color="CCCCCC"/>
            </w:tcBorders>
          </w:tcPr>
          <w:p>
            <w:pPr>
              <w:jc w:val="left"/>
            </w:pPr>
            <w:r>
              <w:rPr>
                <w:rFonts w:ascii="Calibri" w:hAnsi="Calibri"/>
                <w:sz w:val="20"/>
              </w:rPr>
              <w:t>$202,088</w:t>
            </w:r>
          </w:p>
        </w:tc>
      </w:tr>
    </w:tbl>
    <w:p/>
    <w:p>
      <w:pPr>
        <w:spacing w:before="120" w:after="120"/>
      </w:pPr>
      <w:r>
        <w:rPr>
          <w:color w:val="B4B4B4"/>
          <w:sz w:val="12"/>
        </w:rPr>
        <w:t>────────────────────────────────────────────────────────────────────────────────────────────────────</w:t>
      </w:r>
    </w:p>
    <w:p>
      <w:pPr>
        <w:pStyle w:val="Heading1"/>
      </w:pPr>
      <w:r>
        <w:t>Sources and References</w:t>
      </w:r>
    </w:p>
    <w:p>
      <w:r>
        <w:rPr>
          <w:rFonts w:ascii="Calibri" w:hAnsi="Calibri"/>
          <w:sz w:val="22"/>
        </w:rPr>
        <w:t>ATO: How to calculate your CGT</w:t>
      </w:r>
    </w:p>
    <w:p>
      <w:r>
        <w:rPr>
          <w:rFonts w:ascii="Calibri" w:hAnsi="Calibri"/>
          <w:color w:val="0066CC"/>
          <w:sz w:val="20"/>
        </w:rPr>
        <w:t>https://www.ato.gov.au/individuals-and-families/investments-and-assets/capital-gains-tax/calculating-your-cgt/how-to-calculate-your-cgt</w:t>
      </w:r>
    </w:p>
    <w:p>
      <w:r>
        <w:rPr>
          <w:rFonts w:ascii="Calibri" w:hAnsi="Calibri"/>
          <w:sz w:val="22"/>
        </w:rPr>
        <w:t>ATO: Treating former home as main residence</w:t>
      </w:r>
    </w:p>
    <w:p>
      <w:r>
        <w:rPr>
          <w:rFonts w:ascii="Calibri" w:hAnsi="Calibri"/>
          <w:color w:val="0066CC"/>
          <w:sz w:val="20"/>
        </w:rPr>
        <w:t>https://www.ato.gov.au/individuals-and-families/investments-and-assets/capital-gains-tax/property-and-capital-gains-tax/your-main-residence---home/treating-former-home-as-main-residence</w:t>
      </w:r>
    </w:p>
    <w:p>
      <w:r>
        <w:rPr>
          <w:rFonts w:ascii="Calibri" w:hAnsi="Calibri"/>
          <w:sz w:val="22"/>
        </w:rPr>
        <w:t>ATO: Moving to a new main residence</w:t>
      </w:r>
    </w:p>
    <w:p>
      <w:r>
        <w:rPr>
          <w:rFonts w:ascii="Calibri" w:hAnsi="Calibri"/>
          <w:color w:val="0066CC"/>
          <w:sz w:val="20"/>
        </w:rPr>
        <w:t>https://www.ato.gov.au/individuals-and-families/investments-and-assets/capital-gains-tax/property-and-capital-gains-tax/your-main-residence---home/moving-to-a-new-main-residence</w:t>
      </w:r>
    </w:p>
    <w:p>
      <w:r>
        <w:rPr>
          <w:rFonts w:ascii="Calibri" w:hAnsi="Calibri"/>
          <w:sz w:val="22"/>
        </w:rPr>
        <w:t>ATO: Your main residence - home</w:t>
      </w:r>
    </w:p>
    <w:p>
      <w:r>
        <w:rPr>
          <w:rFonts w:ascii="Calibri" w:hAnsi="Calibri"/>
          <w:color w:val="0066CC"/>
          <w:sz w:val="20"/>
        </w:rPr>
        <w:t>https://www.ato.gov.au/individuals-and-families/investments-and-assets/capital-gains-tax/property-and-capital-gains-tax/your-main-residence-home</w:t>
      </w:r>
    </w:p>
    <w:p>
      <w:r>
        <w:rPr>
          <w:rFonts w:ascii="Calibri" w:hAnsi="Calibri"/>
          <w:sz w:val="22"/>
        </w:rPr>
        <w:t>ATO: Inherited property and CGT</w:t>
      </w:r>
    </w:p>
    <w:p>
      <w:r>
        <w:rPr>
          <w:rFonts w:ascii="Calibri" w:hAnsi="Calibri"/>
          <w:color w:val="0066CC"/>
          <w:sz w:val="20"/>
        </w:rPr>
        <w:t>https://www.ato.gov.au/individuals-and-families/investments-and-assets/capital-gains-tax/inherited-assets-and-cgt</w:t>
      </w:r>
    </w:p>
    <w:p>
      <w:r>
        <w:rPr>
          <w:rFonts w:ascii="Calibri" w:hAnsi="Calibri"/>
          <w:sz w:val="22"/>
        </w:rPr>
        <w:t>Legislation: ITAA97 s118.110, s118.140, s118.145, s118.150, s118.185, s118.190, s118.192, s118.195, s115.25</w:t>
      </w:r>
    </w:p>
    <w:p>
      <w:pPr>
        <w:spacing w:before="120" w:after="120"/>
      </w:pPr>
      <w:r>
        <w:rPr>
          <w:color w:val="B4B4B4"/>
          <w:sz w:val="12"/>
        </w:rPr>
        <w:t>────────────────────────────────────────────────────────────────────────────────────────────────────</w:t>
      </w:r>
    </w:p>
    <w:p>
      <w:r>
        <w:rPr>
          <w:rFonts w:ascii="Calibri" w:hAnsi="Calibri"/>
          <w:sz w:val="22"/>
        </w:rPr>
        <w:t>Document generated for CGT Brain Timeline Application.</w:t>
      </w:r>
    </w:p>
    <w:p>
      <w:r>
        <w:rPr>
          <w:rFonts w:ascii="Calibri" w:hAnsi="Calibri"/>
          <w:sz w:val="22"/>
        </w:rPr>
        <w:t>Last updated: December 2024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003366"/>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5288"/>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