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CGT Timeline Extended Scenarios Guide</w:t>
      </w:r>
    </w:p>
    <w:p>
      <w:r>
        <w:rPr>
          <w:rFonts w:ascii="Calibri" w:hAnsi="Calibri"/>
          <w:sz w:val="22"/>
        </w:rPr>
        <w:t>This document contains 20 Capital Gains Tax scenarios for the CGT Brain Timeline application. Each scenario demonstrates different aspects of Australian CGT rules, including the main residence exemption, six-year absence rule, partial exemptions, inherited properties, foreign residency, relationship breakdown, pre-CGT assets, and complex multi-property portfolios.</w:t>
      </w:r>
    </w:p>
    <w:p>
      <w:pPr>
        <w:spacing w:before="120" w:after="120"/>
      </w:pPr>
      <w:r>
        <w:rPr>
          <w:color w:val="B4B4B4"/>
          <w:sz w:val="12"/>
        </w:rPr>
        <w:t>────────────────────────────────────────────────────────────────────────────────────────────────────</w:t>
      </w:r>
    </w:p>
    <w:p>
      <w:pPr>
        <w:pStyle w:val="Heading1"/>
      </w:pPr>
      <w:r>
        <w:t>Table of Contents</w:t>
      </w:r>
    </w:p>
    <w:p>
      <w:pPr>
        <w:spacing w:before="160"/>
      </w:pPr>
      <w:r>
        <w:rPr>
          <w:rFonts w:ascii="Calibri" w:hAnsi="Calibri"/>
          <w:b/>
          <w:color w:val="003366"/>
          <w:sz w:val="24"/>
        </w:rPr>
        <w:t>Scenarios 1-5</w:t>
      </w:r>
    </w:p>
    <w:p>
      <w:r>
        <w:rPr>
          <w:rFonts w:ascii="Calibri" w:hAnsi="Calibri"/>
          <w:b/>
          <w:sz w:val="22"/>
        </w:rPr>
        <w:t xml:space="preserve">1. </w:t>
      </w:r>
      <w:r>
        <w:rPr>
          <w:rFonts w:ascii="Calibri" w:hAnsi="Calibri"/>
          <w:sz w:val="22"/>
        </w:rPr>
        <w:t>Scenario 1: Aged Care Entry with Indefinite Absence</w:t>
      </w:r>
    </w:p>
    <w:p>
      <w:r>
        <w:rPr>
          <w:rFonts w:ascii="Calibri" w:hAnsi="Calibri"/>
          <w:b/>
          <w:sz w:val="22"/>
        </w:rPr>
        <w:t xml:space="preserve">2. </w:t>
      </w:r>
      <w:r>
        <w:rPr>
          <w:rFonts w:ascii="Calibri" w:hAnsi="Calibri"/>
          <w:sz w:val="22"/>
        </w:rPr>
        <w:t>Scenario 2: Delayed Move-In Due to Work Assignment</w:t>
      </w:r>
    </w:p>
    <w:p>
      <w:r>
        <w:rPr>
          <w:rFonts w:ascii="Calibri" w:hAnsi="Calibri"/>
          <w:b/>
          <w:sz w:val="22"/>
        </w:rPr>
        <w:t xml:space="preserve">3. </w:t>
      </w:r>
      <w:r>
        <w:rPr>
          <w:rFonts w:ascii="Calibri" w:hAnsi="Calibri"/>
          <w:sz w:val="22"/>
        </w:rPr>
        <w:t>Scenario 3: Multiple Six-Year Periods Reset</w:t>
      </w:r>
    </w:p>
    <w:p>
      <w:r>
        <w:rPr>
          <w:rFonts w:ascii="Calibri" w:hAnsi="Calibri"/>
          <w:b/>
          <w:sz w:val="22"/>
        </w:rPr>
        <w:t xml:space="preserve">4. </w:t>
      </w:r>
      <w:r>
        <w:rPr>
          <w:rFonts w:ascii="Calibri" w:hAnsi="Calibri"/>
          <w:sz w:val="22"/>
        </w:rPr>
        <w:t>Scenario 4: Deceased Estate Sold Within Two Years</w:t>
      </w:r>
    </w:p>
    <w:p>
      <w:r>
        <w:rPr>
          <w:rFonts w:ascii="Calibri" w:hAnsi="Calibri"/>
          <w:b/>
          <w:sz w:val="22"/>
        </w:rPr>
        <w:t xml:space="preserve">5. </w:t>
      </w:r>
      <w:r>
        <w:rPr>
          <w:rFonts w:ascii="Calibri" w:hAnsi="Calibri"/>
          <w:sz w:val="22"/>
        </w:rPr>
        <w:t>Scenario 5: Beneficiary Moves Into Inherited Property</w:t>
      </w:r>
    </w:p>
    <w:p>
      <w:pPr>
        <w:spacing w:before="160"/>
      </w:pPr>
      <w:r>
        <w:rPr>
          <w:rFonts w:ascii="Calibri" w:hAnsi="Calibri"/>
          <w:b/>
          <w:color w:val="003366"/>
          <w:sz w:val="24"/>
        </w:rPr>
        <w:t>Scenarios 6-10</w:t>
      </w:r>
    </w:p>
    <w:p>
      <w:r>
        <w:rPr>
          <w:rFonts w:ascii="Calibri" w:hAnsi="Calibri"/>
          <w:b/>
          <w:sz w:val="22"/>
        </w:rPr>
        <w:t xml:space="preserve">6. </w:t>
      </w:r>
      <w:r>
        <w:rPr>
          <w:rFonts w:ascii="Calibri" w:hAnsi="Calibri"/>
          <w:sz w:val="22"/>
        </w:rPr>
        <w:t>Scenario 6: Pre-CGT Property with Major Post-CGT Improvements</w:t>
      </w:r>
    </w:p>
    <w:p>
      <w:r>
        <w:rPr>
          <w:rFonts w:ascii="Calibri" w:hAnsi="Calibri"/>
          <w:b/>
          <w:sz w:val="22"/>
        </w:rPr>
        <w:t xml:space="preserve">7. </w:t>
      </w:r>
      <w:r>
        <w:rPr>
          <w:rFonts w:ascii="Calibri" w:hAnsi="Calibri"/>
          <w:sz w:val="22"/>
        </w:rPr>
        <w:t>Scenario 7: Large Rural Property Exceeding Two Hectares</w:t>
      </w:r>
    </w:p>
    <w:p>
      <w:r>
        <w:rPr>
          <w:rFonts w:ascii="Calibri" w:hAnsi="Calibri"/>
          <w:b/>
          <w:sz w:val="22"/>
        </w:rPr>
        <w:t xml:space="preserve">8. </w:t>
      </w:r>
      <w:r>
        <w:rPr>
          <w:rFonts w:ascii="Calibri" w:hAnsi="Calibri"/>
          <w:sz w:val="22"/>
        </w:rPr>
        <w:t>Scenario 8: Granny Flat Arrangement</w:t>
      </w:r>
    </w:p>
    <w:p>
      <w:r>
        <w:rPr>
          <w:rFonts w:ascii="Calibri" w:hAnsi="Calibri"/>
          <w:b/>
          <w:sz w:val="22"/>
        </w:rPr>
        <w:t xml:space="preserve">9. </w:t>
      </w:r>
      <w:r>
        <w:rPr>
          <w:rFonts w:ascii="Calibri" w:hAnsi="Calibri"/>
          <w:sz w:val="22"/>
        </w:rPr>
        <w:t>Scenario 9: Relationship Breakdown Property Transfer</w:t>
      </w:r>
    </w:p>
    <w:p>
      <w:r>
        <w:rPr>
          <w:rFonts w:ascii="Calibri" w:hAnsi="Calibri"/>
          <w:b/>
          <w:sz w:val="22"/>
        </w:rPr>
        <w:t xml:space="preserve">10. </w:t>
      </w:r>
      <w:r>
        <w:rPr>
          <w:rFonts w:ascii="Calibri" w:hAnsi="Calibri"/>
          <w:sz w:val="22"/>
        </w:rPr>
        <w:t>Scenario 10: Home Office Business Use</w:t>
      </w:r>
    </w:p>
    <w:p>
      <w:pPr>
        <w:spacing w:before="160"/>
      </w:pPr>
      <w:r>
        <w:rPr>
          <w:rFonts w:ascii="Calibri" w:hAnsi="Calibri"/>
          <w:b/>
          <w:color w:val="003366"/>
          <w:sz w:val="24"/>
        </w:rPr>
        <w:t>Scenarios 11-15</w:t>
      </w:r>
    </w:p>
    <w:p>
      <w:r>
        <w:rPr>
          <w:rFonts w:ascii="Calibri" w:hAnsi="Calibri"/>
          <w:b/>
          <w:sz w:val="22"/>
        </w:rPr>
        <w:t xml:space="preserve">11. </w:t>
      </w:r>
      <w:r>
        <w:rPr>
          <w:rFonts w:ascii="Calibri" w:hAnsi="Calibri"/>
          <w:sz w:val="22"/>
        </w:rPr>
        <w:t>Scenario 11: Foreign Resident Life Event Exception</w:t>
      </w:r>
    </w:p>
    <w:p>
      <w:r>
        <w:rPr>
          <w:rFonts w:ascii="Calibri" w:hAnsi="Calibri"/>
          <w:b/>
          <w:sz w:val="22"/>
        </w:rPr>
        <w:t xml:space="preserve">12. </w:t>
      </w:r>
      <w:r>
        <w:rPr>
          <w:rFonts w:ascii="Calibri" w:hAnsi="Calibri"/>
          <w:sz w:val="22"/>
        </w:rPr>
        <w:t>Scenario 12: Pre-9 May 2012 Property with Foreign Residency</w:t>
      </w:r>
    </w:p>
    <w:p>
      <w:r>
        <w:rPr>
          <w:rFonts w:ascii="Calibri" w:hAnsi="Calibri"/>
          <w:b/>
          <w:sz w:val="22"/>
        </w:rPr>
        <w:t xml:space="preserve">13. </w:t>
      </w:r>
      <w:r>
        <w:rPr>
          <w:rFonts w:ascii="Calibri" w:hAnsi="Calibri"/>
          <w:sz w:val="22"/>
        </w:rPr>
        <w:t>Scenario 13: Spouses Nominating Different Main Residences</w:t>
      </w:r>
    </w:p>
    <w:p>
      <w:r>
        <w:rPr>
          <w:rFonts w:ascii="Calibri" w:hAnsi="Calibri"/>
          <w:b/>
          <w:sz w:val="22"/>
        </w:rPr>
        <w:t xml:space="preserve">14. </w:t>
      </w:r>
      <w:r>
        <w:rPr>
          <w:rFonts w:ascii="Calibri" w:hAnsi="Calibri"/>
          <w:sz w:val="22"/>
        </w:rPr>
        <w:t>Scenario 14: Vacant Periods During Extended Rental</w:t>
      </w:r>
    </w:p>
    <w:p>
      <w:r>
        <w:rPr>
          <w:rFonts w:ascii="Calibri" w:hAnsi="Calibri"/>
          <w:b/>
          <w:sz w:val="22"/>
        </w:rPr>
        <w:t xml:space="preserve">15. </w:t>
      </w:r>
      <w:r>
        <w:rPr>
          <w:rFonts w:ascii="Calibri" w:hAnsi="Calibri"/>
          <w:sz w:val="22"/>
        </w:rPr>
        <w:t>Scenario 15: Four-Year Construction Rule Exceeded</w:t>
      </w:r>
    </w:p>
    <w:p>
      <w:pPr>
        <w:spacing w:before="160"/>
      </w:pPr>
      <w:r>
        <w:rPr>
          <w:rFonts w:ascii="Calibri" w:hAnsi="Calibri"/>
          <w:b/>
          <w:color w:val="003366"/>
          <w:sz w:val="24"/>
        </w:rPr>
        <w:t>Scenarios 16-20</w:t>
      </w:r>
    </w:p>
    <w:p>
      <w:r>
        <w:rPr>
          <w:rFonts w:ascii="Calibri" w:hAnsi="Calibri"/>
          <w:b/>
          <w:sz w:val="22"/>
        </w:rPr>
        <w:t xml:space="preserve">16. </w:t>
      </w:r>
      <w:r>
        <w:rPr>
          <w:rFonts w:ascii="Calibri" w:hAnsi="Calibri"/>
          <w:sz w:val="22"/>
        </w:rPr>
        <w:t>Scenario 16: Subdivision and Separate Land Sale</w:t>
      </w:r>
    </w:p>
    <w:p>
      <w:r>
        <w:rPr>
          <w:rFonts w:ascii="Calibri" w:hAnsi="Calibri"/>
          <w:b/>
          <w:sz w:val="22"/>
        </w:rPr>
        <w:t xml:space="preserve">17. </w:t>
      </w:r>
      <w:r>
        <w:rPr>
          <w:rFonts w:ascii="Calibri" w:hAnsi="Calibri"/>
          <w:sz w:val="22"/>
        </w:rPr>
        <w:t>Scenario 17: Deceased Estate with COVID Extension</w:t>
      </w:r>
    </w:p>
    <w:p>
      <w:r>
        <w:rPr>
          <w:rFonts w:ascii="Calibri" w:hAnsi="Calibri"/>
          <w:b/>
          <w:sz w:val="22"/>
        </w:rPr>
        <w:t xml:space="preserve">18. </w:t>
      </w:r>
      <w:r>
        <w:rPr>
          <w:rFonts w:ascii="Calibri" w:hAnsi="Calibri"/>
          <w:sz w:val="22"/>
        </w:rPr>
        <w:t>Scenario 18: Small Business CGT Concessions</w:t>
      </w:r>
    </w:p>
    <w:p>
      <w:r>
        <w:rPr>
          <w:rFonts w:ascii="Calibri" w:hAnsi="Calibri"/>
          <w:b/>
          <w:sz w:val="22"/>
        </w:rPr>
        <w:t xml:space="preserve">19. </w:t>
      </w:r>
      <w:r>
        <w:rPr>
          <w:rFonts w:ascii="Calibri" w:hAnsi="Calibri"/>
          <w:sz w:val="22"/>
        </w:rPr>
        <w:t>Scenario 19: Investment Property Becomes Main Residence Then Sold</w:t>
      </w:r>
    </w:p>
    <w:p>
      <w:r>
        <w:rPr>
          <w:rFonts w:ascii="Calibri" w:hAnsi="Calibri"/>
          <w:b/>
          <w:sz w:val="22"/>
        </w:rPr>
        <w:t xml:space="preserve">20. </w:t>
      </w:r>
      <w:r>
        <w:rPr>
          <w:rFonts w:ascii="Calibri" w:hAnsi="Calibri"/>
          <w:sz w:val="22"/>
        </w:rPr>
        <w:t>Scenario 20: Four Property Portfolio Optimization</w:t>
      </w:r>
    </w:p>
    <w:p>
      <w:pPr>
        <w:spacing w:before="120" w:after="120"/>
      </w:pPr>
      <w:r>
        <w:rPr>
          <w:color w:val="B4B4B4"/>
          <w:sz w:val="12"/>
        </w:rPr>
        <w:t>────────────────────────────────────────────────────────────────────────────────────────────────────</w:t>
      </w:r>
    </w:p>
    <w:p>
      <w:pPr>
        <w:pStyle w:val="Heading1"/>
      </w:pPr>
      <w:r>
        <w:t>CGT Rules Reference</w:t>
      </w:r>
    </w:p>
    <w:p>
      <w:pPr>
        <w:pStyle w:val="Heading2"/>
      </w:pPr>
      <w:r>
        <w:t>Key Rules Applied in These Scenarios</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Rule</w:t>
            </w:r>
          </w:p>
        </w:tc>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Description</w:t>
            </w:r>
          </w:p>
        </w:tc>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Reference</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Full Main Residence Exemption</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Capital gain is disregarded if dwelling was main residence for entire ownership period</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ITAA97 s118.110</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Six-Year Absence Rule</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Can treat former home as main residence for up to 6 years while rented</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ITAA97 s118.145</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Indefinite Absence (Non-Income)</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Can treat former home as main residence indefinitely if not producing income</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ITAA97 s118.145</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50% CGT Discount</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50% discount for assets held more than 12 months (individuals only)</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ITAA97 s115.25</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First Use to Produce Income</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Market value at first rental becomes cost base if main residence rented out</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ITAA97 s118.192</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Moving Between Residences</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Both dwellings treated as main residence for up to 6 months during overlap</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ITAA97 s118.140</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Partial Exemption Formula</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Taxable portion = Capital Gain x (Non-main-residence days / Total ownership days)</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ITAA97 s118.185</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4-Year Construction Rule</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Land and building treated as main residence if built within 4 years</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ITAA97 s118.150</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Inherited Property (2-Year Rule)</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Beneficiary has 2 years to sell deceased's main residence for full exemption</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ITAA97 s118.195</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Relationship Breakdown Rollover</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CGT deferred on property transfer due to marriage/relationship breakdown</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ITAA97 s126.5</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Pre-CGT Assets</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Assets acquired before 20 September 1985 are exempt from CGT</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ITAA97 s149.10</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Major Capital Improvements</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Improvements &gt;5% of proceeds AND &gt;$182,665 (2024-25) are separate CGT assets</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ITAA97 s108.70</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Excluded Foreign Resident</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Foreign residents cannot claim MRE since 1 July 2020 (with exceptions)</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ITAA97 s118.110</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Life Event Exceptions</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Foreign residents can claim MRE within 6 years if life event occurs</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ITAA97 s118.110</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Adjacent Land</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Up to 2 hectares of adjacent land can be included in MRE</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ITAA97 s118.120</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Granny Flat CGT Exemption</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Creating/varying/terminating granny flat arrangements exempt from CGT</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ITAA97 s118.80</w:t>
            </w:r>
          </w:p>
        </w:tc>
      </w:tr>
    </w:tbl>
    <w:p/>
    <w:p>
      <w:pPr>
        <w:pStyle w:val="Heading2"/>
      </w:pPr>
      <w:r>
        <w:t>Cost Base Elements (Five Elements)</w:t>
      </w:r>
    </w:p>
    <w:p>
      <w:r>
        <w:rPr>
          <w:rFonts w:ascii="Calibri" w:hAnsi="Calibri"/>
          <w:b/>
          <w:sz w:val="22"/>
        </w:rPr>
        <w:t xml:space="preserve">1. </w:t>
      </w:r>
      <w:r>
        <w:rPr>
          <w:rFonts w:ascii="Calibri" w:hAnsi="Calibri"/>
          <w:sz w:val="22"/>
        </w:rPr>
        <w:t>First Element: Money paid for asset (purchase price)</w:t>
      </w:r>
    </w:p>
    <w:p>
      <w:r>
        <w:rPr>
          <w:rFonts w:ascii="Calibri" w:hAnsi="Calibri"/>
          <w:b/>
          <w:sz w:val="22"/>
        </w:rPr>
        <w:t xml:space="preserve">2. </w:t>
      </w:r>
      <w:r>
        <w:rPr>
          <w:rFonts w:ascii="Calibri" w:hAnsi="Calibri"/>
          <w:sz w:val="22"/>
        </w:rPr>
        <w:t>Second Element: Incidental costs of acquisition (stamp duty, legal fees, inspections)</w:t>
      </w:r>
    </w:p>
    <w:p>
      <w:r>
        <w:rPr>
          <w:rFonts w:ascii="Calibri" w:hAnsi="Calibri"/>
          <w:b/>
          <w:sz w:val="22"/>
        </w:rPr>
        <w:t xml:space="preserve">3. </w:t>
      </w:r>
      <w:r>
        <w:rPr>
          <w:rFonts w:ascii="Calibri" w:hAnsi="Calibri"/>
          <w:sz w:val="22"/>
        </w:rPr>
        <w:t>Third Element: Costs of owning the asset (not claimable as deductions)</w:t>
      </w:r>
    </w:p>
    <w:p>
      <w:r>
        <w:rPr>
          <w:rFonts w:ascii="Calibri" w:hAnsi="Calibri"/>
          <w:b/>
          <w:sz w:val="22"/>
        </w:rPr>
        <w:t xml:space="preserve">4. </w:t>
      </w:r>
      <w:r>
        <w:rPr>
          <w:rFonts w:ascii="Calibri" w:hAnsi="Calibri"/>
          <w:sz w:val="22"/>
        </w:rPr>
        <w:t>Fourth Element: Capital improvements</w:t>
      </w:r>
    </w:p>
    <w:p>
      <w:r>
        <w:rPr>
          <w:rFonts w:ascii="Calibri" w:hAnsi="Calibri"/>
          <w:b/>
          <w:sz w:val="22"/>
        </w:rPr>
        <w:t xml:space="preserve">5. </w:t>
      </w:r>
      <w:r>
        <w:rPr>
          <w:rFonts w:ascii="Calibri" w:hAnsi="Calibri"/>
          <w:sz w:val="22"/>
        </w:rPr>
        <w:t>Fifth Element: Costs incurred in selling the asset</w:t>
      </w:r>
    </w:p>
    <w:p>
      <w:pPr>
        <w:spacing w:before="120" w:after="120"/>
      </w:pPr>
      <w:r>
        <w:rPr>
          <w:color w:val="B4B4B4"/>
          <w:sz w:val="12"/>
        </w:rPr>
        <w:t>────────────────────────────────────────────────────────────────────────────────────────────────────</w:t>
      </w:r>
    </w:p>
    <w:p>
      <w:pPr>
        <w:pStyle w:val="Heading1"/>
      </w:pPr>
      <w:r>
        <w:t>Scenario 1: Aged Care Entry with Indefinite Absence</w:t>
      </w:r>
    </w:p>
    <w:p>
      <w:pPr>
        <w:pStyle w:val="Heading2"/>
      </w:pPr>
      <w:r>
        <w:t>Description</w:t>
      </w:r>
    </w:p>
    <w:p>
      <w:r>
        <w:rPr>
          <w:rFonts w:ascii="Calibri" w:hAnsi="Calibri"/>
          <w:sz w:val="22"/>
        </w:rPr>
        <w:t>Margaret purchases her home and lives in it for 20 years before entering permanent aged care. She leaves the property vacant (not rented) for 7 years while in aged care before selling. Because the property was not used to produce income during her absence, she can treat it as her main residence indefinitely under s118.145.</w:t>
      </w:r>
    </w:p>
    <w:p>
      <w:pPr>
        <w:pStyle w:val="Heading2"/>
      </w:pPr>
      <w:r>
        <w:t>Key Facts</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Property</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15 Magnolia Street, Toowoomba QLD 4350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Purchase Date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 March 2000</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Purchase Price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$185,000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Aged Care Entry</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 April 2017</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Property Status During Absence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Vacant (not rented)</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Sale Date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15 August 2024</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Sale Price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$520,000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Total Ownership</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8,934 days (24 years, 5.5 months)</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Main Residence Days</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8,934 days (100%)</w:t>
            </w:r>
          </w:p>
        </w:tc>
      </w:tr>
    </w:tbl>
    <w:p/>
    <w:p>
      <w:pPr>
        <w:pStyle w:val="Heading2"/>
      </w:pPr>
      <w:r>
        <w:t>Timeline of Events</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Date</w:t>
            </w:r>
          </w:p>
        </w:tc>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Event</w:t>
            </w:r>
          </w:p>
        </w:tc>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Details</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01 Mar 2000</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Purchase</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$185,000 + $5,550 stamp duty + $1,200 legal fees</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01 Mar 2000</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Move In</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Established as main residence</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15 Jun 2008</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Improvement</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Kitchen renovation: $25,000</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01 Apr 2017</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Move Out</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Entered permanent residential aged care</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01 Apr 2017</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Property Vacant</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Home left vacant, not rented</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15 Aug 2024</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Sale</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$520,000 (agent fees: $13,000, legal fees: $1,800)</w:t>
            </w:r>
          </w:p>
        </w:tc>
      </w:tr>
    </w:tbl>
    <w:p/>
    <w:p>
      <w:pPr>
        <w:pStyle w:val="Heading2"/>
      </w:pPr>
      <w:r>
        <w:t>CGT Calculation</w:t>
      </w:r>
    </w:p>
    <w:p>
      <w:pPr>
        <w:spacing w:after="40" w:before="0"/>
        <w:ind w:left="360"/>
      </w:pPr>
      <w:r>
        <w:rPr>
          <w:rFonts w:ascii="Calibri" w:hAnsi="Calibri"/>
          <w:b/>
          <w:color w:val="003366"/>
          <w:sz w:val="22"/>
        </w:rPr>
        <w:t>Step 1: Verify Indefinite Absence Rule Eligibility</w:t>
      </w:r>
    </w:p>
    <w:p>
      <w:pPr>
        <w:spacing w:after="40" w:before="0"/>
        <w:ind w:left="360"/>
      </w:pPr>
      <w:r>
        <w:rPr>
          <w:rFonts w:ascii="Calibri" w:hAnsi="Calibri"/>
          <w:sz w:val="22"/>
        </w:rPr>
        <w:t>Property was main residence before absence: YES</w:t>
      </w:r>
    </w:p>
    <w:p>
      <w:pPr>
        <w:spacing w:after="40" w:before="0"/>
        <w:ind w:left="360"/>
      </w:pPr>
      <w:r>
        <w:rPr>
          <w:rFonts w:ascii="Calibri" w:hAnsi="Calibri"/>
          <w:sz w:val="22"/>
        </w:rPr>
        <w:t>Property used to produce income during absence: NO</w:t>
      </w:r>
    </w:p>
    <w:p>
      <w:pPr>
        <w:spacing w:after="40" w:before="0"/>
        <w:ind w:left="360"/>
      </w:pPr>
      <w:r>
        <w:rPr>
          <w:rFonts w:ascii="Calibri" w:hAnsi="Calibri"/>
          <w:sz w:val="22"/>
        </w:rPr>
        <w:t>No other property claimed as main residence: YES</w:t>
      </w:r>
    </w:p>
    <w:p>
      <w:pPr>
        <w:spacing w:after="40" w:before="0"/>
        <w:ind w:left="360"/>
      </w:pPr>
      <w:r>
        <w:rPr>
          <w:rFonts w:ascii="Calibri" w:hAnsi="Calibri"/>
          <w:b/>
          <w:color w:val="006400"/>
          <w:sz w:val="22"/>
        </w:rPr>
        <w:t>RESULT: Can treat as main residence indefinitely</w:t>
      </w:r>
    </w:p>
    <w:p>
      <w:pPr>
        <w:spacing w:after="40" w:before="0"/>
        <w:ind w:left="360"/>
      </w:pPr>
      <w:r>
        <w:rPr>
          <w:rFonts w:ascii="Calibri" w:hAnsi="Calibri"/>
          <w:b/>
          <w:color w:val="003366"/>
          <w:sz w:val="22"/>
        </w:rPr>
        <w:t>Step 2: Calculate Capital Gain (for reference)</w:t>
      </w:r>
    </w:p>
    <w:p>
      <w:pPr>
        <w:spacing w:after="40" w:before="0"/>
        <w:ind w:left="360"/>
      </w:pPr>
      <w:r>
        <w:rPr>
          <w:rFonts w:ascii="Calibri" w:hAnsi="Calibri"/>
          <w:sz w:val="22"/>
        </w:rPr>
        <w:t>Sale Price: $520,000</w:t>
      </w:r>
    </w:p>
    <w:p>
      <w:pPr>
        <w:spacing w:after="40" w:before="0"/>
        <w:ind w:left="360"/>
      </w:pPr>
      <w:r>
        <w:rPr>
          <w:rFonts w:ascii="Calibri" w:hAnsi="Calibri"/>
          <w:b/>
          <w:sz w:val="22"/>
        </w:rPr>
        <w:t>Cost Base:</w:t>
      </w:r>
    </w:p>
    <w:p>
      <w:pPr>
        <w:spacing w:after="40" w:before="0"/>
        <w:ind w:left="360"/>
      </w:pPr>
      <w:r>
        <w:rPr>
          <w:rFonts w:ascii="Calibri" w:hAnsi="Calibri"/>
          <w:sz w:val="22"/>
        </w:rPr>
        <w:t>Purchase Price: $185,000</w:t>
      </w:r>
    </w:p>
    <w:p>
      <w:pPr>
        <w:spacing w:after="40" w:before="0"/>
        <w:ind w:left="360"/>
      </w:pPr>
      <w:r>
        <w:rPr>
          <w:rFonts w:ascii="Calibri" w:hAnsi="Calibri"/>
          <w:sz w:val="22"/>
        </w:rPr>
        <w:t>Stamp Duty: $5,550</w:t>
      </w:r>
    </w:p>
    <w:p>
      <w:pPr>
        <w:spacing w:after="40" w:before="0"/>
        <w:ind w:left="360"/>
      </w:pPr>
      <w:r>
        <w:rPr>
          <w:rFonts w:ascii="Calibri" w:hAnsi="Calibri"/>
          <w:sz w:val="22"/>
        </w:rPr>
        <w:t>Purchase Legal Fees: $1,200</w:t>
      </w:r>
    </w:p>
    <w:p>
      <w:pPr>
        <w:spacing w:after="40" w:before="0"/>
        <w:ind w:left="360"/>
      </w:pPr>
      <w:r>
        <w:rPr>
          <w:rFonts w:ascii="Calibri" w:hAnsi="Calibri"/>
          <w:sz w:val="22"/>
        </w:rPr>
        <w:t>Kitchen Renovation: $25,000</w:t>
      </w:r>
    </w:p>
    <w:p>
      <w:pPr>
        <w:spacing w:after="40" w:before="0"/>
        <w:ind w:left="360"/>
      </w:pPr>
      <w:r>
        <w:rPr>
          <w:rFonts w:ascii="Calibri" w:hAnsi="Calibri"/>
          <w:sz w:val="22"/>
        </w:rPr>
        <w:t>Sale Agent Fees: $13,000</w:t>
      </w:r>
    </w:p>
    <w:p>
      <w:pPr>
        <w:spacing w:after="40" w:before="0"/>
        <w:ind w:left="360"/>
      </w:pPr>
      <w:r>
        <w:rPr>
          <w:rFonts w:ascii="Calibri" w:hAnsi="Calibri"/>
          <w:sz w:val="22"/>
        </w:rPr>
        <w:t>Sale Legal Fees: $1,800</w:t>
      </w:r>
    </w:p>
    <w:p>
      <w:pPr>
        <w:spacing w:after="40" w:before="0"/>
        <w:ind w:left="360"/>
      </w:pPr>
      <w:r>
        <w:rPr>
          <w:rFonts w:ascii="Calibri" w:hAnsi="Calibri"/>
          <w:sz w:val="22"/>
        </w:rPr>
        <w:t>Total Cost Base: $231,550</w:t>
      </w:r>
    </w:p>
    <w:p>
      <w:pPr>
        <w:spacing w:after="40" w:before="0"/>
        <w:ind w:left="360"/>
      </w:pPr>
      <w:r>
        <w:rPr>
          <w:rFonts w:ascii="Calibri" w:hAnsi="Calibri"/>
          <w:sz w:val="22"/>
        </w:rPr>
        <w:t>Capital Gain = $520,000 - $231,550 = $288,450</w:t>
      </w:r>
    </w:p>
    <w:p>
      <w:pPr>
        <w:spacing w:after="40" w:before="0"/>
        <w:ind w:left="360"/>
      </w:pPr>
      <w:r>
        <w:rPr>
          <w:rFonts w:ascii="Calibri" w:hAnsi="Calibri"/>
          <w:b/>
          <w:color w:val="003366"/>
          <w:sz w:val="22"/>
        </w:rPr>
        <w:t>Step 3: Apply Main Residence Exemption</w:t>
      </w:r>
    </w:p>
    <w:p>
      <w:pPr>
        <w:spacing w:after="40" w:before="0"/>
        <w:ind w:left="360"/>
      </w:pPr>
      <w:r>
        <w:rPr>
          <w:rFonts w:ascii="Calibri" w:hAnsi="Calibri"/>
          <w:sz w:val="22"/>
        </w:rPr>
        <w:t>Under s118.145, property continues to be treated as main residence</w:t>
      </w:r>
    </w:p>
    <w:p>
      <w:pPr>
        <w:spacing w:after="40" w:before="0"/>
        <w:ind w:left="360"/>
      </w:pPr>
      <w:r>
        <w:rPr>
          <w:rFonts w:ascii="Calibri" w:hAnsi="Calibri"/>
          <w:sz w:val="22"/>
        </w:rPr>
        <w:t>Property not used to produce income = indefinite exemption</w:t>
      </w:r>
    </w:p>
    <w:p>
      <w:pPr>
        <w:spacing w:after="40" w:before="0"/>
        <w:ind w:left="360"/>
      </w:pPr>
      <w:r>
        <w:rPr>
          <w:rFonts w:ascii="Calibri" w:hAnsi="Calibri"/>
          <w:sz w:val="22"/>
        </w:rPr>
        <w:t>Exemption: FULL (100%)</w:t>
      </w:r>
    </w:p>
    <w:p>
      <w:pPr>
        <w:spacing w:after="40" w:before="0"/>
        <w:ind w:left="360"/>
      </w:pPr>
      <w:r>
        <w:rPr>
          <w:rFonts w:ascii="Calibri" w:hAnsi="Calibri"/>
          <w:b/>
          <w:color w:val="003366"/>
          <w:sz w:val="22"/>
        </w:rPr>
        <w:t>Step 4: Taxable Capital Gain</w:t>
      </w:r>
    </w:p>
    <w:p>
      <w:pPr>
        <w:spacing w:after="40" w:before="0"/>
        <w:ind w:left="360"/>
      </w:pPr>
      <w:r>
        <w:rPr>
          <w:rFonts w:ascii="Calibri" w:hAnsi="Calibri"/>
          <w:b/>
          <w:color w:val="006400"/>
          <w:sz w:val="22"/>
        </w:rPr>
        <w:t>Taxable Amount = $0 (FULLY EXEMPT)</w:t>
      </w:r>
    </w:p>
    <w:p>
      <w:pPr>
        <w:spacing w:after="40" w:before="0"/>
        <w:ind w:left="360"/>
      </w:pPr>
      <w:r>
        <w:rPr>
          <w:rFonts w:ascii="Calibri" w:hAnsi="Calibri"/>
          <w:b/>
          <w:color w:val="006400"/>
          <w:sz w:val="22"/>
        </w:rPr>
        <w:t>RESULT: NO CGT PAYABLE</w:t>
      </w:r>
    </w:p>
    <w:p>
      <w:pPr>
        <w:pStyle w:val="Heading2"/>
      </w:pPr>
      <w:r>
        <w:t>Applicable Rules</w:t>
      </w:r>
    </w:p>
    <w:p>
      <w:r>
        <w:rPr>
          <w:rFonts w:ascii="Calibri" w:hAnsi="Calibri"/>
          <w:sz w:val="22"/>
        </w:rPr>
        <w:t>ITAA97 s118.145: Indefinite absence rule applies (property not income producing)</w:t>
      </w:r>
    </w:p>
    <w:p>
      <w:r>
        <w:rPr>
          <w:rFonts w:ascii="Calibri" w:hAnsi="Calibri"/>
          <w:sz w:val="22"/>
        </w:rPr>
        <w:t>Property can be treated as main residence indefinitely when not rented</w:t>
      </w:r>
    </w:p>
    <w:p>
      <w:r>
        <w:rPr>
          <w:rFonts w:ascii="Calibri" w:hAnsi="Calibri"/>
          <w:sz w:val="22"/>
        </w:rPr>
        <w:t>No limit on how long the property can be vacant</w:t>
      </w:r>
    </w:p>
    <w:p>
      <w:r>
        <w:rPr>
          <w:rFonts w:ascii="Calibri" w:hAnsi="Calibri"/>
          <w:sz w:val="22"/>
        </w:rPr>
        <w:t>Full exemption applies regardless of 7+ years in aged care</w:t>
      </w:r>
    </w:p>
    <w:p>
      <w:pPr>
        <w:spacing w:before="120" w:after="120"/>
      </w:pPr>
      <w:r>
        <w:rPr>
          <w:color w:val="B4B4B4"/>
          <w:sz w:val="12"/>
        </w:rPr>
        <w:t>────────────────────────────────────────────────────────────────────────────────────────────────────</w:t>
      </w:r>
    </w:p>
    <w:p>
      <w:pPr>
        <w:pStyle w:val="Heading1"/>
      </w:pPr>
      <w:r>
        <w:t>Scenario 2: Delayed Move-In Due to Work Assignment</w:t>
      </w:r>
    </w:p>
    <w:p>
      <w:pPr>
        <w:pStyle w:val="Heading2"/>
      </w:pPr>
      <w:r>
        <w:t>Description</w:t>
      </w:r>
    </w:p>
    <w:p>
      <w:r>
        <w:rPr>
          <w:rFonts w:ascii="Calibri" w:hAnsi="Calibri"/>
          <w:sz w:val="22"/>
        </w:rPr>
        <w:t>Anthony purchases a home but cannot move in immediately due to a work assignment overseas that was arranged before the purchase. He moves in 8 months after purchase when his assignment ends. Because the delay was due to unforeseen work circumstances, the dwelling is treated as his main residence from the acquisition date.</w:t>
      </w:r>
    </w:p>
    <w:p>
      <w:pPr>
        <w:pStyle w:val="Heading2"/>
      </w:pPr>
      <w:r>
        <w:t>Key Facts</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Property</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42 Coral Drive, Cairns QLD 4870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Purchase Date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 February 2018</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Purchase Price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$380,000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Work Assignment End</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30 September 2018</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Move In Date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5 October 2018</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Sale Date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20 November 2024</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Sale Price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$595,000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Delay Period</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247 days (8 months)</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Total Ownership</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2,484 days (6 years, 9.5 months)</w:t>
            </w:r>
          </w:p>
        </w:tc>
      </w:tr>
    </w:tbl>
    <w:p/>
    <w:p>
      <w:pPr>
        <w:pStyle w:val="Heading2"/>
      </w:pPr>
      <w:r>
        <w:t>Timeline of Events</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Date</w:t>
            </w:r>
          </w:p>
        </w:tc>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Event</w:t>
            </w:r>
          </w:p>
        </w:tc>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Details</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01 Feb 2018</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Purchase</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$380,000 + $12,160 stamp duty + $2,400 legal fees</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01 Feb 2018</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Work Assignment</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Overseas work assignment (pre-arranged)</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30 Sep 2018</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Assignment Ends</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Returns to Australia</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05 Oct 2018</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Move In</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Moved in as soon as practicable</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15 Mar 2021</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Improvement</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Bathroom renovation: $18,000</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20 Nov 2024</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Sale</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$595,000 (agent fees: $14,875, legal fees: $2,200)</w:t>
            </w:r>
          </w:p>
        </w:tc>
      </w:tr>
    </w:tbl>
    <w:p/>
    <w:p>
      <w:pPr>
        <w:pStyle w:val="Heading2"/>
      </w:pPr>
      <w:r>
        <w:t>CGT Calculation</w:t>
      </w:r>
    </w:p>
    <w:p>
      <w:pPr>
        <w:spacing w:after="40" w:before="0"/>
        <w:ind w:left="360"/>
      </w:pPr>
      <w:r>
        <w:rPr>
          <w:rFonts w:ascii="Calibri" w:hAnsi="Calibri"/>
          <w:b/>
          <w:color w:val="003366"/>
          <w:sz w:val="22"/>
        </w:rPr>
        <w:t>Step 1: Verify Delayed Move-In Exception</w:t>
      </w:r>
    </w:p>
    <w:p>
      <w:pPr>
        <w:spacing w:after="40" w:before="0"/>
        <w:ind w:left="360"/>
      </w:pPr>
      <w:r>
        <w:rPr>
          <w:rFonts w:ascii="Calibri" w:hAnsi="Calibri"/>
          <w:sz w:val="22"/>
        </w:rPr>
        <w:t>Delay due to unforeseen circumstances: YES (pre-arranged work assignment)</w:t>
      </w:r>
    </w:p>
    <w:p>
      <w:pPr>
        <w:spacing w:after="40" w:before="0"/>
        <w:ind w:left="360"/>
      </w:pPr>
      <w:r>
        <w:rPr>
          <w:rFonts w:ascii="Calibri" w:hAnsi="Calibri"/>
          <w:sz w:val="22"/>
        </w:rPr>
        <w:t>Moved in as soon as practicable after delay ended: YES (within 5 days)</w:t>
      </w:r>
    </w:p>
    <w:p>
      <w:pPr>
        <w:spacing w:after="40" w:before="0"/>
        <w:ind w:left="360"/>
      </w:pPr>
      <w:r>
        <w:rPr>
          <w:rFonts w:ascii="Calibri" w:hAnsi="Calibri"/>
          <w:sz w:val="22"/>
        </w:rPr>
        <w:t>Property used for income during delay: NO</w:t>
      </w:r>
    </w:p>
    <w:p>
      <w:pPr>
        <w:spacing w:after="40" w:before="0"/>
        <w:ind w:left="360"/>
      </w:pPr>
      <w:r>
        <w:rPr>
          <w:rFonts w:ascii="Calibri" w:hAnsi="Calibri"/>
          <w:b/>
          <w:color w:val="006400"/>
          <w:sz w:val="22"/>
        </w:rPr>
        <w:t>RESULT: Dwelling treated as main residence from acquisition date</w:t>
      </w:r>
    </w:p>
    <w:p>
      <w:pPr>
        <w:spacing w:after="40" w:before="0"/>
        <w:ind w:left="360"/>
      </w:pPr>
      <w:r>
        <w:rPr>
          <w:rFonts w:ascii="Calibri" w:hAnsi="Calibri"/>
          <w:b/>
          <w:color w:val="003366"/>
          <w:sz w:val="22"/>
        </w:rPr>
        <w:t>Step 2: Calculate Capital Gain (for reference)</w:t>
      </w:r>
    </w:p>
    <w:p>
      <w:pPr>
        <w:spacing w:after="40" w:before="0"/>
        <w:ind w:left="360"/>
      </w:pPr>
      <w:r>
        <w:rPr>
          <w:rFonts w:ascii="Calibri" w:hAnsi="Calibri"/>
          <w:sz w:val="22"/>
        </w:rPr>
        <w:t>Sale Price: $595,000</w:t>
      </w:r>
    </w:p>
    <w:p>
      <w:pPr>
        <w:spacing w:after="40" w:before="0"/>
        <w:ind w:left="360"/>
      </w:pPr>
      <w:r>
        <w:rPr>
          <w:rFonts w:ascii="Calibri" w:hAnsi="Calibri"/>
          <w:b/>
          <w:sz w:val="22"/>
        </w:rPr>
        <w:t>Cost Base:</w:t>
      </w:r>
    </w:p>
    <w:p>
      <w:pPr>
        <w:spacing w:after="40" w:before="0"/>
        <w:ind w:left="360"/>
      </w:pPr>
      <w:r>
        <w:rPr>
          <w:rFonts w:ascii="Calibri" w:hAnsi="Calibri"/>
          <w:sz w:val="22"/>
        </w:rPr>
        <w:t>Purchase Price: $380,000</w:t>
      </w:r>
    </w:p>
    <w:p>
      <w:pPr>
        <w:spacing w:after="40" w:before="0"/>
        <w:ind w:left="360"/>
      </w:pPr>
      <w:r>
        <w:rPr>
          <w:rFonts w:ascii="Calibri" w:hAnsi="Calibri"/>
          <w:sz w:val="22"/>
        </w:rPr>
        <w:t>Stamp Duty: $12,160</w:t>
      </w:r>
    </w:p>
    <w:p>
      <w:pPr>
        <w:spacing w:after="40" w:before="0"/>
        <w:ind w:left="360"/>
      </w:pPr>
      <w:r>
        <w:rPr>
          <w:rFonts w:ascii="Calibri" w:hAnsi="Calibri"/>
          <w:sz w:val="22"/>
        </w:rPr>
        <w:t>Purchase Legal Fees: $2,400</w:t>
      </w:r>
    </w:p>
    <w:p>
      <w:pPr>
        <w:spacing w:after="40" w:before="0"/>
        <w:ind w:left="360"/>
      </w:pPr>
      <w:r>
        <w:rPr>
          <w:rFonts w:ascii="Calibri" w:hAnsi="Calibri"/>
          <w:sz w:val="22"/>
        </w:rPr>
        <w:t>Bathroom Renovation: $18,000</w:t>
      </w:r>
    </w:p>
    <w:p>
      <w:pPr>
        <w:spacing w:after="40" w:before="0"/>
        <w:ind w:left="360"/>
      </w:pPr>
      <w:r>
        <w:rPr>
          <w:rFonts w:ascii="Calibri" w:hAnsi="Calibri"/>
          <w:sz w:val="22"/>
        </w:rPr>
        <w:t>Sale Agent Fees: $14,875</w:t>
      </w:r>
    </w:p>
    <w:p>
      <w:pPr>
        <w:spacing w:after="40" w:before="0"/>
        <w:ind w:left="360"/>
      </w:pPr>
      <w:r>
        <w:rPr>
          <w:rFonts w:ascii="Calibri" w:hAnsi="Calibri"/>
          <w:sz w:val="22"/>
        </w:rPr>
        <w:t>Sale Legal Fees: $2,200</w:t>
      </w:r>
    </w:p>
    <w:p>
      <w:pPr>
        <w:spacing w:after="40" w:before="0"/>
        <w:ind w:left="360"/>
      </w:pPr>
      <w:r>
        <w:rPr>
          <w:rFonts w:ascii="Calibri" w:hAnsi="Calibri"/>
          <w:sz w:val="22"/>
        </w:rPr>
        <w:t>Total Cost Base: $429,635</w:t>
      </w:r>
    </w:p>
    <w:p>
      <w:pPr>
        <w:spacing w:after="40" w:before="0"/>
        <w:ind w:left="360"/>
      </w:pPr>
      <w:r>
        <w:rPr>
          <w:rFonts w:ascii="Calibri" w:hAnsi="Calibri"/>
          <w:sz w:val="22"/>
        </w:rPr>
        <w:t>Capital Gain = $595,000 - $429,635 = $165,365</w:t>
      </w:r>
    </w:p>
    <w:p>
      <w:pPr>
        <w:spacing w:after="40" w:before="0"/>
        <w:ind w:left="360"/>
      </w:pPr>
      <w:r>
        <w:rPr>
          <w:rFonts w:ascii="Calibri" w:hAnsi="Calibri"/>
          <w:b/>
          <w:color w:val="003366"/>
          <w:sz w:val="22"/>
        </w:rPr>
        <w:t>Step 3: Apply Main Residence Exemption</w:t>
      </w:r>
    </w:p>
    <w:p>
      <w:pPr>
        <w:spacing w:after="40" w:before="0"/>
        <w:ind w:left="360"/>
      </w:pPr>
      <w:r>
        <w:rPr>
          <w:rFonts w:ascii="Calibri" w:hAnsi="Calibri"/>
          <w:sz w:val="22"/>
        </w:rPr>
        <w:t>Delayed move-in exception applies</w:t>
      </w:r>
    </w:p>
    <w:p>
      <w:pPr>
        <w:spacing w:after="40" w:before="0"/>
        <w:ind w:left="360"/>
      </w:pPr>
      <w:r>
        <w:rPr>
          <w:rFonts w:ascii="Calibri" w:hAnsi="Calibri"/>
          <w:sz w:val="22"/>
        </w:rPr>
        <w:t>Property treated as main residence from 1 February 2018</w:t>
      </w:r>
    </w:p>
    <w:p>
      <w:pPr>
        <w:spacing w:after="40" w:before="0"/>
        <w:ind w:left="360"/>
      </w:pPr>
      <w:r>
        <w:rPr>
          <w:rFonts w:ascii="Calibri" w:hAnsi="Calibri"/>
          <w:sz w:val="22"/>
        </w:rPr>
        <w:t>Main Residence Days: 2,484 / 2,484 = 100%</w:t>
      </w:r>
    </w:p>
    <w:p>
      <w:pPr>
        <w:spacing w:after="40" w:before="0"/>
        <w:ind w:left="360"/>
      </w:pPr>
      <w:r>
        <w:rPr>
          <w:rFonts w:ascii="Calibri" w:hAnsi="Calibri"/>
          <w:sz w:val="22"/>
        </w:rPr>
        <w:t>Exemption: FULL (100%)</w:t>
      </w:r>
    </w:p>
    <w:p>
      <w:pPr>
        <w:spacing w:after="40" w:before="0"/>
        <w:ind w:left="360"/>
      </w:pPr>
      <w:r>
        <w:rPr>
          <w:rFonts w:ascii="Calibri" w:hAnsi="Calibri"/>
          <w:b/>
          <w:color w:val="003366"/>
          <w:sz w:val="22"/>
        </w:rPr>
        <w:t>Step 4: Taxable Capital Gain</w:t>
      </w:r>
    </w:p>
    <w:p>
      <w:pPr>
        <w:spacing w:after="40" w:before="0"/>
        <w:ind w:left="360"/>
      </w:pPr>
      <w:r>
        <w:rPr>
          <w:rFonts w:ascii="Calibri" w:hAnsi="Calibri"/>
          <w:b/>
          <w:color w:val="006400"/>
          <w:sz w:val="22"/>
        </w:rPr>
        <w:t>Taxable Amount = $0 (FULLY EXEMPT)</w:t>
      </w:r>
    </w:p>
    <w:p>
      <w:pPr>
        <w:spacing w:after="40" w:before="0"/>
        <w:ind w:left="360"/>
      </w:pPr>
      <w:r>
        <w:rPr>
          <w:rFonts w:ascii="Calibri" w:hAnsi="Calibri"/>
          <w:b/>
          <w:color w:val="006400"/>
          <w:sz w:val="22"/>
        </w:rPr>
        <w:t>RESULT: NO CGT PAYABLE</w:t>
      </w:r>
    </w:p>
    <w:p>
      <w:pPr>
        <w:pStyle w:val="Heading2"/>
      </w:pPr>
      <w:r>
        <w:t>Applicable Rules</w:t>
      </w:r>
    </w:p>
    <w:p>
      <w:r>
        <w:rPr>
          <w:rFonts w:ascii="Calibri" w:hAnsi="Calibri"/>
          <w:sz w:val="22"/>
        </w:rPr>
        <w:t>ATO guidance on delayed move-in: Valid exceptions include illness or work-related travel</w:t>
      </w:r>
    </w:p>
    <w:p>
      <w:r>
        <w:rPr>
          <w:rFonts w:ascii="Calibri" w:hAnsi="Calibri"/>
          <w:sz w:val="22"/>
        </w:rPr>
        <w:t>Delay of 8 months accepted due to pre-arranged overseas work assignment</w:t>
      </w:r>
    </w:p>
    <w:p>
      <w:r>
        <w:rPr>
          <w:rFonts w:ascii="Calibri" w:hAnsi="Calibri"/>
          <w:sz w:val="22"/>
        </w:rPr>
        <w:t>Moved in as soon as practicable (5 days after assignment ended)</w:t>
      </w:r>
    </w:p>
    <w:p>
      <w:r>
        <w:rPr>
          <w:rFonts w:ascii="Calibri" w:hAnsi="Calibri"/>
          <w:sz w:val="22"/>
        </w:rPr>
        <w:t>Property not rented during delay = full exemption from acquisition date</w:t>
      </w:r>
    </w:p>
    <w:p>
      <w:r>
        <w:rPr>
          <w:rFonts w:ascii="Calibri" w:hAnsi="Calibri"/>
          <w:sz w:val="22"/>
        </w:rPr>
        <w:t>Note: Renting during delay would NOT qualify for this exception</w:t>
      </w:r>
    </w:p>
    <w:p>
      <w:pPr>
        <w:spacing w:before="120" w:after="120"/>
      </w:pPr>
      <w:r>
        <w:rPr>
          <w:color w:val="B4B4B4"/>
          <w:sz w:val="12"/>
        </w:rPr>
        <w:t>────────────────────────────────────────────────────────────────────────────────────────────────────</w:t>
      </w:r>
    </w:p>
    <w:p>
      <w:pPr>
        <w:pStyle w:val="Heading1"/>
      </w:pPr>
      <w:r>
        <w:t>Scenario 3: Multiple Six-Year Periods Reset</w:t>
      </w:r>
    </w:p>
    <w:p>
      <w:pPr>
        <w:pStyle w:val="Heading2"/>
      </w:pPr>
      <w:r>
        <w:t>Description</w:t>
      </w:r>
    </w:p>
    <w:p>
      <w:r>
        <w:rPr>
          <w:rFonts w:ascii="Calibri" w:hAnsi="Calibri"/>
          <w:sz w:val="22"/>
        </w:rPr>
        <w:t>Rebecca purchases a home, lives in it for 5 years, rents it out for 4 years while working overseas, moves back in for 2 years, then rents it again for 5 years before selling. Because she genuinely moved back in and re-established the property as her main residence, she is entitled to a new 6-year period for the second rental. The full main residence exemption applies.</w:t>
      </w:r>
    </w:p>
    <w:p>
      <w:pPr>
        <w:pStyle w:val="Heading2"/>
      </w:pPr>
      <w:r>
        <w:t>Key Facts</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Property</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88 Riverside Road, Gympie QLD 4570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Purchase Date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 July 2010</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Purchase Price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$295,000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First Move Out</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 July 2015</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First Rental Period</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1 Jul 2015 to 30 Jun 2019 (4 years)</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Return Move In</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 July 2019</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Second Move Out</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1 July 2021</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Second Rental Period</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 Jul 2021 to 30 Jun 2026 (5 years projected)</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Sale Date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30 June 2026</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Sale Price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$680,000</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Total Rental</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9 years (but split across two 6-year periods)</w:t>
            </w:r>
          </w:p>
        </w:tc>
      </w:tr>
    </w:tbl>
    <w:p/>
    <w:p>
      <w:pPr>
        <w:pStyle w:val="Heading2"/>
      </w:pPr>
      <w:r>
        <w:t>Timeline of Events</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Date</w:t>
            </w:r>
          </w:p>
        </w:tc>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Event</w:t>
            </w:r>
          </w:p>
        </w:tc>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Details</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01 Jul 2010</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Purchase</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$295,000 + $8,850 stamp duty + $1,800 legal fees</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01 Jul 2010</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Move In</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Established as main residence</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01 Jul 2015</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Move Out</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Relocated overseas for work</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01 Jul 2015</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Rent Start</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First rental period begins</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30 Jun 2019</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Rent End</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Tenant vacates</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01 Jul 2019</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Move In</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Genuinely re-established as main residence</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01 Jul 2021</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Move Out</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Relocated again for work</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01 Jul 2021</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Rent Start</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Second rental period begins (new 6-year clock)</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30 Jun 2026</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Sale</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$680,000 (agent fees: $17,000, legal fees: $2,500)</w:t>
            </w:r>
          </w:p>
        </w:tc>
      </w:tr>
    </w:tbl>
    <w:p/>
    <w:p>
      <w:pPr>
        <w:pStyle w:val="Heading2"/>
      </w:pPr>
      <w:r>
        <w:t>CGT Calculation</w:t>
      </w:r>
    </w:p>
    <w:p>
      <w:pPr>
        <w:spacing w:after="40" w:before="0"/>
        <w:ind w:left="360"/>
      </w:pPr>
      <w:r>
        <w:rPr>
          <w:rFonts w:ascii="Calibri" w:hAnsi="Calibri"/>
          <w:b/>
          <w:color w:val="003366"/>
          <w:sz w:val="22"/>
        </w:rPr>
        <w:t>Step 1: Verify Six-Year Rule Reset</w:t>
      </w:r>
    </w:p>
    <w:p>
      <w:pPr>
        <w:spacing w:after="40" w:before="0"/>
        <w:ind w:left="360"/>
      </w:pPr>
      <w:r>
        <w:rPr>
          <w:rFonts w:ascii="Calibri" w:hAnsi="Calibri"/>
          <w:sz w:val="22"/>
        </w:rPr>
        <w:t>First rental period: 4 years (within 6-year limit)</w:t>
      </w:r>
    </w:p>
    <w:p>
      <w:pPr>
        <w:spacing w:after="40" w:before="0"/>
        <w:ind w:left="360"/>
      </w:pPr>
      <w:r>
        <w:rPr>
          <w:rFonts w:ascii="Calibri" w:hAnsi="Calibri"/>
          <w:sz w:val="22"/>
        </w:rPr>
        <w:t>Genuinely moved back and re-established as main residence: YES</w:t>
      </w:r>
    </w:p>
    <w:p>
      <w:pPr>
        <w:spacing w:after="40" w:before="0"/>
        <w:ind w:left="360"/>
      </w:pPr>
      <w:r>
        <w:rPr>
          <w:rFonts w:ascii="Calibri" w:hAnsi="Calibri"/>
          <w:sz w:val="22"/>
        </w:rPr>
        <w:t>Second rental period: 5 years (within NEW 6-year limit)</w:t>
      </w:r>
    </w:p>
    <w:p>
      <w:pPr>
        <w:spacing w:after="40" w:before="0"/>
        <w:ind w:left="360"/>
      </w:pPr>
      <w:r>
        <w:rPr>
          <w:rFonts w:ascii="Calibri" w:hAnsi="Calibri"/>
          <w:b/>
          <w:color w:val="006400"/>
          <w:sz w:val="22"/>
        </w:rPr>
        <w:t>RESULT: Both rental periods covered by six-year rule</w:t>
      </w:r>
    </w:p>
    <w:p>
      <w:pPr>
        <w:spacing w:after="40" w:before="0"/>
        <w:ind w:left="360"/>
      </w:pPr>
      <w:r>
        <w:rPr>
          <w:rFonts w:ascii="Calibri" w:hAnsi="Calibri"/>
          <w:b/>
          <w:color w:val="003366"/>
          <w:sz w:val="22"/>
        </w:rPr>
        <w:t>Step 2: Calculate Total Rental</w:t>
      </w:r>
    </w:p>
    <w:p>
      <w:pPr>
        <w:spacing w:after="40" w:before="0"/>
        <w:ind w:left="360"/>
      </w:pPr>
      <w:r>
        <w:rPr>
          <w:rFonts w:ascii="Calibri" w:hAnsi="Calibri"/>
          <w:sz w:val="22"/>
        </w:rPr>
        <w:t>First rental: 1,461 days (4 years)</w:t>
      </w:r>
    </w:p>
    <w:p>
      <w:pPr>
        <w:spacing w:after="40" w:before="0"/>
        <w:ind w:left="360"/>
      </w:pPr>
      <w:r>
        <w:rPr>
          <w:rFonts w:ascii="Calibri" w:hAnsi="Calibri"/>
          <w:sz w:val="22"/>
        </w:rPr>
        <w:t>Lived in (reset period): 731 days (2 years)</w:t>
      </w:r>
    </w:p>
    <w:p>
      <w:pPr>
        <w:spacing w:after="40" w:before="0"/>
        <w:ind w:left="360"/>
      </w:pPr>
      <w:r>
        <w:rPr>
          <w:rFonts w:ascii="Calibri" w:hAnsi="Calibri"/>
          <w:sz w:val="22"/>
        </w:rPr>
        <w:t>Second rental: 1,826 days (5 years)</w:t>
      </w:r>
    </w:p>
    <w:p>
      <w:pPr>
        <w:spacing w:after="40" w:before="0"/>
        <w:ind w:left="360"/>
      </w:pPr>
      <w:r>
        <w:rPr>
          <w:rFonts w:ascii="Calibri" w:hAnsi="Calibri"/>
          <w:sz w:val="22"/>
        </w:rPr>
        <w:t>Total rental: 9 years, but across TWO six-year periods</w:t>
      </w:r>
    </w:p>
    <w:p>
      <w:pPr>
        <w:spacing w:after="40" w:before="0"/>
        <w:ind w:left="360"/>
      </w:pPr>
      <w:r>
        <w:rPr>
          <w:rFonts w:ascii="Calibri" w:hAnsi="Calibri"/>
          <w:b/>
          <w:color w:val="003366"/>
          <w:sz w:val="22"/>
        </w:rPr>
        <w:t>Step 3: Calculate Capital Gain (for reference)</w:t>
      </w:r>
    </w:p>
    <w:p>
      <w:pPr>
        <w:spacing w:after="40" w:before="0"/>
        <w:ind w:left="360"/>
      </w:pPr>
      <w:r>
        <w:rPr>
          <w:rFonts w:ascii="Calibri" w:hAnsi="Calibri"/>
          <w:sz w:val="22"/>
        </w:rPr>
        <w:t>Sale Price: $680,000</w:t>
      </w:r>
    </w:p>
    <w:p>
      <w:pPr>
        <w:spacing w:after="40" w:before="0"/>
        <w:ind w:left="360"/>
      </w:pPr>
      <w:r>
        <w:rPr>
          <w:rFonts w:ascii="Calibri" w:hAnsi="Calibri"/>
          <w:b/>
          <w:sz w:val="22"/>
        </w:rPr>
        <w:t>Cost Base:</w:t>
      </w:r>
    </w:p>
    <w:p>
      <w:pPr>
        <w:spacing w:after="40" w:before="0"/>
        <w:ind w:left="360"/>
      </w:pPr>
      <w:r>
        <w:rPr>
          <w:rFonts w:ascii="Calibri" w:hAnsi="Calibri"/>
          <w:sz w:val="22"/>
        </w:rPr>
        <w:t>Purchase Price: $295,000</w:t>
      </w:r>
    </w:p>
    <w:p>
      <w:pPr>
        <w:spacing w:after="40" w:before="0"/>
        <w:ind w:left="360"/>
      </w:pPr>
      <w:r>
        <w:rPr>
          <w:rFonts w:ascii="Calibri" w:hAnsi="Calibri"/>
          <w:sz w:val="22"/>
        </w:rPr>
        <w:t>Stamp Duty: $8,850</w:t>
      </w:r>
    </w:p>
    <w:p>
      <w:pPr>
        <w:spacing w:after="40" w:before="0"/>
        <w:ind w:left="360"/>
      </w:pPr>
      <w:r>
        <w:rPr>
          <w:rFonts w:ascii="Calibri" w:hAnsi="Calibri"/>
          <w:sz w:val="22"/>
        </w:rPr>
        <w:t>Purchase Legal Fees: $1,800</w:t>
      </w:r>
    </w:p>
    <w:p>
      <w:pPr>
        <w:spacing w:after="40" w:before="0"/>
        <w:ind w:left="360"/>
      </w:pPr>
      <w:r>
        <w:rPr>
          <w:rFonts w:ascii="Calibri" w:hAnsi="Calibri"/>
          <w:sz w:val="22"/>
        </w:rPr>
        <w:t>Sale Agent Fees: $17,000</w:t>
      </w:r>
    </w:p>
    <w:p>
      <w:pPr>
        <w:spacing w:after="40" w:before="0"/>
        <w:ind w:left="360"/>
      </w:pPr>
      <w:r>
        <w:rPr>
          <w:rFonts w:ascii="Calibri" w:hAnsi="Calibri"/>
          <w:sz w:val="22"/>
        </w:rPr>
        <w:t>Sale Legal Fees: $2,500</w:t>
      </w:r>
    </w:p>
    <w:p>
      <w:pPr>
        <w:spacing w:after="40" w:before="0"/>
        <w:ind w:left="360"/>
      </w:pPr>
      <w:r>
        <w:rPr>
          <w:rFonts w:ascii="Calibri" w:hAnsi="Calibri"/>
          <w:sz w:val="22"/>
        </w:rPr>
        <w:t>Total Cost Base: $325,150</w:t>
      </w:r>
    </w:p>
    <w:p>
      <w:pPr>
        <w:spacing w:after="40" w:before="0"/>
        <w:ind w:left="360"/>
      </w:pPr>
      <w:r>
        <w:rPr>
          <w:rFonts w:ascii="Calibri" w:hAnsi="Calibri"/>
          <w:sz w:val="22"/>
        </w:rPr>
        <w:t>Capital Gain = $680,000 - $325,150 = $354,850</w:t>
      </w:r>
    </w:p>
    <w:p>
      <w:pPr>
        <w:spacing w:after="40" w:before="0"/>
        <w:ind w:left="360"/>
      </w:pPr>
      <w:r>
        <w:rPr>
          <w:rFonts w:ascii="Calibri" w:hAnsi="Calibri"/>
          <w:b/>
          <w:color w:val="003366"/>
          <w:sz w:val="22"/>
        </w:rPr>
        <w:t>Step 4: Apply Main Residence Exemption</w:t>
      </w:r>
    </w:p>
    <w:p>
      <w:pPr>
        <w:spacing w:after="40" w:before="0"/>
        <w:ind w:left="360"/>
      </w:pPr>
      <w:r>
        <w:rPr>
          <w:rFonts w:ascii="Calibri" w:hAnsi="Calibri"/>
          <w:sz w:val="22"/>
        </w:rPr>
        <w:t>First 4-year rental: Covered by first 6-year period</w:t>
      </w:r>
    </w:p>
    <w:p>
      <w:pPr>
        <w:spacing w:after="40" w:before="0"/>
        <w:ind w:left="360"/>
      </w:pPr>
      <w:r>
        <w:rPr>
          <w:rFonts w:ascii="Calibri" w:hAnsi="Calibri"/>
          <w:sz w:val="22"/>
        </w:rPr>
        <w:t>2-year live-in: Resets the 6-year clock</w:t>
      </w:r>
    </w:p>
    <w:p>
      <w:pPr>
        <w:spacing w:after="40" w:before="0"/>
        <w:ind w:left="360"/>
      </w:pPr>
      <w:r>
        <w:rPr>
          <w:rFonts w:ascii="Calibri" w:hAnsi="Calibri"/>
          <w:sz w:val="22"/>
        </w:rPr>
        <w:t>Second 5-year rental: Covered by second 6-year period</w:t>
      </w:r>
    </w:p>
    <w:p>
      <w:pPr>
        <w:spacing w:after="40" w:before="0"/>
        <w:ind w:left="360"/>
      </w:pPr>
      <w:r>
        <w:rPr>
          <w:rFonts w:ascii="Calibri" w:hAnsi="Calibri"/>
          <w:sz w:val="22"/>
        </w:rPr>
        <w:t>Exemption: FULL (100%)</w:t>
      </w:r>
    </w:p>
    <w:p>
      <w:pPr>
        <w:spacing w:after="40" w:before="0"/>
        <w:ind w:left="360"/>
      </w:pPr>
      <w:r>
        <w:rPr>
          <w:rFonts w:ascii="Calibri" w:hAnsi="Calibri"/>
          <w:b/>
          <w:color w:val="003366"/>
          <w:sz w:val="22"/>
        </w:rPr>
        <w:t>Step 5: Taxable Capital Gain</w:t>
      </w:r>
    </w:p>
    <w:p>
      <w:pPr>
        <w:spacing w:after="40" w:before="0"/>
        <w:ind w:left="360"/>
      </w:pPr>
      <w:r>
        <w:rPr>
          <w:rFonts w:ascii="Calibri" w:hAnsi="Calibri"/>
          <w:b/>
          <w:color w:val="006400"/>
          <w:sz w:val="22"/>
        </w:rPr>
        <w:t>Taxable Amount = $0 (FULLY EXEMPT)</w:t>
      </w:r>
    </w:p>
    <w:p>
      <w:pPr>
        <w:spacing w:after="40" w:before="0"/>
        <w:ind w:left="360"/>
      </w:pPr>
      <w:r>
        <w:rPr>
          <w:rFonts w:ascii="Calibri" w:hAnsi="Calibri"/>
          <w:b/>
          <w:color w:val="006400"/>
          <w:sz w:val="22"/>
        </w:rPr>
        <w:t>RESULT: NO CGT PAYABLE</w:t>
      </w:r>
    </w:p>
    <w:p>
      <w:pPr>
        <w:pStyle w:val="Heading2"/>
      </w:pPr>
      <w:r>
        <w:t>Applicable Rules</w:t>
      </w:r>
    </w:p>
    <w:p>
      <w:r>
        <w:rPr>
          <w:rFonts w:ascii="Calibri" w:hAnsi="Calibri"/>
          <w:sz w:val="22"/>
        </w:rPr>
        <w:t>ITAA97 s118.145: Six-year absence rule can be reset</w:t>
      </w:r>
    </w:p>
    <w:p>
      <w:r>
        <w:rPr>
          <w:rFonts w:ascii="Calibri" w:hAnsi="Calibri"/>
          <w:sz w:val="22"/>
        </w:rPr>
        <w:t>When owner genuinely moves back in and re-establishes main residence, a new 6-year period starts</w:t>
      </w:r>
    </w:p>
    <w:p>
      <w:r>
        <w:rPr>
          <w:rFonts w:ascii="Calibri" w:hAnsi="Calibri"/>
          <w:sz w:val="22"/>
        </w:rPr>
        <w:t>9 years total rental split: 4 years + 5 years = both within respective 6-year limits</w:t>
      </w:r>
    </w:p>
    <w:p>
      <w:r>
        <w:rPr>
          <w:rFonts w:ascii="Calibri" w:hAnsi="Calibri"/>
          <w:sz w:val="22"/>
        </w:rPr>
        <w:t>Key: Must genuinely re-establish main residence (not just a brief visit)</w:t>
      </w:r>
    </w:p>
    <w:p>
      <w:pPr>
        <w:spacing w:before="120" w:after="120"/>
      </w:pPr>
      <w:r>
        <w:rPr>
          <w:color w:val="B4B4B4"/>
          <w:sz w:val="12"/>
        </w:rPr>
        <w:t>────────────────────────────────────────────────────────────────────────────────────────────────────</w:t>
      </w:r>
    </w:p>
    <w:p>
      <w:pPr>
        <w:pStyle w:val="Heading1"/>
      </w:pPr>
      <w:r>
        <w:t>Scenario 4: Deceased Estate Sold Within Two Years</w:t>
      </w:r>
    </w:p>
    <w:p>
      <w:pPr>
        <w:pStyle w:val="Heading2"/>
      </w:pPr>
      <w:r>
        <w:t>Description</w:t>
      </w:r>
    </w:p>
    <w:p>
      <w:r>
        <w:rPr>
          <w:rFonts w:ascii="Calibri" w:hAnsi="Calibri"/>
          <w:sz w:val="22"/>
        </w:rPr>
        <w:t>William's mother passes away and leaves him her home, which was her main residence. William sells the property within 2 years of her death. Because the property was the deceased's main residence and was sold within 2 years, William is entitled to a full CGT exemption under the deceased estate provisions.</w:t>
      </w:r>
    </w:p>
    <w:p>
      <w:pPr>
        <w:pStyle w:val="Heading2"/>
      </w:pPr>
      <w:r>
        <w:t>Key Facts</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Property</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55 Heritage Lane, Ipswich QLD 4305</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Mother's Purchase Date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 January 1998</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Mother's Purchase Price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$145,000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Death Date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15 March 2023</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Market Value at Death</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$485,000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William's Status</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Never lived in property</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Sale Date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1 February 2025</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Sale Price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$510,000</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Days Since Death</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688 days (1 year, 10.5 months)</w:t>
            </w:r>
          </w:p>
        </w:tc>
      </w:tr>
    </w:tbl>
    <w:p/>
    <w:p>
      <w:pPr>
        <w:pStyle w:val="Heading2"/>
      </w:pPr>
      <w:r>
        <w:t>Timeline of Events</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Date</w:t>
            </w:r>
          </w:p>
        </w:tc>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Event</w:t>
            </w:r>
          </w:p>
        </w:tc>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Details</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01 Jan 1998</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Mother's Purchase</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$145,000 (mother's main residence)</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15 Mar 2023</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Death</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Mother passes. Market value: $485,000</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01 Jun 2023</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Transfer</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William receives property as beneficiary</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01 Feb 2025</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Sale</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$510,000 (agent fees: $12,750, legal fees: $2,000)</w:t>
            </w:r>
          </w:p>
        </w:tc>
      </w:tr>
    </w:tbl>
    <w:p/>
    <w:p>
      <w:pPr>
        <w:pStyle w:val="Heading2"/>
      </w:pPr>
      <w:r>
        <w:t>CGT Calculation</w:t>
      </w:r>
    </w:p>
    <w:p>
      <w:pPr>
        <w:spacing w:after="40" w:before="0"/>
        <w:ind w:left="360"/>
      </w:pPr>
      <w:r>
        <w:rPr>
          <w:rFonts w:ascii="Calibri" w:hAnsi="Calibri"/>
          <w:b/>
          <w:color w:val="003366"/>
          <w:sz w:val="22"/>
        </w:rPr>
        <w:t>Step 1: Verify 2-Year Disposal Rule Eligibility (s118.195)</w:t>
      </w:r>
    </w:p>
    <w:p>
      <w:pPr>
        <w:spacing w:after="40" w:before="0"/>
        <w:ind w:left="360"/>
      </w:pPr>
      <w:r>
        <w:rPr>
          <w:rFonts w:ascii="Calibri" w:hAnsi="Calibri"/>
          <w:sz w:val="22"/>
        </w:rPr>
        <w:t>Property was deceased's main residence: YES</w:t>
      </w:r>
    </w:p>
    <w:p>
      <w:pPr>
        <w:spacing w:after="40" w:before="0"/>
        <w:ind w:left="360"/>
      </w:pPr>
      <w:r>
        <w:rPr>
          <w:rFonts w:ascii="Calibri" w:hAnsi="Calibri"/>
          <w:sz w:val="22"/>
        </w:rPr>
        <w:t>Property sold within 2 years of death: YES (688 days &lt; 730 days)</w:t>
      </w:r>
    </w:p>
    <w:p>
      <w:pPr>
        <w:spacing w:after="40" w:before="0"/>
        <w:ind w:left="360"/>
      </w:pPr>
      <w:r>
        <w:rPr>
          <w:rFonts w:ascii="Calibri" w:hAnsi="Calibri"/>
          <w:sz w:val="22"/>
        </w:rPr>
        <w:t>Property not used to produce income since death: YES (vacant)</w:t>
      </w:r>
    </w:p>
    <w:p>
      <w:pPr>
        <w:spacing w:after="40" w:before="0"/>
        <w:ind w:left="360"/>
      </w:pPr>
      <w:r>
        <w:rPr>
          <w:rFonts w:ascii="Calibri" w:hAnsi="Calibri"/>
          <w:b/>
          <w:color w:val="006400"/>
          <w:sz w:val="22"/>
        </w:rPr>
        <w:t>RESULT: Full CGT exemption applies</w:t>
      </w:r>
    </w:p>
    <w:p>
      <w:pPr>
        <w:spacing w:after="40" w:before="0"/>
        <w:ind w:left="360"/>
      </w:pPr>
      <w:r>
        <w:rPr>
          <w:rFonts w:ascii="Calibri" w:hAnsi="Calibri"/>
          <w:b/>
          <w:color w:val="003366"/>
          <w:sz w:val="22"/>
        </w:rPr>
        <w:t>Step 2: Calculate Capital Gain (for reference)</w:t>
      </w:r>
    </w:p>
    <w:p>
      <w:pPr>
        <w:spacing w:after="40" w:before="0"/>
        <w:ind w:left="360"/>
      </w:pPr>
      <w:r>
        <w:rPr>
          <w:rFonts w:ascii="Calibri" w:hAnsi="Calibri"/>
          <w:sz w:val="22"/>
        </w:rPr>
        <w:t>Sale Price: $510,000</w:t>
      </w:r>
    </w:p>
    <w:p>
      <w:pPr>
        <w:spacing w:after="40" w:before="0"/>
        <w:ind w:left="360"/>
      </w:pPr>
      <w:r>
        <w:rPr>
          <w:rFonts w:ascii="Calibri" w:hAnsi="Calibri"/>
          <w:sz w:val="22"/>
        </w:rPr>
        <w:t>Market Value at Death (Cost Base): $485,000</w:t>
      </w:r>
    </w:p>
    <w:p>
      <w:pPr>
        <w:spacing w:after="40" w:before="0"/>
        <w:ind w:left="360"/>
      </w:pPr>
      <w:r>
        <w:rPr>
          <w:rFonts w:ascii="Calibri" w:hAnsi="Calibri"/>
          <w:b/>
          <w:sz w:val="22"/>
        </w:rPr>
        <w:t>Cost Base:</w:t>
      </w:r>
    </w:p>
    <w:p>
      <w:pPr>
        <w:spacing w:after="40" w:before="0"/>
        <w:ind w:left="360"/>
      </w:pPr>
      <w:r>
        <w:rPr>
          <w:rFonts w:ascii="Calibri" w:hAnsi="Calibri"/>
          <w:sz w:val="22"/>
        </w:rPr>
        <w:t>Market Value at Death: $485,000</w:t>
      </w:r>
    </w:p>
    <w:p>
      <w:pPr>
        <w:spacing w:after="40" w:before="0"/>
        <w:ind w:left="360"/>
      </w:pPr>
      <w:r>
        <w:rPr>
          <w:rFonts w:ascii="Calibri" w:hAnsi="Calibri"/>
          <w:sz w:val="22"/>
        </w:rPr>
        <w:t>Sale Agent Fees: $12,750</w:t>
      </w:r>
    </w:p>
    <w:p>
      <w:pPr>
        <w:spacing w:after="40" w:before="0"/>
        <w:ind w:left="360"/>
      </w:pPr>
      <w:r>
        <w:rPr>
          <w:rFonts w:ascii="Calibri" w:hAnsi="Calibri"/>
          <w:sz w:val="22"/>
        </w:rPr>
        <w:t>Sale Legal Fees: $2,000</w:t>
      </w:r>
    </w:p>
    <w:p>
      <w:pPr>
        <w:spacing w:after="40" w:before="0"/>
        <w:ind w:left="360"/>
      </w:pPr>
      <w:r>
        <w:rPr>
          <w:rFonts w:ascii="Calibri" w:hAnsi="Calibri"/>
          <w:sz w:val="22"/>
        </w:rPr>
        <w:t>Total Cost Base: $499,750</w:t>
      </w:r>
    </w:p>
    <w:p>
      <w:pPr>
        <w:spacing w:after="40" w:before="0"/>
        <w:ind w:left="360"/>
      </w:pPr>
      <w:r>
        <w:rPr>
          <w:rFonts w:ascii="Calibri" w:hAnsi="Calibri"/>
          <w:sz w:val="22"/>
        </w:rPr>
        <w:t>Capital Gain = $510,000 - $499,750 = $10,250</w:t>
      </w:r>
    </w:p>
    <w:p>
      <w:pPr>
        <w:spacing w:after="40" w:before="0"/>
        <w:ind w:left="360"/>
      </w:pPr>
      <w:r>
        <w:rPr>
          <w:rFonts w:ascii="Calibri" w:hAnsi="Calibri"/>
          <w:b/>
          <w:color w:val="003366"/>
          <w:sz w:val="22"/>
        </w:rPr>
        <w:t>Step 3: Apply Deceased Estate Exemption</w:t>
      </w:r>
    </w:p>
    <w:p>
      <w:pPr>
        <w:spacing w:after="40" w:before="0"/>
        <w:ind w:left="360"/>
      </w:pPr>
      <w:r>
        <w:rPr>
          <w:rFonts w:ascii="Calibri" w:hAnsi="Calibri"/>
          <w:sz w:val="22"/>
        </w:rPr>
        <w:t>2-year disposal rule applies</w:t>
      </w:r>
    </w:p>
    <w:p>
      <w:pPr>
        <w:spacing w:after="40" w:before="0"/>
        <w:ind w:left="360"/>
      </w:pPr>
      <w:r>
        <w:rPr>
          <w:rFonts w:ascii="Calibri" w:hAnsi="Calibri"/>
          <w:sz w:val="22"/>
        </w:rPr>
        <w:t>Deceased's main residence exemption extends to beneficiary</w:t>
      </w:r>
    </w:p>
    <w:p>
      <w:pPr>
        <w:spacing w:after="40" w:before="0"/>
        <w:ind w:left="360"/>
      </w:pPr>
      <w:r>
        <w:rPr>
          <w:rFonts w:ascii="Calibri" w:hAnsi="Calibri"/>
          <w:sz w:val="22"/>
        </w:rPr>
        <w:t>Exemption: FULL (100%)</w:t>
      </w:r>
    </w:p>
    <w:p>
      <w:pPr>
        <w:spacing w:after="40" w:before="0"/>
        <w:ind w:left="360"/>
      </w:pPr>
      <w:r>
        <w:rPr>
          <w:rFonts w:ascii="Calibri" w:hAnsi="Calibri"/>
          <w:b/>
          <w:color w:val="003366"/>
          <w:sz w:val="22"/>
        </w:rPr>
        <w:t>Step 4: Taxable Capital Gain</w:t>
      </w:r>
    </w:p>
    <w:p>
      <w:pPr>
        <w:spacing w:after="40" w:before="0"/>
        <w:ind w:left="360"/>
      </w:pPr>
      <w:r>
        <w:rPr>
          <w:rFonts w:ascii="Calibri" w:hAnsi="Calibri"/>
          <w:b/>
          <w:color w:val="006400"/>
          <w:sz w:val="22"/>
        </w:rPr>
        <w:t>Taxable Amount = $0 (FULLY EXEMPT)</w:t>
      </w:r>
    </w:p>
    <w:p>
      <w:pPr>
        <w:spacing w:after="40" w:before="0"/>
        <w:ind w:left="360"/>
      </w:pPr>
      <w:r>
        <w:rPr>
          <w:rFonts w:ascii="Calibri" w:hAnsi="Calibri"/>
          <w:b/>
          <w:color w:val="006400"/>
          <w:sz w:val="22"/>
        </w:rPr>
        <w:t>RESULT: NO CGT PAYABLE</w:t>
      </w:r>
    </w:p>
    <w:p>
      <w:pPr>
        <w:pStyle w:val="Heading2"/>
      </w:pPr>
      <w:r>
        <w:t>Applicable Rules</w:t>
      </w:r>
    </w:p>
    <w:p>
      <w:r>
        <w:rPr>
          <w:rFonts w:ascii="Calibri" w:hAnsi="Calibri"/>
          <w:sz w:val="22"/>
        </w:rPr>
        <w:t>ITAA97 s118.195: 2-year disposal rule</w:t>
      </w:r>
    </w:p>
    <w:p>
      <w:r>
        <w:rPr>
          <w:rFonts w:ascii="Calibri" w:hAnsi="Calibri"/>
          <w:sz w:val="22"/>
        </w:rPr>
        <w:t>Property was deceased's main residence at time of death</w:t>
      </w:r>
    </w:p>
    <w:p>
      <w:r>
        <w:rPr>
          <w:rFonts w:ascii="Calibri" w:hAnsi="Calibri"/>
          <w:sz w:val="22"/>
        </w:rPr>
        <w:t>Sold within 2 years = Full exemption (regardless of whether beneficiary lived there)</w:t>
      </w:r>
    </w:p>
    <w:p>
      <w:r>
        <w:rPr>
          <w:rFonts w:ascii="Calibri" w:hAnsi="Calibri"/>
          <w:sz w:val="22"/>
        </w:rPr>
        <w:t>William did not need to move in to claim exemption</w:t>
      </w:r>
    </w:p>
    <w:p>
      <w:r>
        <w:rPr>
          <w:rFonts w:ascii="Calibri" w:hAnsi="Calibri"/>
          <w:sz w:val="22"/>
        </w:rPr>
        <w:t>Note: If sold after 2 years, partial exemption may apply (see Scenario 5)</w:t>
      </w:r>
    </w:p>
    <w:p>
      <w:pPr>
        <w:spacing w:before="120" w:after="120"/>
      </w:pPr>
      <w:r>
        <w:rPr>
          <w:color w:val="B4B4B4"/>
          <w:sz w:val="12"/>
        </w:rPr>
        <w:t>────────────────────────────────────────────────────────────────────────────────────────────────────</w:t>
      </w:r>
    </w:p>
    <w:p>
      <w:pPr>
        <w:pStyle w:val="Heading1"/>
      </w:pPr>
      <w:r>
        <w:t>Scenario 5: Beneficiary Moves Into Inherited Property</w:t>
      </w:r>
    </w:p>
    <w:p>
      <w:pPr>
        <w:pStyle w:val="Heading2"/>
      </w:pPr>
      <w:r>
        <w:t>Description</w:t>
      </w:r>
    </w:p>
    <w:p>
      <w:r>
        <w:rPr>
          <w:rFonts w:ascii="Calibri" w:hAnsi="Calibri"/>
          <w:sz w:val="22"/>
        </w:rPr>
        <w:t>Sarah inherits her father's investment property (which was NOT his main residence). She moves into the property as her main residence for 4 years before selling. Because the property was not the deceased's main residence, Sarah cannot use the 2-year rule. However, she can claim the main residence exemption for the period she lived there.</w:t>
      </w:r>
    </w:p>
    <w:p>
      <w:pPr>
        <w:pStyle w:val="Heading2"/>
      </w:pPr>
      <w:r>
        <w:t>Key Facts</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Property</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120 Investment Crescent, Mackay QLD 4740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Father's Purchase Date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15 June 2010</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Father's Purchase Price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$320,000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Death Date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 August 2020</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Market Value at Death</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$395,000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Sarah Move In</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 October 2020</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Sale Date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30 September 2024</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Sale Price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$480,000</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Sarah's Ownership</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1,521 days (4.2 years)</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Sarah's Main Residence Period</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1,461 days (4 years)</w:t>
            </w:r>
          </w:p>
        </w:tc>
      </w:tr>
    </w:tbl>
    <w:p/>
    <w:p>
      <w:pPr>
        <w:pStyle w:val="Heading2"/>
      </w:pPr>
      <w:r>
        <w:t>Timeline of Events</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Date</w:t>
            </w:r>
          </w:p>
        </w:tc>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Event</w:t>
            </w:r>
          </w:p>
        </w:tc>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Details</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15 Jun 2010</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Father's Purchase</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$320,000 (used as investment property)</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01 Aug 2020</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Death</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Father passes. Market value: $395,000</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15 Sep 2020</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Transfer</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Sarah receives property as beneficiary</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01 Oct 2020</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Move In</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Sarah moves in as main residence</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30 Sep 2024</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Sale</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$480,000 (agent fees: $12,000, legal fees: $1,900)</w:t>
            </w:r>
          </w:p>
        </w:tc>
      </w:tr>
    </w:tbl>
    <w:p/>
    <w:p>
      <w:pPr>
        <w:pStyle w:val="Heading2"/>
      </w:pPr>
      <w:r>
        <w:t>CGT Calculation</w:t>
      </w:r>
    </w:p>
    <w:p>
      <w:pPr>
        <w:spacing w:after="40" w:before="0"/>
        <w:ind w:left="360"/>
      </w:pPr>
      <w:r>
        <w:rPr>
          <w:rFonts w:ascii="Calibri" w:hAnsi="Calibri"/>
          <w:b/>
          <w:color w:val="003366"/>
          <w:sz w:val="22"/>
        </w:rPr>
        <w:t>Step 1: Determine Cost Base</w:t>
      </w:r>
    </w:p>
    <w:p>
      <w:pPr>
        <w:spacing w:after="40" w:before="0"/>
        <w:ind w:left="360"/>
      </w:pPr>
      <w:r>
        <w:rPr>
          <w:rFonts w:ascii="Calibri" w:hAnsi="Calibri"/>
          <w:sz w:val="22"/>
        </w:rPr>
        <w:t>Property was NOT deceased's main residence (investment property)</w:t>
      </w:r>
    </w:p>
    <w:p>
      <w:pPr>
        <w:spacing w:after="40" w:before="0"/>
        <w:ind w:left="360"/>
      </w:pPr>
      <w:r>
        <w:rPr>
          <w:rFonts w:ascii="Calibri" w:hAnsi="Calibri"/>
          <w:sz w:val="22"/>
        </w:rPr>
        <w:t>Cost base = Father's original cost base + capital improvements</w:t>
      </w:r>
    </w:p>
    <w:p>
      <w:pPr>
        <w:spacing w:after="40" w:before="0"/>
        <w:ind w:left="360"/>
      </w:pPr>
      <w:r>
        <w:rPr>
          <w:rFonts w:ascii="Calibri" w:hAnsi="Calibri"/>
          <w:sz w:val="22"/>
        </w:rPr>
        <w:t>Cost base for Sarah = $320,000 (original purchase)</w:t>
      </w:r>
    </w:p>
    <w:p>
      <w:pPr>
        <w:spacing w:after="40" w:before="0"/>
        <w:ind w:left="360"/>
      </w:pPr>
      <w:r>
        <w:rPr>
          <w:rFonts w:ascii="Calibri" w:hAnsi="Calibri"/>
          <w:sz w:val="22"/>
        </w:rPr>
        <w:t>Note: Stamp duty and purchase costs from 2010 would be added</w:t>
      </w:r>
    </w:p>
    <w:p>
      <w:pPr>
        <w:spacing w:after="40" w:before="0"/>
        <w:ind w:left="360"/>
      </w:pPr>
      <w:r>
        <w:rPr>
          <w:rFonts w:ascii="Calibri" w:hAnsi="Calibri"/>
          <w:sz w:val="22"/>
        </w:rPr>
        <w:t>Estimated Total Cost Base from Father: $345,000</w:t>
      </w:r>
    </w:p>
    <w:p>
      <w:pPr>
        <w:spacing w:after="40" w:before="0"/>
        <w:ind w:left="360"/>
      </w:pPr>
      <w:r>
        <w:rPr>
          <w:rFonts w:ascii="Calibri" w:hAnsi="Calibri"/>
          <w:b/>
          <w:color w:val="003366"/>
          <w:sz w:val="22"/>
        </w:rPr>
        <w:t>Step 2: Check 2-Year Disposal Rule</w:t>
      </w:r>
    </w:p>
    <w:p>
      <w:pPr>
        <w:spacing w:after="40" w:before="0"/>
        <w:ind w:left="360"/>
      </w:pPr>
      <w:r>
        <w:rPr>
          <w:rFonts w:ascii="Calibri" w:hAnsi="Calibri"/>
          <w:sz w:val="22"/>
        </w:rPr>
        <w:t>Property was NOT deceased's main residence: Does NOT apply</w:t>
      </w:r>
    </w:p>
    <w:p>
      <w:pPr>
        <w:spacing w:after="40" w:before="0"/>
        <w:ind w:left="360"/>
      </w:pPr>
      <w:r>
        <w:rPr>
          <w:rFonts w:ascii="Calibri" w:hAnsi="Calibri"/>
          <w:sz w:val="22"/>
        </w:rPr>
        <w:t>Sarah must use standard main residence rules</w:t>
      </w:r>
    </w:p>
    <w:p>
      <w:pPr>
        <w:spacing w:after="40" w:before="0"/>
        <w:ind w:left="360"/>
      </w:pPr>
      <w:r>
        <w:rPr>
          <w:rFonts w:ascii="Calibri" w:hAnsi="Calibri"/>
          <w:b/>
          <w:color w:val="003366"/>
          <w:sz w:val="22"/>
        </w:rPr>
        <w:t>Step 3: Calculate Ownership Periods</w:t>
      </w:r>
    </w:p>
    <w:p>
      <w:pPr>
        <w:spacing w:after="40" w:before="0"/>
        <w:ind w:left="360"/>
      </w:pPr>
      <w:r>
        <w:rPr>
          <w:rFonts w:ascii="Calibri" w:hAnsi="Calibri"/>
          <w:sz w:val="22"/>
        </w:rPr>
        <w:t>Sarah's total ownership: 15 Sep 2020 to 30 Sep 2024 = 1,476 days</w:t>
      </w:r>
    </w:p>
    <w:p>
      <w:pPr>
        <w:spacing w:after="40" w:before="0"/>
        <w:ind w:left="360"/>
      </w:pPr>
      <w:r>
        <w:rPr>
          <w:rFonts w:ascii="Calibri" w:hAnsi="Calibri"/>
          <w:sz w:val="22"/>
        </w:rPr>
        <w:t>Vacant period (before move in): 15 Sep 2020 to 1 Oct 2020 = 16 days</w:t>
      </w:r>
    </w:p>
    <w:p>
      <w:pPr>
        <w:spacing w:after="40" w:before="0"/>
        <w:ind w:left="360"/>
      </w:pPr>
      <w:r>
        <w:rPr>
          <w:rFonts w:ascii="Calibri" w:hAnsi="Calibri"/>
          <w:sz w:val="22"/>
        </w:rPr>
        <w:t>Main residence period: 1 Oct 2020 to 30 Sep 2024 = 1,461 days</w:t>
      </w:r>
    </w:p>
    <w:p>
      <w:pPr>
        <w:spacing w:after="40" w:before="0"/>
        <w:ind w:left="360"/>
      </w:pPr>
      <w:r>
        <w:rPr>
          <w:rFonts w:ascii="Calibri" w:hAnsi="Calibri"/>
          <w:b/>
          <w:color w:val="003366"/>
          <w:sz w:val="22"/>
        </w:rPr>
        <w:t>Step 4: Calculate Capital Gain</w:t>
      </w:r>
    </w:p>
    <w:p>
      <w:pPr>
        <w:spacing w:after="40" w:before="0"/>
        <w:ind w:left="360"/>
      </w:pPr>
      <w:r>
        <w:rPr>
          <w:rFonts w:ascii="Calibri" w:hAnsi="Calibri"/>
          <w:sz w:val="22"/>
        </w:rPr>
        <w:t>Sale Price: $480,000</w:t>
      </w:r>
    </w:p>
    <w:p>
      <w:pPr>
        <w:spacing w:after="40" w:before="0"/>
        <w:ind w:left="360"/>
      </w:pPr>
      <w:r>
        <w:rPr>
          <w:rFonts w:ascii="Calibri" w:hAnsi="Calibri"/>
          <w:b/>
          <w:sz w:val="22"/>
        </w:rPr>
        <w:t>Cost Base:</w:t>
      </w:r>
    </w:p>
    <w:p>
      <w:pPr>
        <w:spacing w:after="40" w:before="0"/>
        <w:ind w:left="360"/>
      </w:pPr>
      <w:r>
        <w:rPr>
          <w:rFonts w:ascii="Calibri" w:hAnsi="Calibri"/>
          <w:sz w:val="22"/>
        </w:rPr>
        <w:t>Father's Cost Base: $345,000</w:t>
      </w:r>
    </w:p>
    <w:p>
      <w:pPr>
        <w:spacing w:after="40" w:before="0"/>
        <w:ind w:left="360"/>
      </w:pPr>
      <w:r>
        <w:rPr>
          <w:rFonts w:ascii="Calibri" w:hAnsi="Calibri"/>
          <w:sz w:val="22"/>
        </w:rPr>
        <w:t>Sale Agent Fees: $12,000</w:t>
      </w:r>
    </w:p>
    <w:p>
      <w:pPr>
        <w:spacing w:after="40" w:before="0"/>
        <w:ind w:left="360"/>
      </w:pPr>
      <w:r>
        <w:rPr>
          <w:rFonts w:ascii="Calibri" w:hAnsi="Calibri"/>
          <w:sz w:val="22"/>
        </w:rPr>
        <w:t>Sale Legal Fees: $1,900</w:t>
      </w:r>
    </w:p>
    <w:p>
      <w:pPr>
        <w:spacing w:after="40" w:before="0"/>
        <w:ind w:left="360"/>
      </w:pPr>
      <w:r>
        <w:rPr>
          <w:rFonts w:ascii="Calibri" w:hAnsi="Calibri"/>
          <w:sz w:val="22"/>
        </w:rPr>
        <w:t>Total Cost Base: $358,900</w:t>
      </w:r>
    </w:p>
    <w:p>
      <w:pPr>
        <w:spacing w:after="40" w:before="0"/>
        <w:ind w:left="360"/>
      </w:pPr>
      <w:r>
        <w:rPr>
          <w:rFonts w:ascii="Calibri" w:hAnsi="Calibri"/>
          <w:sz w:val="22"/>
        </w:rPr>
        <w:t>Capital Gain = $480,000 - $358,900 = $121,100</w:t>
      </w:r>
    </w:p>
    <w:p>
      <w:pPr>
        <w:spacing w:after="40" w:before="0"/>
        <w:ind w:left="360"/>
      </w:pPr>
      <w:r>
        <w:rPr>
          <w:rFonts w:ascii="Calibri" w:hAnsi="Calibri"/>
          <w:b/>
          <w:color w:val="003366"/>
          <w:sz w:val="22"/>
        </w:rPr>
        <w:t>Step 5: Apply Partial Main Residence Exemption</w:t>
      </w:r>
    </w:p>
    <w:p>
      <w:pPr>
        <w:spacing w:after="40" w:before="0"/>
        <w:ind w:left="360"/>
      </w:pPr>
      <w:r>
        <w:rPr>
          <w:rFonts w:ascii="Calibri" w:hAnsi="Calibri"/>
          <w:sz w:val="22"/>
        </w:rPr>
        <w:t>Taxable Proportion = Non-MR Days / Total Ownership Days</w:t>
      </w:r>
    </w:p>
    <w:p>
      <w:pPr>
        <w:spacing w:after="40" w:before="0"/>
        <w:ind w:left="360"/>
      </w:pPr>
      <w:r>
        <w:rPr>
          <w:rFonts w:ascii="Calibri" w:hAnsi="Calibri"/>
          <w:sz w:val="22"/>
        </w:rPr>
        <w:t>Taxable Proportion = 16 / 1,476 = 1.08%</w:t>
      </w:r>
    </w:p>
    <w:p>
      <w:pPr>
        <w:spacing w:after="40" w:before="0"/>
        <w:ind w:left="360"/>
      </w:pPr>
      <w:r>
        <w:rPr>
          <w:rFonts w:ascii="Calibri" w:hAnsi="Calibri"/>
          <w:sz w:val="22"/>
        </w:rPr>
        <w:t>Exempt Proportion = 1,461 / 1,476 = 98.98%</w:t>
      </w:r>
    </w:p>
    <w:p>
      <w:pPr>
        <w:spacing w:after="40" w:before="0"/>
        <w:ind w:left="360"/>
      </w:pPr>
      <w:r>
        <w:rPr>
          <w:rFonts w:ascii="Calibri" w:hAnsi="Calibri"/>
          <w:sz w:val="22"/>
        </w:rPr>
        <w:t>Taxable Capital Gain = $121,100 x 1.08% = $1,308</w:t>
      </w:r>
    </w:p>
    <w:p>
      <w:pPr>
        <w:spacing w:after="40" w:before="0"/>
        <w:ind w:left="360"/>
      </w:pPr>
      <w:r>
        <w:rPr>
          <w:rFonts w:ascii="Calibri" w:hAnsi="Calibri"/>
          <w:b/>
          <w:color w:val="003366"/>
          <w:sz w:val="22"/>
        </w:rPr>
        <w:t>Step 6: Apply 50% CGT Discount</w:t>
      </w:r>
    </w:p>
    <w:p>
      <w:pPr>
        <w:spacing w:after="40" w:before="0"/>
        <w:ind w:left="360"/>
      </w:pPr>
      <w:r>
        <w:rPr>
          <w:rFonts w:ascii="Calibri" w:hAnsi="Calibri"/>
          <w:sz w:val="22"/>
        </w:rPr>
        <w:t>Held &gt; 12 months from date of death: YES</w:t>
      </w:r>
    </w:p>
    <w:p>
      <w:pPr>
        <w:spacing w:after="40" w:before="0"/>
        <w:ind w:left="360"/>
      </w:pPr>
      <w:r>
        <w:rPr>
          <w:rFonts w:ascii="Calibri" w:hAnsi="Calibri"/>
          <w:sz w:val="22"/>
        </w:rPr>
        <w:t>Discounted Gain = $1,308 x 50% = $654</w:t>
      </w:r>
    </w:p>
    <w:p>
      <w:pPr>
        <w:spacing w:after="40" w:before="0"/>
        <w:ind w:left="360"/>
      </w:pPr>
      <w:r>
        <w:rPr>
          <w:rFonts w:ascii="Calibri" w:hAnsi="Calibri"/>
          <w:b/>
          <w:color w:val="006400"/>
          <w:sz w:val="22"/>
        </w:rPr>
        <w:t>RESULT: NET CAPITAL GAIN = $654</w:t>
      </w:r>
    </w:p>
    <w:p>
      <w:pPr>
        <w:pStyle w:val="Heading2"/>
      </w:pPr>
      <w:r>
        <w:t>Applicable Rules</w:t>
      </w:r>
    </w:p>
    <w:p>
      <w:r>
        <w:rPr>
          <w:rFonts w:ascii="Calibri" w:hAnsi="Calibri"/>
          <w:sz w:val="22"/>
        </w:rPr>
        <w:t>ITAA97 s118.195: 2-year rule NOT applicable (property was NOT deceased's main residence)</w:t>
      </w:r>
    </w:p>
    <w:p>
      <w:r>
        <w:rPr>
          <w:rFonts w:ascii="Calibri" w:hAnsi="Calibri"/>
          <w:sz w:val="22"/>
        </w:rPr>
        <w:t>Sarah inherits father's cost base and acquisition date</w:t>
      </w:r>
    </w:p>
    <w:p>
      <w:r>
        <w:rPr>
          <w:rFonts w:ascii="Calibri" w:hAnsi="Calibri"/>
          <w:sz w:val="22"/>
        </w:rPr>
        <w:t>ITAA97 s118.185: Partial main residence exemption for period Sarah lived there</w:t>
      </w:r>
    </w:p>
    <w:p>
      <w:r>
        <w:rPr>
          <w:rFonts w:ascii="Calibri" w:hAnsi="Calibri"/>
          <w:sz w:val="22"/>
        </w:rPr>
        <w:t>Small taxable portion due to 16-day delay before moving in</w:t>
      </w:r>
    </w:p>
    <w:p>
      <w:r>
        <w:rPr>
          <w:rFonts w:ascii="Calibri" w:hAnsi="Calibri"/>
          <w:sz w:val="22"/>
        </w:rPr>
        <w:t>ITAA97 s115.25: 50% CGT discount applies</w:t>
      </w:r>
    </w:p>
    <w:p>
      <w:pPr>
        <w:spacing w:before="120" w:after="120"/>
      </w:pPr>
      <w:r>
        <w:rPr>
          <w:color w:val="B4B4B4"/>
          <w:sz w:val="12"/>
        </w:rPr>
        <w:t>────────────────────────────────────────────────────────────────────────────────────────────────────</w:t>
      </w:r>
    </w:p>
    <w:p>
      <w:pPr>
        <w:pStyle w:val="Heading1"/>
      </w:pPr>
      <w:r>
        <w:t>Scenario 6: Pre-CGT Property with Major Post-CGT Improvements</w:t>
      </w:r>
    </w:p>
    <w:p>
      <w:pPr>
        <w:pStyle w:val="Heading2"/>
      </w:pPr>
      <w:r>
        <w:t>Description</w:t>
      </w:r>
    </w:p>
    <w:p>
      <w:r>
        <w:rPr>
          <w:rFonts w:ascii="Calibri" w:hAnsi="Calibri"/>
          <w:sz w:val="22"/>
        </w:rPr>
        <w:t>George purchased a property in 1982 (before CGT commenced on 20 September 1985). In 2015, he undertook a major renovation costing $250,000. He sells the property in 2024. While the original property is exempt as a pre-CGT asset, the major capital improvement is a separate CGT asset and may be taxable.</w:t>
      </w:r>
    </w:p>
    <w:p>
      <w:pPr>
        <w:pStyle w:val="Heading2"/>
      </w:pPr>
      <w:r>
        <w:t>Key Facts</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Property</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78 Colonial Road, Bundaberg QLD 4670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Purchase Date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 June 1982 (Pre-CGT)</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Purchase Price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$42,000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Major Renovation Date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 March 2015</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Renovation Cost</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$250,000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Sale Date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15 October 2024</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Sale Price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$680,000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Portion Attributable to Improvement</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$300,000 (valuer estimate)</w:t>
            </w:r>
          </w:p>
        </w:tc>
      </w:tr>
    </w:tbl>
    <w:p/>
    <w:p>
      <w:pPr>
        <w:pStyle w:val="Heading2"/>
      </w:pPr>
      <w:r>
        <w:t>Timeline of Events</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Date</w:t>
            </w:r>
          </w:p>
        </w:tc>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Event</w:t>
            </w:r>
          </w:p>
        </w:tc>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Details</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01 Jun 1982</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Purchase</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$42,000 (Pre-CGT asset)</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01 Jun 1982</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Move In</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Established as main residence</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01 Mar 2015</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Major Renovation</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Complete house renovation: $250,000</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15 Oct 2024</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Sale</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$680,000 (agent fees: $17,000, legal fees: $2,500)</w:t>
            </w:r>
          </w:p>
        </w:tc>
      </w:tr>
    </w:tbl>
    <w:p/>
    <w:p>
      <w:pPr>
        <w:pStyle w:val="Heading2"/>
      </w:pPr>
      <w:r>
        <w:t>CGT Calculation</w:t>
      </w:r>
    </w:p>
    <w:p>
      <w:pPr>
        <w:spacing w:after="40" w:before="0"/>
        <w:ind w:left="360"/>
      </w:pPr>
      <w:r>
        <w:rPr>
          <w:rFonts w:ascii="Calibri" w:hAnsi="Calibri"/>
          <w:b/>
          <w:color w:val="003366"/>
          <w:sz w:val="22"/>
        </w:rPr>
        <w:t>Step 1: Identify Pre-CGT vs Post-CGT Assets</w:t>
      </w:r>
    </w:p>
    <w:p>
      <w:pPr>
        <w:spacing w:after="40" w:before="0"/>
        <w:ind w:left="360"/>
      </w:pPr>
      <w:r>
        <w:rPr>
          <w:rFonts w:ascii="Calibri" w:hAnsi="Calibri"/>
          <w:sz w:val="22"/>
        </w:rPr>
        <w:t>Original property: Acquired 1 June 1982 = PRE-CGT (exempt)</w:t>
      </w:r>
    </w:p>
    <w:p>
      <w:pPr>
        <w:spacing w:after="40" w:before="0"/>
        <w:ind w:left="360"/>
      </w:pPr>
      <w:r>
        <w:rPr>
          <w:rFonts w:ascii="Calibri" w:hAnsi="Calibri"/>
          <w:sz w:val="22"/>
        </w:rPr>
        <w:t>Major renovation: Completed 1 March 2015 = POST-CGT (potentially taxable)</w:t>
      </w:r>
    </w:p>
    <w:p>
      <w:pPr>
        <w:spacing w:after="40" w:before="0"/>
        <w:ind w:left="360"/>
      </w:pPr>
      <w:r>
        <w:rPr>
          <w:rFonts w:ascii="Calibri" w:hAnsi="Calibri"/>
          <w:b/>
          <w:color w:val="003366"/>
          <w:sz w:val="22"/>
        </w:rPr>
        <w:t>Step 2: Determine if Improvement is "Major Capital Improvement"</w:t>
      </w:r>
    </w:p>
    <w:p>
      <w:pPr>
        <w:spacing w:after="40" w:before="0"/>
        <w:ind w:left="360"/>
      </w:pPr>
      <w:r>
        <w:rPr>
          <w:rFonts w:ascii="Calibri" w:hAnsi="Calibri"/>
          <w:sz w:val="22"/>
        </w:rPr>
        <w:t>Renovation cost: $250,000</w:t>
      </w:r>
    </w:p>
    <w:p>
      <w:pPr>
        <w:spacing w:after="40" w:before="0"/>
        <w:ind w:left="360"/>
      </w:pPr>
      <w:r>
        <w:rPr>
          <w:rFonts w:ascii="Calibri" w:hAnsi="Calibri"/>
          <w:sz w:val="22"/>
        </w:rPr>
        <w:t>5% of sale price: $680,000 x 5% = $34,000</w:t>
      </w:r>
    </w:p>
    <w:p>
      <w:pPr>
        <w:spacing w:after="40" w:before="0"/>
        <w:ind w:left="360"/>
      </w:pPr>
      <w:r>
        <w:rPr>
          <w:rFonts w:ascii="Calibri" w:hAnsi="Calibri"/>
          <w:sz w:val="22"/>
        </w:rPr>
        <w:t>2024-25 threshold: $182,665</w:t>
      </w:r>
    </w:p>
    <w:p>
      <w:pPr>
        <w:spacing w:after="40" w:before="0"/>
        <w:ind w:left="360"/>
      </w:pPr>
      <w:r>
        <w:rPr>
          <w:rFonts w:ascii="Calibri" w:hAnsi="Calibri"/>
          <w:sz w:val="22"/>
        </w:rPr>
        <w:t>Test 1: $250,000 &gt; $34,000 (5% of proceeds)? YES</w:t>
      </w:r>
    </w:p>
    <w:p>
      <w:pPr>
        <w:spacing w:after="40" w:before="0"/>
        <w:ind w:left="360"/>
      </w:pPr>
      <w:r>
        <w:rPr>
          <w:rFonts w:ascii="Calibri" w:hAnsi="Calibri"/>
          <w:sz w:val="22"/>
        </w:rPr>
        <w:t>Test 2: $250,000 &gt; $182,665 (threshold)? YES</w:t>
      </w:r>
    </w:p>
    <w:p>
      <w:pPr>
        <w:spacing w:after="40" w:before="0"/>
        <w:ind w:left="360"/>
      </w:pPr>
      <w:r>
        <w:rPr>
          <w:rFonts w:ascii="Calibri" w:hAnsi="Calibri"/>
          <w:b/>
          <w:color w:val="006400"/>
          <w:sz w:val="22"/>
        </w:rPr>
        <w:t>RESULT: Renovation is a major capital improvement (separate CGT asset)</w:t>
      </w:r>
    </w:p>
    <w:p>
      <w:pPr>
        <w:spacing w:after="40" w:before="0"/>
        <w:ind w:left="360"/>
      </w:pPr>
      <w:r>
        <w:rPr>
          <w:rFonts w:ascii="Calibri" w:hAnsi="Calibri"/>
          <w:b/>
          <w:color w:val="003366"/>
          <w:sz w:val="22"/>
        </w:rPr>
        <w:t>Step 3: Check Main Residence Exemption</w:t>
      </w:r>
    </w:p>
    <w:p>
      <w:pPr>
        <w:spacing w:after="40" w:before="0"/>
        <w:ind w:left="360"/>
      </w:pPr>
      <w:r>
        <w:rPr>
          <w:rFonts w:ascii="Calibri" w:hAnsi="Calibri"/>
          <w:sz w:val="22"/>
        </w:rPr>
        <w:t>Property was main residence for entire ownership period: YES</w:t>
      </w:r>
    </w:p>
    <w:p>
      <w:pPr>
        <w:spacing w:after="40" w:before="0"/>
        <w:ind w:left="360"/>
      </w:pPr>
      <w:r>
        <w:rPr>
          <w:rFonts w:ascii="Calibri" w:hAnsi="Calibri"/>
          <w:sz w:val="22"/>
        </w:rPr>
        <w:t>Improvement used as part of home: YES</w:t>
      </w:r>
    </w:p>
    <w:p>
      <w:pPr>
        <w:spacing w:after="40" w:before="0"/>
        <w:ind w:left="360"/>
      </w:pPr>
      <w:r>
        <w:rPr>
          <w:rFonts w:ascii="Calibri" w:hAnsi="Calibri"/>
          <w:b/>
          <w:color w:val="006400"/>
          <w:sz w:val="22"/>
        </w:rPr>
        <w:t>RESULT: Improvement also exempt under main residence exemption</w:t>
      </w:r>
    </w:p>
    <w:p>
      <w:pPr>
        <w:spacing w:after="40" w:before="0"/>
        <w:ind w:left="360"/>
      </w:pPr>
      <w:r>
        <w:rPr>
          <w:rFonts w:ascii="Calibri" w:hAnsi="Calibri"/>
          <w:b/>
          <w:color w:val="003366"/>
          <w:sz w:val="22"/>
        </w:rPr>
        <w:t>Step 4: Calculate Capital Gain on Improvement (for reference)</w:t>
      </w:r>
    </w:p>
    <w:p>
      <w:pPr>
        <w:spacing w:after="40" w:before="0"/>
        <w:ind w:left="360"/>
      </w:pPr>
      <w:r>
        <w:rPr>
          <w:rFonts w:ascii="Calibri" w:hAnsi="Calibri"/>
          <w:sz w:val="22"/>
        </w:rPr>
        <w:t>Portion of sale attributable to improvement: $300,000</w:t>
      </w:r>
    </w:p>
    <w:p>
      <w:pPr>
        <w:spacing w:after="40" w:before="0"/>
        <w:ind w:left="360"/>
      </w:pPr>
      <w:r>
        <w:rPr>
          <w:rFonts w:ascii="Calibri" w:hAnsi="Calibri"/>
          <w:sz w:val="22"/>
        </w:rPr>
        <w:t>Cost base of improvement: $250,000</w:t>
      </w:r>
    </w:p>
    <w:p>
      <w:pPr>
        <w:spacing w:after="40" w:before="0"/>
        <w:ind w:left="360"/>
      </w:pPr>
      <w:r>
        <w:rPr>
          <w:rFonts w:ascii="Calibri" w:hAnsi="Calibri"/>
          <w:sz w:val="22"/>
        </w:rPr>
        <w:t>Capital Gain on improvement = $300,000 - $250,000 = $50,000</w:t>
      </w:r>
    </w:p>
    <w:p>
      <w:pPr>
        <w:spacing w:after="40" w:before="0"/>
        <w:ind w:left="360"/>
      </w:pPr>
      <w:r>
        <w:rPr>
          <w:rFonts w:ascii="Calibri" w:hAnsi="Calibri"/>
          <w:b/>
          <w:color w:val="003366"/>
          <w:sz w:val="22"/>
        </w:rPr>
        <w:t>Step 5: Apply Main Residence Exemption to Improvement</w:t>
      </w:r>
    </w:p>
    <w:p>
      <w:pPr>
        <w:spacing w:after="40" w:before="0"/>
        <w:ind w:left="360"/>
      </w:pPr>
      <w:r>
        <w:rPr>
          <w:rFonts w:ascii="Calibri" w:hAnsi="Calibri"/>
          <w:sz w:val="22"/>
        </w:rPr>
        <w:t>Improvement was part of main residence</w:t>
      </w:r>
    </w:p>
    <w:p>
      <w:pPr>
        <w:spacing w:after="40" w:before="0"/>
        <w:ind w:left="360"/>
      </w:pPr>
      <w:r>
        <w:rPr>
          <w:rFonts w:ascii="Calibri" w:hAnsi="Calibri"/>
          <w:sz w:val="22"/>
        </w:rPr>
        <w:t>ITAA97 s108.70: Improvements on MR are exempt if used as part of home</w:t>
      </w:r>
    </w:p>
    <w:p>
      <w:pPr>
        <w:spacing w:after="40" w:before="0"/>
        <w:ind w:left="360"/>
      </w:pPr>
      <w:r>
        <w:rPr>
          <w:rFonts w:ascii="Calibri" w:hAnsi="Calibri"/>
          <w:sz w:val="22"/>
        </w:rPr>
        <w:t>Exemption: FULL (100%)</w:t>
      </w:r>
    </w:p>
    <w:p>
      <w:pPr>
        <w:spacing w:after="40" w:before="0"/>
        <w:ind w:left="360"/>
      </w:pPr>
      <w:r>
        <w:rPr>
          <w:rFonts w:ascii="Calibri" w:hAnsi="Calibri"/>
          <w:b/>
          <w:color w:val="003366"/>
          <w:sz w:val="22"/>
        </w:rPr>
        <w:t>Step 6: Taxable Capital Gain</w:t>
      </w:r>
    </w:p>
    <w:p>
      <w:pPr>
        <w:spacing w:after="40" w:before="0"/>
        <w:ind w:left="360"/>
      </w:pPr>
      <w:r>
        <w:rPr>
          <w:rFonts w:ascii="Calibri" w:hAnsi="Calibri"/>
          <w:b/>
          <w:color w:val="006400"/>
          <w:sz w:val="22"/>
        </w:rPr>
        <w:t>Taxable Amount = $0 (FULLY EXEMPT)</w:t>
      </w:r>
    </w:p>
    <w:p>
      <w:pPr>
        <w:spacing w:after="40" w:before="0"/>
        <w:ind w:left="360"/>
      </w:pPr>
      <w:r>
        <w:rPr>
          <w:rFonts w:ascii="Calibri" w:hAnsi="Calibri"/>
          <w:b/>
          <w:color w:val="006400"/>
          <w:sz w:val="22"/>
        </w:rPr>
        <w:t>RESULT: NO CGT PAYABLE</w:t>
      </w:r>
    </w:p>
    <w:p>
      <w:pPr>
        <w:pStyle w:val="Heading2"/>
      </w:pPr>
      <w:r>
        <w:t>Applicable Rules</w:t>
      </w:r>
    </w:p>
    <w:p>
      <w:r>
        <w:rPr>
          <w:rFonts w:ascii="Calibri" w:hAnsi="Calibri"/>
          <w:sz w:val="22"/>
        </w:rPr>
        <w:t>ITAA97 s149.10: Pre-CGT assets (acquired before 20 September 1985) exempt</w:t>
      </w:r>
    </w:p>
    <w:p>
      <w:r>
        <w:rPr>
          <w:rFonts w:ascii="Calibri" w:hAnsi="Calibri"/>
          <w:sz w:val="22"/>
        </w:rPr>
        <w:t>ITAA97 s108.70: Major capital improvements are separate CGT assets</w:t>
      </w:r>
    </w:p>
    <w:p>
      <w:r>
        <w:rPr>
          <w:rFonts w:ascii="Calibri" w:hAnsi="Calibri"/>
          <w:sz w:val="22"/>
        </w:rPr>
        <w:t>Major improvement threshold 2024-25: &gt;5% of proceeds AND &gt;$182,665</w:t>
      </w:r>
    </w:p>
    <w:p>
      <w:r>
        <w:rPr>
          <w:rFonts w:ascii="Calibri" w:hAnsi="Calibri"/>
          <w:sz w:val="22"/>
        </w:rPr>
        <w:t>ITAA97 s118.110: Main residence exemption extends to improvements used as part of home</w:t>
      </w:r>
    </w:p>
    <w:p>
      <w:r>
        <w:rPr>
          <w:rFonts w:ascii="Calibri" w:hAnsi="Calibri"/>
          <w:sz w:val="22"/>
        </w:rPr>
        <w:t>Note: If property was NOT main residence, improvement would be taxable</w:t>
      </w:r>
    </w:p>
    <w:p>
      <w:pPr>
        <w:spacing w:before="120" w:after="120"/>
      </w:pPr>
      <w:r>
        <w:rPr>
          <w:color w:val="B4B4B4"/>
          <w:sz w:val="12"/>
        </w:rPr>
        <w:t>────────────────────────────────────────────────────────────────────────────────────────────────────</w:t>
      </w:r>
    </w:p>
    <w:p>
      <w:pPr>
        <w:pStyle w:val="Heading1"/>
      </w:pPr>
      <w:r>
        <w:t>Scenario 7: Large Rural Property Exceeding Two Hectares</w:t>
      </w:r>
    </w:p>
    <w:p>
      <w:pPr>
        <w:pStyle w:val="Heading2"/>
      </w:pPr>
      <w:r>
        <w:t>Description</w:t>
      </w:r>
    </w:p>
    <w:p>
      <w:r>
        <w:rPr>
          <w:rFonts w:ascii="Calibri" w:hAnsi="Calibri"/>
          <w:sz w:val="22"/>
        </w:rPr>
        <w:t>Patricia owns a 5-hectare rural property where she has lived for 15 years. The main residence exemption only applies to the dwelling and up to 2 hectares of adjacent land used for private purposes. She must choose which 2 hectares to include, with the remaining 3 hectares subject to CGT.</w:t>
      </w:r>
    </w:p>
    <w:p>
      <w:pPr>
        <w:pStyle w:val="Heading2"/>
      </w:pPr>
      <w:r>
        <w:t>Key Facts</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Property</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450 Mountain View Road, Atherton QLD 4883</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Purchase Date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 January 2010</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Purchase Price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$420,000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Total Land Size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5 hectares</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Exempt Land</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2 hectares (dwelling + adjacent)</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Taxable Land</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3 hectares</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Sale Date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15 December 2024</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Sale Price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$1,200,000</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Value of Dwelling + 2ha</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$720,000 (60%)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Value of Remaining 3ha</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$480,000 (40%)</w:t>
            </w:r>
          </w:p>
        </w:tc>
      </w:tr>
    </w:tbl>
    <w:p/>
    <w:p>
      <w:pPr>
        <w:pStyle w:val="Heading2"/>
      </w:pPr>
      <w:r>
        <w:t>Timeline of Events</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Date</w:t>
            </w:r>
          </w:p>
        </w:tc>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Event</w:t>
            </w:r>
          </w:p>
        </w:tc>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Details</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01 Jan 2010</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Purchase</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$420,000 + $14,700 stamp duty + $3,000 legal fees (5 hectares)</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01 Jan 2010</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Move In</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Established as main residence</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15 Jun 2015</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Improvement</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Shed construction: $35,000 (on exempt 2ha)</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15 Dec 2024</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Sale</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$1,200,000 (agent fees: $30,000, legal fees: $4,000)</w:t>
            </w:r>
          </w:p>
        </w:tc>
      </w:tr>
    </w:tbl>
    <w:p/>
    <w:p>
      <w:pPr>
        <w:pStyle w:val="Heading2"/>
      </w:pPr>
      <w:r>
        <w:t>CGT Calculation</w:t>
      </w:r>
    </w:p>
    <w:p>
      <w:pPr>
        <w:spacing w:after="40" w:before="0"/>
        <w:ind w:left="360"/>
      </w:pPr>
      <w:r>
        <w:rPr>
          <w:rFonts w:ascii="Calibri" w:hAnsi="Calibri"/>
          <w:b/>
          <w:color w:val="003366"/>
          <w:sz w:val="22"/>
        </w:rPr>
        <w:t>Step 1: Determine Exempt vs Taxable Portions</w:t>
      </w:r>
    </w:p>
    <w:p>
      <w:pPr>
        <w:spacing w:after="40" w:before="0"/>
        <w:ind w:left="360"/>
      </w:pPr>
      <w:r>
        <w:rPr>
          <w:rFonts w:ascii="Calibri" w:hAnsi="Calibri"/>
          <w:sz w:val="22"/>
        </w:rPr>
        <w:t>Total land: 5 hectares</w:t>
      </w:r>
    </w:p>
    <w:p>
      <w:pPr>
        <w:spacing w:after="40" w:before="0"/>
        <w:ind w:left="360"/>
      </w:pPr>
      <w:r>
        <w:rPr>
          <w:rFonts w:ascii="Calibri" w:hAnsi="Calibri"/>
          <w:sz w:val="22"/>
        </w:rPr>
        <w:t>Maximum exempt adjacent land: 2 hectares</w:t>
      </w:r>
    </w:p>
    <w:p>
      <w:pPr>
        <w:spacing w:after="40" w:before="0"/>
        <w:ind w:left="360"/>
      </w:pPr>
      <w:r>
        <w:rPr>
          <w:rFonts w:ascii="Calibri" w:hAnsi="Calibri"/>
          <w:sz w:val="22"/>
        </w:rPr>
        <w:t>Taxable land: 5 - 2 = 3 hectares</w:t>
      </w:r>
    </w:p>
    <w:p>
      <w:pPr>
        <w:spacing w:after="40" w:before="0"/>
        <w:ind w:left="360"/>
      </w:pPr>
      <w:r>
        <w:rPr>
          <w:rFonts w:ascii="Calibri" w:hAnsi="Calibri"/>
          <w:b/>
          <w:color w:val="003366"/>
          <w:sz w:val="22"/>
        </w:rPr>
        <w:t>Step 2: Allocate Sale Proceeds</w:t>
      </w:r>
    </w:p>
    <w:p>
      <w:pPr>
        <w:spacing w:after="40" w:before="0"/>
        <w:ind w:left="360"/>
      </w:pPr>
      <w:r>
        <w:rPr>
          <w:rFonts w:ascii="Calibri" w:hAnsi="Calibri"/>
          <w:sz w:val="22"/>
        </w:rPr>
        <w:t>Total sale price: $1,200,000</w:t>
      </w:r>
    </w:p>
    <w:p>
      <w:pPr>
        <w:spacing w:after="40" w:before="0"/>
        <w:ind w:left="360"/>
      </w:pPr>
      <w:r>
        <w:rPr>
          <w:rFonts w:ascii="Calibri" w:hAnsi="Calibri"/>
          <w:sz w:val="22"/>
        </w:rPr>
        <w:t>Exempt portion (dwelling + 2ha): $720,000 (60%)</w:t>
      </w:r>
    </w:p>
    <w:p>
      <w:pPr>
        <w:spacing w:after="40" w:before="0"/>
        <w:ind w:left="360"/>
      </w:pPr>
      <w:r>
        <w:rPr>
          <w:rFonts w:ascii="Calibri" w:hAnsi="Calibri"/>
          <w:sz w:val="22"/>
        </w:rPr>
        <w:t>Taxable portion (remaining 3ha): $480,000 (40%)</w:t>
      </w:r>
    </w:p>
    <w:p>
      <w:pPr>
        <w:spacing w:after="40" w:before="0"/>
        <w:ind w:left="360"/>
      </w:pPr>
      <w:r>
        <w:rPr>
          <w:rFonts w:ascii="Calibri" w:hAnsi="Calibri"/>
          <w:b/>
          <w:color w:val="003366"/>
          <w:sz w:val="22"/>
        </w:rPr>
        <w:t>Step 3: Allocate Cost Base</w:t>
      </w:r>
    </w:p>
    <w:p>
      <w:pPr>
        <w:spacing w:after="40" w:before="0"/>
        <w:ind w:left="360"/>
      </w:pPr>
      <w:r>
        <w:rPr>
          <w:rFonts w:ascii="Calibri" w:hAnsi="Calibri"/>
          <w:sz w:val="22"/>
        </w:rPr>
        <w:t>Total purchase: $420,000</w:t>
      </w:r>
    </w:p>
    <w:p>
      <w:pPr>
        <w:spacing w:after="40" w:before="0"/>
        <w:ind w:left="360"/>
      </w:pPr>
      <w:r>
        <w:rPr>
          <w:rFonts w:ascii="Calibri" w:hAnsi="Calibri"/>
          <w:sz w:val="22"/>
        </w:rPr>
        <w:t>Total costs: $420,000 + $14,700 + $3,000 = $437,700</w:t>
      </w:r>
    </w:p>
    <w:p>
      <w:pPr>
        <w:spacing w:after="40" w:before="0"/>
        <w:ind w:left="360"/>
      </w:pPr>
      <w:r>
        <w:rPr>
          <w:rFonts w:ascii="Calibri" w:hAnsi="Calibri"/>
          <w:sz w:val="22"/>
        </w:rPr>
        <w:t>Exempt cost base (60%): $262,620</w:t>
      </w:r>
    </w:p>
    <w:p>
      <w:pPr>
        <w:spacing w:after="40" w:before="0"/>
        <w:ind w:left="360"/>
      </w:pPr>
      <w:r>
        <w:rPr>
          <w:rFonts w:ascii="Calibri" w:hAnsi="Calibri"/>
          <w:sz w:val="22"/>
        </w:rPr>
        <w:t>Taxable cost base (40%): $175,080</w:t>
      </w:r>
    </w:p>
    <w:p>
      <w:pPr>
        <w:spacing w:after="40" w:before="0"/>
        <w:ind w:left="360"/>
      </w:pPr>
      <w:r>
        <w:rPr>
          <w:rFonts w:ascii="Calibri" w:hAnsi="Calibri"/>
          <w:b/>
          <w:color w:val="003366"/>
          <w:sz w:val="22"/>
        </w:rPr>
        <w:t>Step 4: Allocate Sale Costs</w:t>
      </w:r>
    </w:p>
    <w:p>
      <w:pPr>
        <w:spacing w:after="40" w:before="0"/>
        <w:ind w:left="360"/>
      </w:pPr>
      <w:r>
        <w:rPr>
          <w:rFonts w:ascii="Calibri" w:hAnsi="Calibri"/>
          <w:sz w:val="22"/>
        </w:rPr>
        <w:t>Total sale costs: $30,000 + $4,000 = $34,000</w:t>
      </w:r>
    </w:p>
    <w:p>
      <w:pPr>
        <w:spacing w:after="40" w:before="0"/>
        <w:ind w:left="360"/>
      </w:pPr>
      <w:r>
        <w:rPr>
          <w:rFonts w:ascii="Calibri" w:hAnsi="Calibri"/>
          <w:sz w:val="22"/>
        </w:rPr>
        <w:t>Exempt sale costs (60%): $20,400</w:t>
      </w:r>
    </w:p>
    <w:p>
      <w:pPr>
        <w:spacing w:after="40" w:before="0"/>
        <w:ind w:left="360"/>
      </w:pPr>
      <w:r>
        <w:rPr>
          <w:rFonts w:ascii="Calibri" w:hAnsi="Calibri"/>
          <w:sz w:val="22"/>
        </w:rPr>
        <w:t>Taxable sale costs (40%): $13,600</w:t>
      </w:r>
    </w:p>
    <w:p>
      <w:pPr>
        <w:spacing w:after="40" w:before="0"/>
        <w:ind w:left="360"/>
      </w:pPr>
      <w:r>
        <w:rPr>
          <w:rFonts w:ascii="Calibri" w:hAnsi="Calibri"/>
          <w:b/>
          <w:color w:val="003366"/>
          <w:sz w:val="22"/>
        </w:rPr>
        <w:t>Step 5: Calculate Capital Gain on Taxable Portion</w:t>
      </w:r>
    </w:p>
    <w:p>
      <w:pPr>
        <w:spacing w:after="40" w:before="0"/>
        <w:ind w:left="360"/>
      </w:pPr>
      <w:r>
        <w:rPr>
          <w:rFonts w:ascii="Calibri" w:hAnsi="Calibri"/>
          <w:sz w:val="22"/>
        </w:rPr>
        <w:t>Taxable proceeds: $480,000</w:t>
      </w:r>
    </w:p>
    <w:p>
      <w:pPr>
        <w:spacing w:after="40" w:before="0"/>
        <w:ind w:left="360"/>
      </w:pPr>
      <w:r>
        <w:rPr>
          <w:rFonts w:ascii="Calibri" w:hAnsi="Calibri"/>
          <w:sz w:val="22"/>
        </w:rPr>
        <w:t>Taxable cost base: $175,080 + $13,600 = $188,680</w:t>
      </w:r>
    </w:p>
    <w:p>
      <w:pPr>
        <w:spacing w:after="40" w:before="0"/>
        <w:ind w:left="360"/>
      </w:pPr>
      <w:r>
        <w:rPr>
          <w:rFonts w:ascii="Calibri" w:hAnsi="Calibri"/>
          <w:sz w:val="22"/>
        </w:rPr>
        <w:t>Capital Gain = $480,000 - $188,680 = $291,320</w:t>
      </w:r>
    </w:p>
    <w:p>
      <w:pPr>
        <w:spacing w:after="40" w:before="0"/>
        <w:ind w:left="360"/>
      </w:pPr>
      <w:r>
        <w:rPr>
          <w:rFonts w:ascii="Calibri" w:hAnsi="Calibri"/>
          <w:b/>
          <w:color w:val="003366"/>
          <w:sz w:val="22"/>
        </w:rPr>
        <w:t>Step 6: Apply 50% CGT Discount</w:t>
      </w:r>
    </w:p>
    <w:p>
      <w:pPr>
        <w:spacing w:after="40" w:before="0"/>
        <w:ind w:left="360"/>
      </w:pPr>
      <w:r>
        <w:rPr>
          <w:rFonts w:ascii="Calibri" w:hAnsi="Calibri"/>
          <w:sz w:val="22"/>
        </w:rPr>
        <w:t>Held &gt; 12 months: YES</w:t>
      </w:r>
    </w:p>
    <w:p>
      <w:pPr>
        <w:spacing w:after="40" w:before="0"/>
        <w:ind w:left="360"/>
      </w:pPr>
      <w:r>
        <w:rPr>
          <w:rFonts w:ascii="Calibri" w:hAnsi="Calibri"/>
          <w:sz w:val="22"/>
        </w:rPr>
        <w:t>Discounted Gain = $291,320 x 50% = $145,660</w:t>
      </w:r>
    </w:p>
    <w:p>
      <w:pPr>
        <w:spacing w:after="40" w:before="0"/>
        <w:ind w:left="360"/>
      </w:pPr>
      <w:r>
        <w:rPr>
          <w:rFonts w:ascii="Calibri" w:hAnsi="Calibri"/>
          <w:b/>
          <w:color w:val="006400"/>
          <w:sz w:val="22"/>
        </w:rPr>
        <w:t>RESULT: NET CAPITAL GAIN = $145,660</w:t>
      </w:r>
    </w:p>
    <w:p>
      <w:pPr>
        <w:pStyle w:val="Heading2"/>
      </w:pPr>
      <w:r>
        <w:t>Applicable Rules</w:t>
      </w:r>
    </w:p>
    <w:p>
      <w:r>
        <w:rPr>
          <w:rFonts w:ascii="Calibri" w:hAnsi="Calibri"/>
          <w:sz w:val="22"/>
        </w:rPr>
        <w:t>ITAA97 s118.120: Main residence exemption includes adjacent land up to 2 hectares</w:t>
      </w:r>
    </w:p>
    <w:p>
      <w:r>
        <w:rPr>
          <w:rFonts w:ascii="Calibri" w:hAnsi="Calibri"/>
          <w:sz w:val="22"/>
        </w:rPr>
        <w:t>Land must be used mainly for private and domestic purposes</w:t>
      </w:r>
    </w:p>
    <w:p>
      <w:r>
        <w:rPr>
          <w:rFonts w:ascii="Calibri" w:hAnsi="Calibri"/>
          <w:sz w:val="22"/>
        </w:rPr>
        <w:t>ATO TD 1999/67: Client can choose which 2 hectares are included</w:t>
      </w:r>
    </w:p>
    <w:p>
      <w:r>
        <w:rPr>
          <w:rFonts w:ascii="Calibri" w:hAnsi="Calibri"/>
          <w:sz w:val="22"/>
        </w:rPr>
        <w:t>Remaining land (3 hectares) is a separate CGT asset</w:t>
      </w:r>
    </w:p>
    <w:p>
      <w:r>
        <w:rPr>
          <w:rFonts w:ascii="Calibri" w:hAnsi="Calibri"/>
          <w:sz w:val="22"/>
        </w:rPr>
        <w:t>ITAA97 s115.25: 50% CGT discount applies to taxable portion</w:t>
      </w:r>
    </w:p>
    <w:p>
      <w:pPr>
        <w:spacing w:before="120" w:after="120"/>
      </w:pPr>
      <w:r>
        <w:rPr>
          <w:color w:val="B4B4B4"/>
          <w:sz w:val="12"/>
        </w:rPr>
        <w:t>────────────────────────────────────────────────────────────────────────────────────────────────────</w:t>
      </w:r>
    </w:p>
    <w:p>
      <w:pPr>
        <w:pStyle w:val="Heading1"/>
      </w:pPr>
      <w:r>
        <w:t>Scenario 8: Granny Flat Arrangement</w:t>
      </w:r>
    </w:p>
    <w:p>
      <w:pPr>
        <w:pStyle w:val="Heading2"/>
      </w:pPr>
      <w:r>
        <w:t>Description</w:t>
      </w:r>
    </w:p>
    <w:p>
      <w:r>
        <w:rPr>
          <w:rFonts w:ascii="Calibri" w:hAnsi="Calibri"/>
          <w:sz w:val="22"/>
        </w:rPr>
        <w:t>Helen transfers her home to her daughter Isabella in exchange for a granny flat right (right to live in the property for life). Since 1 July 2021, CGT does not apply when creating a granny flat arrangement. Helen's main residence exemption covers the transfer, and Isabella has no CGT liability for granting the granny flat right.</w:t>
      </w:r>
    </w:p>
    <w:p>
      <w:pPr>
        <w:pStyle w:val="Heading2"/>
      </w:pPr>
      <w:r>
        <w:t>Key Facts</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Property</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28 Family Court, Rockhampton QLD 4700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Helen's Purchase Date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 March 2005</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Helen's Purchase Price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$285,000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Transfer Date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 August 2022</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Market Value at Transfer</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$485,000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Granny Flat Arrangement</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Life interest for Helen</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Isabella's Sale Date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15 November 2024</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Isabella's Sale Price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$520,000</w:t>
            </w:r>
          </w:p>
        </w:tc>
      </w:tr>
    </w:tbl>
    <w:p/>
    <w:p>
      <w:pPr>
        <w:pStyle w:val="Heading2"/>
      </w:pPr>
      <w:r>
        <w:t>Timeline of Events</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Date</w:t>
            </w:r>
          </w:p>
        </w:tc>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Event</w:t>
            </w:r>
          </w:p>
        </w:tc>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Details</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01 Mar 2005</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Helen's Purchase</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$285,000 + stamp duty + legal fees</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01 Mar 2005</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Helen Move In</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Established as main residence</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01 Aug 2022</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Transfer</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Helen transfers to Isabella for granny flat right</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01 Aug 2022</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Isabella Move In</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Isabella moves in, Helen has life interest</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15 Nov 2024</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Helen Passes</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Granny flat arrangement terminates</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15 Nov 2024</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Sale</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Isabella sells for $520,000</w:t>
            </w:r>
          </w:p>
        </w:tc>
      </w:tr>
    </w:tbl>
    <w:p/>
    <w:p>
      <w:pPr>
        <w:pStyle w:val="Heading2"/>
      </w:pPr>
      <w:r>
        <w:t>CGT Calculation - Helen's Transfer</w:t>
      </w:r>
    </w:p>
    <w:p>
      <w:pPr>
        <w:spacing w:after="40" w:before="0"/>
        <w:ind w:left="360"/>
      </w:pPr>
      <w:r>
        <w:rPr>
          <w:rFonts w:ascii="Calibri" w:hAnsi="Calibri"/>
          <w:b/>
          <w:color w:val="003366"/>
          <w:sz w:val="22"/>
        </w:rPr>
        <w:t>Step 1: Verify Granny Flat CGT Exemption (s118.80)</w:t>
      </w:r>
    </w:p>
    <w:p>
      <w:pPr>
        <w:spacing w:after="40" w:before="0"/>
        <w:ind w:left="360"/>
      </w:pPr>
      <w:r>
        <w:rPr>
          <w:rFonts w:ascii="Calibri" w:hAnsi="Calibri"/>
          <w:sz w:val="22"/>
        </w:rPr>
        <w:t>Transfer date: 1 August 2022 (after 1 July 2021)</w:t>
      </w:r>
    </w:p>
    <w:p>
      <w:pPr>
        <w:spacing w:after="40" w:before="0"/>
        <w:ind w:left="360"/>
      </w:pPr>
      <w:r>
        <w:rPr>
          <w:rFonts w:ascii="Calibri" w:hAnsi="Calibri"/>
          <w:sz w:val="22"/>
        </w:rPr>
        <w:t>Written granny flat arrangement: YES</w:t>
      </w:r>
    </w:p>
    <w:p>
      <w:pPr>
        <w:spacing w:after="40" w:before="0"/>
        <w:ind w:left="360"/>
      </w:pPr>
      <w:r>
        <w:rPr>
          <w:rFonts w:ascii="Calibri" w:hAnsi="Calibri"/>
          <w:sz w:val="22"/>
        </w:rPr>
        <w:t>Non-commercial arrangement: YES (no rent payable)</w:t>
      </w:r>
    </w:p>
    <w:p>
      <w:pPr>
        <w:spacing w:after="40" w:before="0"/>
        <w:ind w:left="360"/>
      </w:pPr>
      <w:r>
        <w:rPr>
          <w:rFonts w:ascii="Calibri" w:hAnsi="Calibri"/>
          <w:sz w:val="22"/>
        </w:rPr>
        <w:t>Life interest granted: YES</w:t>
      </w:r>
    </w:p>
    <w:p>
      <w:pPr>
        <w:spacing w:after="40" w:before="0"/>
        <w:ind w:left="360"/>
      </w:pPr>
      <w:r>
        <w:rPr>
          <w:rFonts w:ascii="Calibri" w:hAnsi="Calibri"/>
          <w:b/>
          <w:color w:val="006400"/>
          <w:sz w:val="22"/>
        </w:rPr>
        <w:t>RESULT: CGT exemption for granny flat arrangement applies</w:t>
      </w:r>
    </w:p>
    <w:p>
      <w:pPr>
        <w:spacing w:after="40" w:before="0"/>
        <w:ind w:left="360"/>
      </w:pPr>
      <w:r>
        <w:rPr>
          <w:rFonts w:ascii="Calibri" w:hAnsi="Calibri"/>
          <w:b/>
          <w:color w:val="003366"/>
          <w:sz w:val="22"/>
        </w:rPr>
        <w:t>Step 2: Check Helen's Main Residence Exemption</w:t>
      </w:r>
    </w:p>
    <w:p>
      <w:pPr>
        <w:spacing w:after="40" w:before="0"/>
        <w:ind w:left="360"/>
      </w:pPr>
      <w:r>
        <w:rPr>
          <w:rFonts w:ascii="Calibri" w:hAnsi="Calibri"/>
          <w:sz w:val="22"/>
        </w:rPr>
        <w:t>Property was Helen's main residence: YES (entire ownership)</w:t>
      </w:r>
    </w:p>
    <w:p>
      <w:pPr>
        <w:spacing w:after="40" w:before="0"/>
        <w:ind w:left="360"/>
      </w:pPr>
      <w:r>
        <w:rPr>
          <w:rFonts w:ascii="Calibri" w:hAnsi="Calibri"/>
          <w:sz w:val="22"/>
        </w:rPr>
        <w:t>CGT Event: Transfer of property</w:t>
      </w:r>
    </w:p>
    <w:p>
      <w:pPr>
        <w:spacing w:after="40" w:before="0"/>
        <w:ind w:left="360"/>
      </w:pPr>
      <w:r>
        <w:rPr>
          <w:rFonts w:ascii="Calibri" w:hAnsi="Calibri"/>
          <w:b/>
          <w:color w:val="003366"/>
          <w:sz w:val="22"/>
        </w:rPr>
        <w:t>Step 3: Helen's CGT Outcome</w:t>
      </w:r>
    </w:p>
    <w:p>
      <w:pPr>
        <w:spacing w:after="40" w:before="0"/>
        <w:ind w:left="360"/>
      </w:pPr>
      <w:r>
        <w:rPr>
          <w:rFonts w:ascii="Calibri" w:hAnsi="Calibri"/>
          <w:sz w:val="22"/>
        </w:rPr>
        <w:t>Main residence exemption applies to transfer</w:t>
      </w:r>
    </w:p>
    <w:p>
      <w:pPr>
        <w:spacing w:after="40" w:before="0"/>
        <w:ind w:left="360"/>
      </w:pPr>
      <w:r>
        <w:rPr>
          <w:rFonts w:ascii="Calibri" w:hAnsi="Calibri"/>
          <w:sz w:val="22"/>
        </w:rPr>
        <w:t>Granny flat arrangement CGT exemption applies</w:t>
      </w:r>
    </w:p>
    <w:p>
      <w:pPr>
        <w:spacing w:after="40" w:before="0"/>
        <w:ind w:left="360"/>
      </w:pPr>
      <w:r>
        <w:rPr>
          <w:rFonts w:ascii="Calibri" w:hAnsi="Calibri"/>
          <w:sz w:val="22"/>
        </w:rPr>
        <w:t>Helen's CGT = $0</w:t>
      </w:r>
    </w:p>
    <w:p>
      <w:pPr>
        <w:pStyle w:val="Heading2"/>
      </w:pPr>
      <w:r>
        <w:t>CGT Calculation - Isabella's Grant of Granny Flat Right</w:t>
      </w:r>
    </w:p>
    <w:p>
      <w:pPr>
        <w:spacing w:after="40" w:before="0"/>
        <w:ind w:left="360"/>
      </w:pPr>
      <w:r>
        <w:rPr>
          <w:rFonts w:ascii="Calibri" w:hAnsi="Calibri"/>
          <w:b/>
          <w:color w:val="003366"/>
          <w:sz w:val="22"/>
        </w:rPr>
        <w:t>Step 1: Isabella's Grant of Life Interest</w:t>
      </w:r>
    </w:p>
    <w:p>
      <w:pPr>
        <w:spacing w:after="40" w:before="0"/>
        <w:ind w:left="360"/>
      </w:pPr>
      <w:r>
        <w:rPr>
          <w:rFonts w:ascii="Calibri" w:hAnsi="Calibri"/>
          <w:sz w:val="22"/>
        </w:rPr>
        <w:t>Isabella granted Helen right to occupy for life</w:t>
      </w:r>
    </w:p>
    <w:p>
      <w:pPr>
        <w:spacing w:after="40" w:before="0"/>
        <w:ind w:left="360"/>
      </w:pPr>
      <w:r>
        <w:rPr>
          <w:rFonts w:ascii="Calibri" w:hAnsi="Calibri"/>
          <w:sz w:val="22"/>
        </w:rPr>
        <w:t>Under s118.80: No CGT liability for granting granny flat interest</w:t>
      </w:r>
    </w:p>
    <w:p>
      <w:pPr>
        <w:spacing w:after="40" w:before="0"/>
        <w:ind w:left="360"/>
      </w:pPr>
      <w:r>
        <w:rPr>
          <w:rFonts w:ascii="Calibri" w:hAnsi="Calibri"/>
          <w:sz w:val="22"/>
        </w:rPr>
        <w:t>Isabella's CGT on grant = $0</w:t>
      </w:r>
    </w:p>
    <w:p>
      <w:pPr>
        <w:pStyle w:val="Heading2"/>
      </w:pPr>
      <w:r>
        <w:t>CGT Calculation - Isabella's Sale</w:t>
      </w:r>
    </w:p>
    <w:p>
      <w:pPr>
        <w:spacing w:after="40" w:before="0"/>
        <w:ind w:left="360"/>
      </w:pPr>
      <w:r>
        <w:rPr>
          <w:rFonts w:ascii="Calibri" w:hAnsi="Calibri"/>
          <w:b/>
          <w:color w:val="003366"/>
          <w:sz w:val="22"/>
        </w:rPr>
        <w:t>Step 1: Determine Isabella's Cost Base</w:t>
      </w:r>
    </w:p>
    <w:p>
      <w:pPr>
        <w:spacing w:after="40" w:before="0"/>
        <w:ind w:left="360"/>
      </w:pPr>
      <w:r>
        <w:rPr>
          <w:rFonts w:ascii="Calibri" w:hAnsi="Calibri"/>
          <w:sz w:val="22"/>
        </w:rPr>
        <w:t>Isabella acquired at market value: $485,000 (transfer date)</w:t>
      </w:r>
    </w:p>
    <w:p>
      <w:pPr>
        <w:spacing w:after="40" w:before="0"/>
        <w:ind w:left="360"/>
      </w:pPr>
      <w:r>
        <w:rPr>
          <w:rFonts w:ascii="Calibri" w:hAnsi="Calibri"/>
          <w:b/>
          <w:color w:val="003366"/>
          <w:sz w:val="22"/>
        </w:rPr>
        <w:t>Step 2: Calculate Isabella's Ownership Period</w:t>
      </w:r>
    </w:p>
    <w:p>
      <w:pPr>
        <w:spacing w:after="40" w:before="0"/>
        <w:ind w:left="360"/>
      </w:pPr>
      <w:r>
        <w:rPr>
          <w:rFonts w:ascii="Calibri" w:hAnsi="Calibri"/>
          <w:sz w:val="22"/>
        </w:rPr>
        <w:t>Transfer: 1 August 2022</w:t>
      </w:r>
    </w:p>
    <w:p>
      <w:pPr>
        <w:spacing w:after="40" w:before="0"/>
        <w:ind w:left="360"/>
      </w:pPr>
      <w:r>
        <w:rPr>
          <w:rFonts w:ascii="Calibri" w:hAnsi="Calibri"/>
          <w:sz w:val="22"/>
        </w:rPr>
        <w:t>Sale: 15 November 2024</w:t>
      </w:r>
    </w:p>
    <w:p>
      <w:pPr>
        <w:spacing w:after="40" w:before="0"/>
        <w:ind w:left="360"/>
      </w:pPr>
      <w:r>
        <w:rPr>
          <w:rFonts w:ascii="Calibri" w:hAnsi="Calibri"/>
          <w:sz w:val="22"/>
        </w:rPr>
        <w:t>Ownership: 837 days (2.3 years)</w:t>
      </w:r>
    </w:p>
    <w:p>
      <w:pPr>
        <w:spacing w:after="40" w:before="0"/>
        <w:ind w:left="360"/>
      </w:pPr>
      <w:r>
        <w:rPr>
          <w:rFonts w:ascii="Calibri" w:hAnsi="Calibri"/>
          <w:b/>
          <w:color w:val="003366"/>
          <w:sz w:val="22"/>
        </w:rPr>
        <w:t>Step 3: Check Main Residence Status</w:t>
      </w:r>
    </w:p>
    <w:p>
      <w:pPr>
        <w:spacing w:after="40" w:before="0"/>
        <w:ind w:left="360"/>
      </w:pPr>
      <w:r>
        <w:rPr>
          <w:rFonts w:ascii="Calibri" w:hAnsi="Calibri"/>
          <w:sz w:val="22"/>
        </w:rPr>
        <w:t>Isabella lived in property from transfer: YES</w:t>
      </w:r>
    </w:p>
    <w:p>
      <w:pPr>
        <w:spacing w:after="40" w:before="0"/>
        <w:ind w:left="360"/>
      </w:pPr>
      <w:r>
        <w:rPr>
          <w:rFonts w:ascii="Calibri" w:hAnsi="Calibri"/>
          <w:sz w:val="22"/>
        </w:rPr>
        <w:t>Main residence for entire ownership: YES</w:t>
      </w:r>
    </w:p>
    <w:p>
      <w:pPr>
        <w:spacing w:after="40" w:before="0"/>
        <w:ind w:left="360"/>
      </w:pPr>
      <w:r>
        <w:rPr>
          <w:rFonts w:ascii="Calibri" w:hAnsi="Calibri"/>
          <w:b/>
          <w:color w:val="003366"/>
          <w:sz w:val="22"/>
        </w:rPr>
        <w:t>Step 4: Calculate Capital Gain (for reference)</w:t>
      </w:r>
    </w:p>
    <w:p>
      <w:pPr>
        <w:spacing w:after="40" w:before="0"/>
        <w:ind w:left="360"/>
      </w:pPr>
      <w:r>
        <w:rPr>
          <w:rFonts w:ascii="Calibri" w:hAnsi="Calibri"/>
          <w:sz w:val="22"/>
        </w:rPr>
        <w:t>Sale Price: $520,000</w:t>
      </w:r>
    </w:p>
    <w:p>
      <w:pPr>
        <w:spacing w:after="40" w:before="0"/>
        <w:ind w:left="360"/>
      </w:pPr>
      <w:r>
        <w:rPr>
          <w:rFonts w:ascii="Calibri" w:hAnsi="Calibri"/>
          <w:b/>
          <w:sz w:val="22"/>
        </w:rPr>
        <w:t>Cost Base:</w:t>
      </w:r>
    </w:p>
    <w:p>
      <w:pPr>
        <w:spacing w:after="40" w:before="0"/>
        <w:ind w:left="360"/>
      </w:pPr>
      <w:r>
        <w:rPr>
          <w:rFonts w:ascii="Calibri" w:hAnsi="Calibri"/>
          <w:sz w:val="22"/>
        </w:rPr>
        <w:t>Market Value at Transfer: $485,000</w:t>
      </w:r>
    </w:p>
    <w:p>
      <w:pPr>
        <w:spacing w:after="40" w:before="0"/>
        <w:ind w:left="360"/>
      </w:pPr>
      <w:r>
        <w:rPr>
          <w:rFonts w:ascii="Calibri" w:hAnsi="Calibri"/>
          <w:sz w:val="22"/>
        </w:rPr>
        <w:t>Sale Agent Fees: $13,000</w:t>
      </w:r>
    </w:p>
    <w:p>
      <w:pPr>
        <w:spacing w:after="40" w:before="0"/>
        <w:ind w:left="360"/>
      </w:pPr>
      <w:r>
        <w:rPr>
          <w:rFonts w:ascii="Calibri" w:hAnsi="Calibri"/>
          <w:sz w:val="22"/>
        </w:rPr>
        <w:t>Sale Legal Fees: $2,000</w:t>
      </w:r>
    </w:p>
    <w:p>
      <w:pPr>
        <w:spacing w:after="40" w:before="0"/>
        <w:ind w:left="360"/>
      </w:pPr>
      <w:r>
        <w:rPr>
          <w:rFonts w:ascii="Calibri" w:hAnsi="Calibri"/>
          <w:sz w:val="22"/>
        </w:rPr>
        <w:t>Total Cost Base: $500,000</w:t>
      </w:r>
    </w:p>
    <w:p>
      <w:pPr>
        <w:spacing w:after="40" w:before="0"/>
        <w:ind w:left="360"/>
      </w:pPr>
      <w:r>
        <w:rPr>
          <w:rFonts w:ascii="Calibri" w:hAnsi="Calibri"/>
          <w:sz w:val="22"/>
        </w:rPr>
        <w:t>Capital Gain = $520,000 - $500,000 = $20,000</w:t>
      </w:r>
    </w:p>
    <w:p>
      <w:pPr>
        <w:spacing w:after="40" w:before="0"/>
        <w:ind w:left="360"/>
      </w:pPr>
      <w:r>
        <w:rPr>
          <w:rFonts w:ascii="Calibri" w:hAnsi="Calibri"/>
          <w:b/>
          <w:color w:val="003366"/>
          <w:sz w:val="22"/>
        </w:rPr>
        <w:t>Step 5: Apply Main Residence Exemption</w:t>
      </w:r>
    </w:p>
    <w:p>
      <w:pPr>
        <w:spacing w:after="40" w:before="0"/>
        <w:ind w:left="360"/>
      </w:pPr>
      <w:r>
        <w:rPr>
          <w:rFonts w:ascii="Calibri" w:hAnsi="Calibri"/>
          <w:sz w:val="22"/>
        </w:rPr>
        <w:t>Isabella's main residence for entire period</w:t>
      </w:r>
    </w:p>
    <w:p>
      <w:pPr>
        <w:spacing w:after="40" w:before="0"/>
        <w:ind w:left="360"/>
      </w:pPr>
      <w:r>
        <w:rPr>
          <w:rFonts w:ascii="Calibri" w:hAnsi="Calibri"/>
          <w:sz w:val="22"/>
        </w:rPr>
        <w:t>Exemption: FULL (100%)</w:t>
      </w:r>
    </w:p>
    <w:p>
      <w:pPr>
        <w:spacing w:after="40" w:before="0"/>
        <w:ind w:left="360"/>
      </w:pPr>
      <w:r>
        <w:rPr>
          <w:rFonts w:ascii="Calibri" w:hAnsi="Calibri"/>
          <w:sz w:val="22"/>
        </w:rPr>
        <w:t>Isabella's CGT on sale = $0</w:t>
      </w:r>
    </w:p>
    <w:p>
      <w:pPr>
        <w:spacing w:after="40" w:before="0"/>
        <w:ind w:left="360"/>
      </w:pPr>
      <w:r>
        <w:rPr>
          <w:rFonts w:ascii="Calibri" w:hAnsi="Calibri"/>
          <w:b/>
          <w:color w:val="006400"/>
          <w:sz w:val="22"/>
        </w:rPr>
        <w:t>RESULT: NO CGT PAYABLE BY EITHER PARTY</w:t>
      </w:r>
    </w:p>
    <w:p>
      <w:pPr>
        <w:pStyle w:val="Heading2"/>
      </w:pPr>
      <w:r>
        <w:t>Applicable Rules</w:t>
      </w:r>
    </w:p>
    <w:p>
      <w:r>
        <w:rPr>
          <w:rFonts w:ascii="Calibri" w:hAnsi="Calibri"/>
          <w:sz w:val="22"/>
        </w:rPr>
        <w:t>ITAA97 s118.80: Granny flat arrangements exempt from CGT (from 1 July 2021)</w:t>
      </w:r>
    </w:p>
    <w:p>
      <w:r>
        <w:rPr>
          <w:rFonts w:ascii="Calibri" w:hAnsi="Calibri"/>
          <w:sz w:val="22"/>
        </w:rPr>
        <w:t>Helen: MRE applies to transfer + Granny flat CGT exemption</w:t>
      </w:r>
    </w:p>
    <w:p>
      <w:r>
        <w:rPr>
          <w:rFonts w:ascii="Calibri" w:hAnsi="Calibri"/>
          <w:sz w:val="22"/>
        </w:rPr>
        <w:t>Isabella: No CGT on granting life interest + MRE on eventual sale</w:t>
      </w:r>
    </w:p>
    <w:p>
      <w:r>
        <w:rPr>
          <w:rFonts w:ascii="Calibri" w:hAnsi="Calibri"/>
          <w:sz w:val="22"/>
        </w:rPr>
        <w:t>Granny flat must be: Written, non-commercial, provide life interest</w:t>
      </w:r>
    </w:p>
    <w:p>
      <w:r>
        <w:rPr>
          <w:rFonts w:ascii="Calibri" w:hAnsi="Calibri"/>
          <w:sz w:val="22"/>
        </w:rPr>
        <w:t>Transfer for market value = Isabella's cost base for future CGT</w:t>
      </w:r>
    </w:p>
    <w:p>
      <w:pPr>
        <w:spacing w:before="120" w:after="120"/>
      </w:pPr>
      <w:r>
        <w:rPr>
          <w:color w:val="B4B4B4"/>
          <w:sz w:val="12"/>
        </w:rPr>
        <w:t>────────────────────────────────────────────────────────────────────────────────────────────────────</w:t>
      </w:r>
    </w:p>
    <w:p>
      <w:pPr>
        <w:pStyle w:val="Heading1"/>
      </w:pPr>
      <w:r>
        <w:t>Scenario 9: Relationship Breakdown Property Transfer</w:t>
      </w:r>
    </w:p>
    <w:p>
      <w:pPr>
        <w:pStyle w:val="Heading2"/>
      </w:pPr>
      <w:r>
        <w:t>Description</w:t>
      </w:r>
    </w:p>
    <w:p>
      <w:r>
        <w:rPr>
          <w:rFonts w:ascii="Calibri" w:hAnsi="Calibri"/>
          <w:sz w:val="22"/>
        </w:rPr>
        <w:t>Mark and Linda divorce after 12 years of marriage. Their family home is transferred to Linda as part of the property settlement. Under the relationship breakdown rollover provisions, Mark disregards any capital gain on the transfer. Linda inherits Mark's cost base and acquisition date.</w:t>
      </w:r>
    </w:p>
    <w:p>
      <w:pPr>
        <w:pStyle w:val="Heading2"/>
      </w:pPr>
      <w:r>
        <w:t>Key Facts</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Property</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65 Harmony Drive, Gladstone QLD 4680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Purchase Date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 May 2012</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Purchase Price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$380,000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Ownership</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Joint tenants (50/50)</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Marriage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1 January 2011</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Separation</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 March 2023</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Transfer Date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15 August 2023</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Market Value at Transfer</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$620,000</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Linda's Sale Date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1 October 2024</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Sale Price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$650,000</w:t>
            </w:r>
          </w:p>
        </w:tc>
      </w:tr>
    </w:tbl>
    <w:p/>
    <w:p>
      <w:pPr>
        <w:pStyle w:val="Heading2"/>
      </w:pPr>
      <w:r>
        <w:t>Timeline of Events</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Date</w:t>
            </w:r>
          </w:p>
        </w:tc>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Event</w:t>
            </w:r>
          </w:p>
        </w:tc>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Details</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01 May 2012</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Purchase</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$380,000 + $13,300 stamp duty + $2,800 legal (joint)</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01 May 2012</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Move In</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Mark and Linda establish as main residence</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15 Jun 2018</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Improvement</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Pool installation: $45,000</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01 Mar 2023</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Separation</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Mark moves out</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15 Aug 2023</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Transfer</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Mark's 50% transferred to Linda (court order)</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01 Oct 2024</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Sale</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$650,000 (Linda sells)</w:t>
            </w:r>
          </w:p>
        </w:tc>
      </w:tr>
    </w:tbl>
    <w:p/>
    <w:p>
      <w:pPr>
        <w:pStyle w:val="Heading2"/>
      </w:pPr>
      <w:r>
        <w:t>CGT Calculation - Mark's Transfer</w:t>
      </w:r>
    </w:p>
    <w:p>
      <w:pPr>
        <w:spacing w:after="40" w:before="0"/>
        <w:ind w:left="360"/>
      </w:pPr>
      <w:r>
        <w:rPr>
          <w:rFonts w:ascii="Calibri" w:hAnsi="Calibri"/>
          <w:b/>
          <w:color w:val="003366"/>
          <w:sz w:val="22"/>
        </w:rPr>
        <w:t>Step 1: Verify Rollover Eligibility (s126.5)</w:t>
      </w:r>
    </w:p>
    <w:p>
      <w:pPr>
        <w:spacing w:after="40" w:before="0"/>
        <w:ind w:left="360"/>
      </w:pPr>
      <w:r>
        <w:rPr>
          <w:rFonts w:ascii="Calibri" w:hAnsi="Calibri"/>
          <w:sz w:val="22"/>
        </w:rPr>
        <w:t>Transfer due to relationship breakdown: YES</w:t>
      </w:r>
    </w:p>
    <w:p>
      <w:pPr>
        <w:spacing w:after="40" w:before="0"/>
        <w:ind w:left="360"/>
      </w:pPr>
      <w:r>
        <w:rPr>
          <w:rFonts w:ascii="Calibri" w:hAnsi="Calibri"/>
          <w:sz w:val="22"/>
        </w:rPr>
        <w:t>Court order or binding financial agreement: YES (court order)</w:t>
      </w:r>
    </w:p>
    <w:p>
      <w:pPr>
        <w:spacing w:after="40" w:before="0"/>
        <w:ind w:left="360"/>
      </w:pPr>
      <w:r>
        <w:rPr>
          <w:rFonts w:ascii="Calibri" w:hAnsi="Calibri"/>
          <w:sz w:val="22"/>
        </w:rPr>
        <w:t>Both Australian residents: YES</w:t>
      </w:r>
    </w:p>
    <w:p>
      <w:pPr>
        <w:spacing w:after="40" w:before="0"/>
        <w:ind w:left="360"/>
      </w:pPr>
      <w:r>
        <w:rPr>
          <w:rFonts w:ascii="Calibri" w:hAnsi="Calibri"/>
          <w:b/>
          <w:color w:val="006400"/>
          <w:sz w:val="22"/>
        </w:rPr>
        <w:t>RESULT: Automatic CGT rollover applies</w:t>
      </w:r>
    </w:p>
    <w:p>
      <w:pPr>
        <w:spacing w:after="40" w:before="0"/>
        <w:ind w:left="360"/>
      </w:pPr>
      <w:r>
        <w:rPr>
          <w:rFonts w:ascii="Calibri" w:hAnsi="Calibri"/>
          <w:b/>
          <w:color w:val="003366"/>
          <w:sz w:val="22"/>
        </w:rPr>
        <w:t>Step 2: Mark's CGT on Transfer</w:t>
      </w:r>
    </w:p>
    <w:p>
      <w:pPr>
        <w:spacing w:after="40" w:before="0"/>
        <w:ind w:left="360"/>
      </w:pPr>
      <w:r>
        <w:rPr>
          <w:rFonts w:ascii="Calibri" w:hAnsi="Calibri"/>
          <w:sz w:val="22"/>
        </w:rPr>
        <w:t>Capital gain/loss disregarded under rollover</w:t>
      </w:r>
    </w:p>
    <w:p>
      <w:pPr>
        <w:spacing w:after="40" w:before="0"/>
        <w:ind w:left="360"/>
      </w:pPr>
      <w:r>
        <w:rPr>
          <w:rFonts w:ascii="Calibri" w:hAnsi="Calibri"/>
          <w:sz w:val="22"/>
        </w:rPr>
        <w:t>Mark's CGT = $0</w:t>
      </w:r>
    </w:p>
    <w:p>
      <w:pPr>
        <w:pStyle w:val="Heading2"/>
      </w:pPr>
      <w:r>
        <w:t>CGT Calculation - Linda's Sale</w:t>
      </w:r>
    </w:p>
    <w:p>
      <w:pPr>
        <w:spacing w:after="40" w:before="0"/>
        <w:ind w:left="360"/>
      </w:pPr>
      <w:r>
        <w:rPr>
          <w:rFonts w:ascii="Calibri" w:hAnsi="Calibri"/>
          <w:b/>
          <w:color w:val="003366"/>
          <w:sz w:val="22"/>
        </w:rPr>
        <w:t>Step 1: Determine Linda's Cost Base</w:t>
      </w:r>
    </w:p>
    <w:p>
      <w:pPr>
        <w:spacing w:after="40" w:before="0"/>
        <w:ind w:left="360"/>
      </w:pPr>
      <w:r>
        <w:rPr>
          <w:rFonts w:ascii="Calibri" w:hAnsi="Calibri"/>
          <w:sz w:val="22"/>
        </w:rPr>
        <w:t>Linda inherits Mark's 50% share at original cost (not market value)</w:t>
      </w:r>
    </w:p>
    <w:p>
      <w:pPr>
        <w:spacing w:after="40" w:before="0"/>
        <w:ind w:left="360"/>
      </w:pPr>
      <w:r>
        <w:rPr>
          <w:rFonts w:ascii="Calibri" w:hAnsi="Calibri"/>
          <w:sz w:val="22"/>
        </w:rPr>
        <w:t>Original purchase: $380,000</w:t>
      </w:r>
    </w:p>
    <w:p>
      <w:pPr>
        <w:spacing w:after="40" w:before="0"/>
        <w:ind w:left="360"/>
      </w:pPr>
      <w:r>
        <w:rPr>
          <w:rFonts w:ascii="Calibri" w:hAnsi="Calibri"/>
          <w:sz w:val="22"/>
        </w:rPr>
        <w:t>Linda's original 50%: $190,000</w:t>
      </w:r>
    </w:p>
    <w:p>
      <w:pPr>
        <w:spacing w:after="40" w:before="0"/>
        <w:ind w:left="360"/>
      </w:pPr>
      <w:r>
        <w:rPr>
          <w:rFonts w:ascii="Calibri" w:hAnsi="Calibri"/>
          <w:sz w:val="22"/>
        </w:rPr>
        <w:t>Mark's transferred 50%: $190,000 (at original cost)</w:t>
      </w:r>
    </w:p>
    <w:p>
      <w:pPr>
        <w:spacing w:after="40" w:before="0"/>
        <w:ind w:left="360"/>
      </w:pPr>
      <w:r>
        <w:rPr>
          <w:rFonts w:ascii="Calibri" w:hAnsi="Calibri"/>
          <w:sz w:val="22"/>
        </w:rPr>
        <w:t>Linda's total cost base: $380,000</w:t>
      </w:r>
    </w:p>
    <w:p>
      <w:pPr>
        <w:spacing w:after="40" w:before="0"/>
        <w:ind w:left="360"/>
      </w:pPr>
      <w:r>
        <w:rPr>
          <w:rFonts w:ascii="Calibri" w:hAnsi="Calibri"/>
          <w:b/>
          <w:color w:val="003366"/>
          <w:sz w:val="22"/>
        </w:rPr>
        <w:t>Step 2: Add Other Cost Base Elements</w:t>
      </w:r>
    </w:p>
    <w:p>
      <w:pPr>
        <w:spacing w:after="40" w:before="0"/>
        <w:ind w:left="360"/>
      </w:pPr>
      <w:r>
        <w:rPr>
          <w:rFonts w:ascii="Calibri" w:hAnsi="Calibri"/>
          <w:sz w:val="22"/>
        </w:rPr>
        <w:t>Stamp Duty: $13,300</w:t>
      </w:r>
    </w:p>
    <w:p>
      <w:pPr>
        <w:spacing w:after="40" w:before="0"/>
        <w:ind w:left="360"/>
      </w:pPr>
      <w:r>
        <w:rPr>
          <w:rFonts w:ascii="Calibri" w:hAnsi="Calibri"/>
          <w:sz w:val="22"/>
        </w:rPr>
        <w:t>Legal Fees: $2,800</w:t>
      </w:r>
    </w:p>
    <w:p>
      <w:pPr>
        <w:spacing w:after="40" w:before="0"/>
        <w:ind w:left="360"/>
      </w:pPr>
      <w:r>
        <w:rPr>
          <w:rFonts w:ascii="Calibri" w:hAnsi="Calibri"/>
          <w:sz w:val="22"/>
        </w:rPr>
        <w:t>Pool: $45,000</w:t>
      </w:r>
    </w:p>
    <w:p>
      <w:pPr>
        <w:spacing w:after="40" w:before="0"/>
        <w:ind w:left="360"/>
      </w:pPr>
      <w:r>
        <w:rPr>
          <w:rFonts w:ascii="Calibri" w:hAnsi="Calibri"/>
          <w:sz w:val="22"/>
        </w:rPr>
        <w:t>Sale Agent Fees: $16,250</w:t>
      </w:r>
    </w:p>
    <w:p>
      <w:pPr>
        <w:spacing w:after="40" w:before="0"/>
        <w:ind w:left="360"/>
      </w:pPr>
      <w:r>
        <w:rPr>
          <w:rFonts w:ascii="Calibri" w:hAnsi="Calibri"/>
          <w:sz w:val="22"/>
        </w:rPr>
        <w:t>Sale Legal Fees: $2,400</w:t>
      </w:r>
    </w:p>
    <w:p>
      <w:pPr>
        <w:spacing w:after="40" w:before="0"/>
        <w:ind w:left="360"/>
      </w:pPr>
      <w:r>
        <w:rPr>
          <w:rFonts w:ascii="Calibri" w:hAnsi="Calibri"/>
          <w:sz w:val="22"/>
        </w:rPr>
        <w:t>Total Cost Base: $459,750</w:t>
      </w:r>
    </w:p>
    <w:p>
      <w:pPr>
        <w:spacing w:after="40" w:before="0"/>
        <w:ind w:left="360"/>
      </w:pPr>
      <w:r>
        <w:rPr>
          <w:rFonts w:ascii="Calibri" w:hAnsi="Calibri"/>
          <w:b/>
          <w:color w:val="003366"/>
          <w:sz w:val="22"/>
        </w:rPr>
        <w:t>Step 3: Check Main Residence Status</w:t>
      </w:r>
    </w:p>
    <w:p>
      <w:pPr>
        <w:spacing w:after="40" w:before="0"/>
        <w:ind w:left="360"/>
      </w:pPr>
      <w:r>
        <w:rPr>
          <w:rFonts w:ascii="Calibri" w:hAnsi="Calibri"/>
          <w:sz w:val="22"/>
        </w:rPr>
        <w:t>Property was main residence for Mark and Linda: 2012 to 2023</w:t>
      </w:r>
    </w:p>
    <w:p>
      <w:pPr>
        <w:spacing w:after="40" w:before="0"/>
        <w:ind w:left="360"/>
      </w:pPr>
      <w:r>
        <w:rPr>
          <w:rFonts w:ascii="Calibri" w:hAnsi="Calibri"/>
          <w:sz w:val="22"/>
        </w:rPr>
        <w:t>Linda continued as main residence: 2023 to 2024</w:t>
      </w:r>
    </w:p>
    <w:p>
      <w:pPr>
        <w:spacing w:after="40" w:before="0"/>
        <w:ind w:left="360"/>
      </w:pPr>
      <w:r>
        <w:rPr>
          <w:rFonts w:ascii="Calibri" w:hAnsi="Calibri"/>
          <w:sz w:val="22"/>
        </w:rPr>
        <w:t>Total ownership: 1 May 2012 to 1 Oct 2024 = 4,537 days</w:t>
      </w:r>
    </w:p>
    <w:p>
      <w:pPr>
        <w:spacing w:after="40" w:before="0"/>
        <w:ind w:left="360"/>
      </w:pPr>
      <w:r>
        <w:rPr>
          <w:rFonts w:ascii="Calibri" w:hAnsi="Calibri"/>
          <w:sz w:val="22"/>
        </w:rPr>
        <w:t>All days as main residence: YES (Linda continued living there)</w:t>
      </w:r>
    </w:p>
    <w:p>
      <w:pPr>
        <w:spacing w:after="40" w:before="0"/>
        <w:ind w:left="360"/>
      </w:pPr>
      <w:r>
        <w:rPr>
          <w:rFonts w:ascii="Calibri" w:hAnsi="Calibri"/>
          <w:b/>
          <w:color w:val="003366"/>
          <w:sz w:val="22"/>
        </w:rPr>
        <w:t>Step 4: Calculate Capital Gain (for reference)</w:t>
      </w:r>
    </w:p>
    <w:p>
      <w:pPr>
        <w:spacing w:after="40" w:before="0"/>
        <w:ind w:left="360"/>
      </w:pPr>
      <w:r>
        <w:rPr>
          <w:rFonts w:ascii="Calibri" w:hAnsi="Calibri"/>
          <w:sz w:val="22"/>
        </w:rPr>
        <w:t>Sale Price: $650,000</w:t>
      </w:r>
    </w:p>
    <w:p>
      <w:pPr>
        <w:spacing w:after="40" w:before="0"/>
        <w:ind w:left="360"/>
      </w:pPr>
      <w:r>
        <w:rPr>
          <w:rFonts w:ascii="Calibri" w:hAnsi="Calibri"/>
          <w:sz w:val="22"/>
        </w:rPr>
        <w:t>Total Cost Base: $459,750</w:t>
      </w:r>
    </w:p>
    <w:p>
      <w:pPr>
        <w:spacing w:after="40" w:before="0"/>
        <w:ind w:left="360"/>
      </w:pPr>
      <w:r>
        <w:rPr>
          <w:rFonts w:ascii="Calibri" w:hAnsi="Calibri"/>
          <w:sz w:val="22"/>
        </w:rPr>
        <w:t>Capital Gain = $650,000 - $459,750 = $190,250</w:t>
      </w:r>
    </w:p>
    <w:p>
      <w:pPr>
        <w:spacing w:after="40" w:before="0"/>
        <w:ind w:left="360"/>
      </w:pPr>
      <w:r>
        <w:rPr>
          <w:rFonts w:ascii="Calibri" w:hAnsi="Calibri"/>
          <w:b/>
          <w:color w:val="003366"/>
          <w:sz w:val="22"/>
        </w:rPr>
        <w:t>Step 5: Apply Main Residence Exemption</w:t>
      </w:r>
    </w:p>
    <w:p>
      <w:pPr>
        <w:spacing w:after="40" w:before="0"/>
        <w:ind w:left="360"/>
      </w:pPr>
      <w:r>
        <w:rPr>
          <w:rFonts w:ascii="Calibri" w:hAnsi="Calibri"/>
          <w:sz w:val="22"/>
        </w:rPr>
        <w:t>Property was main residence for entire period</w:t>
      </w:r>
    </w:p>
    <w:p>
      <w:pPr>
        <w:spacing w:after="40" w:before="0"/>
        <w:ind w:left="360"/>
      </w:pPr>
      <w:r>
        <w:rPr>
          <w:rFonts w:ascii="Calibri" w:hAnsi="Calibri"/>
          <w:sz w:val="22"/>
        </w:rPr>
        <w:t>Exemption: FULL (100%)</w:t>
      </w:r>
    </w:p>
    <w:p>
      <w:pPr>
        <w:spacing w:after="40" w:before="0"/>
        <w:ind w:left="360"/>
      </w:pPr>
      <w:r>
        <w:rPr>
          <w:rFonts w:ascii="Calibri" w:hAnsi="Calibri"/>
          <w:b/>
          <w:color w:val="003366"/>
          <w:sz w:val="22"/>
        </w:rPr>
        <w:t>Step 6: Linda's CGT</w:t>
      </w:r>
    </w:p>
    <w:p>
      <w:pPr>
        <w:spacing w:after="40" w:before="0"/>
        <w:ind w:left="360"/>
      </w:pPr>
      <w:r>
        <w:rPr>
          <w:rFonts w:ascii="Calibri" w:hAnsi="Calibri"/>
          <w:b/>
          <w:color w:val="006400"/>
          <w:sz w:val="22"/>
        </w:rPr>
        <w:t>Taxable Amount = $0 (FULLY EXEMPT)</w:t>
      </w:r>
    </w:p>
    <w:p>
      <w:pPr>
        <w:spacing w:after="40" w:before="0"/>
        <w:ind w:left="360"/>
      </w:pPr>
      <w:r>
        <w:rPr>
          <w:rFonts w:ascii="Calibri" w:hAnsi="Calibri"/>
          <w:b/>
          <w:color w:val="006400"/>
          <w:sz w:val="22"/>
        </w:rPr>
        <w:t>RESULT: NO CGT PAYABLE BY EITHER PARTY</w:t>
      </w:r>
    </w:p>
    <w:p>
      <w:pPr>
        <w:pStyle w:val="Heading2"/>
      </w:pPr>
      <w:r>
        <w:t>Applicable Rules</w:t>
      </w:r>
    </w:p>
    <w:p>
      <w:r>
        <w:rPr>
          <w:rFonts w:ascii="Calibri" w:hAnsi="Calibri"/>
          <w:sz w:val="22"/>
        </w:rPr>
        <w:t>ITAA97 s126.5: Relationship breakdown CGT rollover</w:t>
      </w:r>
    </w:p>
    <w:p>
      <w:r>
        <w:rPr>
          <w:rFonts w:ascii="Calibri" w:hAnsi="Calibri"/>
          <w:sz w:val="22"/>
        </w:rPr>
        <w:t>Transfer must be due to court order, BFA, or award</w:t>
      </w:r>
    </w:p>
    <w:p>
      <w:r>
        <w:rPr>
          <w:rFonts w:ascii="Calibri" w:hAnsi="Calibri"/>
          <w:sz w:val="22"/>
        </w:rPr>
        <w:t>Mark's gain/loss disregarded on transfer</w:t>
      </w:r>
    </w:p>
    <w:p>
      <w:r>
        <w:rPr>
          <w:rFonts w:ascii="Calibri" w:hAnsi="Calibri"/>
          <w:sz w:val="22"/>
        </w:rPr>
        <w:t>Linda inherits Mark's cost base AND acquisition date</w:t>
      </w:r>
    </w:p>
    <w:p>
      <w:r>
        <w:rPr>
          <w:rFonts w:ascii="Calibri" w:hAnsi="Calibri"/>
          <w:sz w:val="22"/>
        </w:rPr>
        <w:t>ITAA97 s118.110: Main residence exemption applies to Linda's sale</w:t>
      </w:r>
    </w:p>
    <w:p>
      <w:r>
        <w:rPr>
          <w:rFonts w:ascii="Calibri" w:hAnsi="Calibri"/>
          <w:sz w:val="22"/>
        </w:rPr>
        <w:t>Key: Linda's ownership period includes Mark's original purchase date</w:t>
      </w:r>
    </w:p>
    <w:p>
      <w:pPr>
        <w:spacing w:before="120" w:after="120"/>
      </w:pPr>
      <w:r>
        <w:rPr>
          <w:color w:val="B4B4B4"/>
          <w:sz w:val="12"/>
        </w:rPr>
        <w:t>────────────────────────────────────────────────────────────────────────────────────────────────────</w:t>
      </w:r>
    </w:p>
    <w:p>
      <w:pPr>
        <w:pStyle w:val="Heading1"/>
      </w:pPr>
      <w:r>
        <w:t>Scenario 10: Home Office Business Use</w:t>
      </w:r>
    </w:p>
    <w:p>
      <w:pPr>
        <w:pStyle w:val="Heading2"/>
      </w:pPr>
      <w:r>
        <w:t>Description</w:t>
      </w:r>
    </w:p>
    <w:p>
      <w:r>
        <w:rPr>
          <w:rFonts w:ascii="Calibri" w:hAnsi="Calibri"/>
          <w:sz w:val="22"/>
        </w:rPr>
        <w:t>Daniel works from home and has used 15% of his home exclusively for his photography business for the past 6 years. When he sells the property, the business-use portion is not eligible for the full main residence exemption under the interest deductibility test.</w:t>
      </w:r>
    </w:p>
    <w:p>
      <w:pPr>
        <w:pStyle w:val="Heading2"/>
      </w:pPr>
      <w:r>
        <w:t>Key Facts</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Property</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33 Enterprise Street, Townsville QLD 4810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Purchase Date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 January 2016</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Purchase Price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$420,000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Business Use Start</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 January 2018</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Business Use %</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15% of floor area</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Sale Date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31 December 2024</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Sale Price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$680,000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Total Ownership</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3,287 days (9 years)</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Business Use Period</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2,557 days (7 years)</w:t>
            </w:r>
          </w:p>
        </w:tc>
      </w:tr>
    </w:tbl>
    <w:p/>
    <w:p>
      <w:pPr>
        <w:pStyle w:val="Heading2"/>
      </w:pPr>
      <w:r>
        <w:t>Timeline of Events</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Date</w:t>
            </w:r>
          </w:p>
        </w:tc>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Event</w:t>
            </w:r>
          </w:p>
        </w:tc>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Details</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01 Jan 2016</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Purchase</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$420,000 + $14,700 stamp duty + $2,800 legal fees</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01 Jan 2016</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Move In</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Established as main residence</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01 Jan 2018</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Business Start</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Started home photography business (15% of home)</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31 Dec 2024</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Sale</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$680,000 (agent fees: $17,000, legal fees: $2,500)</w:t>
            </w:r>
          </w:p>
        </w:tc>
      </w:tr>
    </w:tbl>
    <w:p/>
    <w:p>
      <w:pPr>
        <w:pStyle w:val="Heading2"/>
      </w:pPr>
      <w:r>
        <w:t>CGT Calculation</w:t>
      </w:r>
    </w:p>
    <w:p>
      <w:pPr>
        <w:spacing w:after="40" w:before="0"/>
        <w:ind w:left="360"/>
      </w:pPr>
      <w:r>
        <w:rPr>
          <w:rFonts w:ascii="Calibri" w:hAnsi="Calibri"/>
          <w:b/>
          <w:color w:val="003366"/>
          <w:sz w:val="22"/>
        </w:rPr>
        <w:t>Step 1: Calculate Income-Producing Proportion</w:t>
      </w:r>
    </w:p>
    <w:p>
      <w:pPr>
        <w:spacing w:after="40" w:before="0"/>
        <w:ind w:left="360"/>
      </w:pPr>
      <w:r>
        <w:rPr>
          <w:rFonts w:ascii="Calibri" w:hAnsi="Calibri"/>
          <w:sz w:val="22"/>
        </w:rPr>
        <w:t>Interest deductibility test applies (s118.190)</w:t>
      </w:r>
    </w:p>
    <w:p>
      <w:pPr>
        <w:spacing w:after="40" w:before="0"/>
        <w:ind w:left="360"/>
      </w:pPr>
      <w:r>
        <w:rPr>
          <w:rFonts w:ascii="Calibri" w:hAnsi="Calibri"/>
          <w:sz w:val="22"/>
        </w:rPr>
        <w:t>Business use floor area: 15%</w:t>
      </w:r>
    </w:p>
    <w:p>
      <w:pPr>
        <w:spacing w:after="40" w:before="0"/>
        <w:ind w:left="360"/>
      </w:pPr>
      <w:r>
        <w:rPr>
          <w:rFonts w:ascii="Calibri" w:hAnsi="Calibri"/>
          <w:sz w:val="22"/>
        </w:rPr>
        <w:t>Business use period: 2,557 days / 3,287 days = 77.79%</w:t>
      </w:r>
    </w:p>
    <w:p>
      <w:pPr>
        <w:spacing w:after="40" w:before="0"/>
        <w:ind w:left="360"/>
      </w:pPr>
      <w:r>
        <w:rPr>
          <w:rFonts w:ascii="Calibri" w:hAnsi="Calibri"/>
          <w:b/>
          <w:color w:val="003366"/>
          <w:sz w:val="22"/>
        </w:rPr>
        <w:t>Step 2: Calculate Taxable Proportion</w:t>
      </w:r>
    </w:p>
    <w:p>
      <w:pPr>
        <w:spacing w:after="40" w:before="0"/>
        <w:ind w:left="360"/>
      </w:pPr>
      <w:r>
        <w:rPr>
          <w:rFonts w:ascii="Calibri" w:hAnsi="Calibri"/>
          <w:sz w:val="22"/>
        </w:rPr>
        <w:t>Taxable = Floor Area % x Time %</w:t>
      </w:r>
    </w:p>
    <w:p>
      <w:pPr>
        <w:spacing w:after="40" w:before="0"/>
        <w:ind w:left="360"/>
      </w:pPr>
      <w:r>
        <w:rPr>
          <w:rFonts w:ascii="Calibri" w:hAnsi="Calibri"/>
          <w:sz w:val="22"/>
        </w:rPr>
        <w:t>Taxable = 15% x 77.79% = 11.67%</w:t>
      </w:r>
    </w:p>
    <w:p>
      <w:pPr>
        <w:spacing w:after="40" w:before="0"/>
        <w:ind w:left="360"/>
      </w:pPr>
      <w:r>
        <w:rPr>
          <w:rFonts w:ascii="Calibri" w:hAnsi="Calibri"/>
          <w:sz w:val="22"/>
        </w:rPr>
        <w:t>Exempt = 88.33%</w:t>
      </w:r>
    </w:p>
    <w:p>
      <w:pPr>
        <w:spacing w:after="40" w:before="0"/>
        <w:ind w:left="360"/>
      </w:pPr>
      <w:r>
        <w:rPr>
          <w:rFonts w:ascii="Calibri" w:hAnsi="Calibri"/>
          <w:b/>
          <w:color w:val="003366"/>
          <w:sz w:val="22"/>
        </w:rPr>
        <w:t>Step 3: Calculate Capital Gain</w:t>
      </w:r>
    </w:p>
    <w:p>
      <w:pPr>
        <w:spacing w:after="40" w:before="0"/>
        <w:ind w:left="360"/>
      </w:pPr>
      <w:r>
        <w:rPr>
          <w:rFonts w:ascii="Calibri" w:hAnsi="Calibri"/>
          <w:sz w:val="22"/>
        </w:rPr>
        <w:t>Sale Price: $680,000</w:t>
      </w:r>
    </w:p>
    <w:p>
      <w:pPr>
        <w:spacing w:after="40" w:before="0"/>
        <w:ind w:left="360"/>
      </w:pPr>
      <w:r>
        <w:rPr>
          <w:rFonts w:ascii="Calibri" w:hAnsi="Calibri"/>
          <w:b/>
          <w:sz w:val="22"/>
        </w:rPr>
        <w:t>Cost Base:</w:t>
      </w:r>
    </w:p>
    <w:p>
      <w:pPr>
        <w:spacing w:after="40" w:before="0"/>
        <w:ind w:left="360"/>
      </w:pPr>
      <w:r>
        <w:rPr>
          <w:rFonts w:ascii="Calibri" w:hAnsi="Calibri"/>
          <w:sz w:val="22"/>
        </w:rPr>
        <w:t>Purchase Price: $420,000</w:t>
      </w:r>
    </w:p>
    <w:p>
      <w:pPr>
        <w:spacing w:after="40" w:before="0"/>
        <w:ind w:left="360"/>
      </w:pPr>
      <w:r>
        <w:rPr>
          <w:rFonts w:ascii="Calibri" w:hAnsi="Calibri"/>
          <w:sz w:val="22"/>
        </w:rPr>
        <w:t>Stamp Duty: $14,700</w:t>
      </w:r>
    </w:p>
    <w:p>
      <w:pPr>
        <w:spacing w:after="40" w:before="0"/>
        <w:ind w:left="360"/>
      </w:pPr>
      <w:r>
        <w:rPr>
          <w:rFonts w:ascii="Calibri" w:hAnsi="Calibri"/>
          <w:sz w:val="22"/>
        </w:rPr>
        <w:t>Purchase Legal Fees: $2,800</w:t>
      </w:r>
    </w:p>
    <w:p>
      <w:pPr>
        <w:spacing w:after="40" w:before="0"/>
        <w:ind w:left="360"/>
      </w:pPr>
      <w:r>
        <w:rPr>
          <w:rFonts w:ascii="Calibri" w:hAnsi="Calibri"/>
          <w:sz w:val="22"/>
        </w:rPr>
        <w:t>Sale Agent Fees: $17,000</w:t>
      </w:r>
    </w:p>
    <w:p>
      <w:pPr>
        <w:spacing w:after="40" w:before="0"/>
        <w:ind w:left="360"/>
      </w:pPr>
      <w:r>
        <w:rPr>
          <w:rFonts w:ascii="Calibri" w:hAnsi="Calibri"/>
          <w:sz w:val="22"/>
        </w:rPr>
        <w:t>Sale Legal Fees: $2,500</w:t>
      </w:r>
    </w:p>
    <w:p>
      <w:pPr>
        <w:spacing w:after="40" w:before="0"/>
        <w:ind w:left="360"/>
      </w:pPr>
      <w:r>
        <w:rPr>
          <w:rFonts w:ascii="Calibri" w:hAnsi="Calibri"/>
          <w:sz w:val="22"/>
        </w:rPr>
        <w:t>Total Cost Base: $457,000</w:t>
      </w:r>
    </w:p>
    <w:p>
      <w:pPr>
        <w:spacing w:after="40" w:before="0"/>
        <w:ind w:left="360"/>
      </w:pPr>
      <w:r>
        <w:rPr>
          <w:rFonts w:ascii="Calibri" w:hAnsi="Calibri"/>
          <w:sz w:val="22"/>
        </w:rPr>
        <w:t>Capital Gain = $680,000 - $457,000 = $223,000</w:t>
      </w:r>
    </w:p>
    <w:p>
      <w:pPr>
        <w:spacing w:after="40" w:before="0"/>
        <w:ind w:left="360"/>
      </w:pPr>
      <w:r>
        <w:rPr>
          <w:rFonts w:ascii="Calibri" w:hAnsi="Calibri"/>
          <w:b/>
          <w:color w:val="003366"/>
          <w:sz w:val="22"/>
        </w:rPr>
        <w:t>Step 4: Apply Partial Exemption</w:t>
      </w:r>
    </w:p>
    <w:p>
      <w:pPr>
        <w:spacing w:after="40" w:before="0"/>
        <w:ind w:left="360"/>
      </w:pPr>
      <w:r>
        <w:rPr>
          <w:rFonts w:ascii="Calibri" w:hAnsi="Calibri"/>
          <w:sz w:val="22"/>
        </w:rPr>
        <w:t>Taxable Capital Gain = $223,000 x 11.67% = $26,024</w:t>
      </w:r>
    </w:p>
    <w:p>
      <w:pPr>
        <w:spacing w:after="40" w:before="0"/>
        <w:ind w:left="360"/>
      </w:pPr>
      <w:r>
        <w:rPr>
          <w:rFonts w:ascii="Calibri" w:hAnsi="Calibri"/>
          <w:sz w:val="22"/>
        </w:rPr>
        <w:t>Exempt Amount = $223,000 x 88.33% = $196,976</w:t>
      </w:r>
    </w:p>
    <w:p>
      <w:pPr>
        <w:spacing w:after="40" w:before="0"/>
        <w:ind w:left="360"/>
      </w:pPr>
      <w:r>
        <w:rPr>
          <w:rFonts w:ascii="Calibri" w:hAnsi="Calibri"/>
          <w:b/>
          <w:color w:val="003366"/>
          <w:sz w:val="22"/>
        </w:rPr>
        <w:t>Step 5: Apply 50% CGT Discount</w:t>
      </w:r>
    </w:p>
    <w:p>
      <w:pPr>
        <w:spacing w:after="40" w:before="0"/>
        <w:ind w:left="360"/>
      </w:pPr>
      <w:r>
        <w:rPr>
          <w:rFonts w:ascii="Calibri" w:hAnsi="Calibri"/>
          <w:sz w:val="22"/>
        </w:rPr>
        <w:t>Held &gt; 12 months: YES</w:t>
      </w:r>
    </w:p>
    <w:p>
      <w:pPr>
        <w:spacing w:after="40" w:before="0"/>
        <w:ind w:left="360"/>
      </w:pPr>
      <w:r>
        <w:rPr>
          <w:rFonts w:ascii="Calibri" w:hAnsi="Calibri"/>
          <w:sz w:val="22"/>
        </w:rPr>
        <w:t>Discounted Gain = $26,024 x 50% = $13,012</w:t>
      </w:r>
    </w:p>
    <w:p>
      <w:pPr>
        <w:spacing w:after="40" w:before="0"/>
        <w:ind w:left="360"/>
      </w:pPr>
      <w:r>
        <w:rPr>
          <w:rFonts w:ascii="Calibri" w:hAnsi="Calibri"/>
          <w:b/>
          <w:color w:val="006400"/>
          <w:sz w:val="22"/>
        </w:rPr>
        <w:t>RESULT: NET CAPITAL GAIN = $13,012</w:t>
      </w:r>
    </w:p>
    <w:p>
      <w:pPr>
        <w:pStyle w:val="Heading2"/>
      </w:pPr>
      <w:r>
        <w:t>Applicable Rules</w:t>
      </w:r>
    </w:p>
    <w:p>
      <w:r>
        <w:rPr>
          <w:rFonts w:ascii="Calibri" w:hAnsi="Calibri"/>
          <w:sz w:val="22"/>
        </w:rPr>
        <w:t>ITAA97 s118.190: Interest deductibility test</w:t>
      </w:r>
    </w:p>
    <w:p>
      <w:r>
        <w:rPr>
          <w:rFonts w:ascii="Calibri" w:hAnsi="Calibri"/>
          <w:sz w:val="22"/>
        </w:rPr>
        <w:t>Part of home used for income-producing purposes (business)</w:t>
      </w:r>
    </w:p>
    <w:p>
      <w:r>
        <w:rPr>
          <w:rFonts w:ascii="Calibri" w:hAnsi="Calibri"/>
          <w:sz w:val="22"/>
        </w:rPr>
        <w:t>Taxable proportion = Floor area % x Time proportion</w:t>
      </w:r>
    </w:p>
    <w:p>
      <w:r>
        <w:rPr>
          <w:rFonts w:ascii="Calibri" w:hAnsi="Calibri"/>
          <w:sz w:val="22"/>
        </w:rPr>
        <w:t>Business use of 15% for 77.79% of ownership = 11.67% taxable</w:t>
      </w:r>
    </w:p>
    <w:p>
      <w:r>
        <w:rPr>
          <w:rFonts w:ascii="Calibri" w:hAnsi="Calibri"/>
          <w:sz w:val="22"/>
        </w:rPr>
        <w:t>ITAA97 s115.25: 50% CGT discount applies to taxable portion</w:t>
      </w:r>
    </w:p>
    <w:p>
      <w:r>
        <w:rPr>
          <w:rFonts w:ascii="Calibri" w:hAnsi="Calibri"/>
          <w:sz w:val="22"/>
        </w:rPr>
        <w:t>Note: Different from Airbnb room rental - this is exclusive business use</w:t>
      </w:r>
    </w:p>
    <w:p>
      <w:pPr>
        <w:spacing w:before="120" w:after="120"/>
      </w:pPr>
      <w:r>
        <w:rPr>
          <w:color w:val="B4B4B4"/>
          <w:sz w:val="12"/>
        </w:rPr>
        <w:t>────────────────────────────────────────────────────────────────────────────────────────────────────</w:t>
      </w:r>
    </w:p>
    <w:p>
      <w:pPr>
        <w:pStyle w:val="Heading1"/>
      </w:pPr>
      <w:r>
        <w:t>Scenario 11: Foreign Resident Life Event Exception</w:t>
      </w:r>
    </w:p>
    <w:p>
      <w:pPr>
        <w:pStyle w:val="Heading2"/>
      </w:pPr>
      <w:r>
        <w:t>Description</w:t>
      </w:r>
    </w:p>
    <w:p>
      <w:r>
        <w:rPr>
          <w:rFonts w:ascii="Calibri" w:hAnsi="Calibri"/>
          <w:sz w:val="22"/>
        </w:rPr>
        <w:t>Jessica moved to the UK in 2019 and became a foreign resident for tax purposes. In 2023, her husband passed away. Under the life event exception, she has 6 years from the date of his death to sell her Australian main residence and claim the main residence exemption, despite being a foreign resident.</w:t>
      </w:r>
    </w:p>
    <w:p>
      <w:pPr>
        <w:pStyle w:val="Heading2"/>
      </w:pPr>
      <w:r>
        <w:t>Key Facts</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Property</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45 Harbour View, Gold Coast QLD 4217</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Purchase Date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 March 2015</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Purchase Price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$580,000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Move Overseas</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 July 2019</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Became Foreign Resident</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1 July 2019</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Husband's Death</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15 September 2023</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Sale Date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1 March 2025</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Sale Price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$920,000</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Status at Sale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Foreign resident</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Time Since Life Event</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532 days (1.5 years)</w:t>
            </w:r>
          </w:p>
        </w:tc>
      </w:tr>
    </w:tbl>
    <w:p/>
    <w:p>
      <w:pPr>
        <w:pStyle w:val="Heading2"/>
      </w:pPr>
      <w:r>
        <w:t>Timeline of Events</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Date</w:t>
            </w:r>
          </w:p>
        </w:tc>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Event</w:t>
            </w:r>
          </w:p>
        </w:tc>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Details</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01 Mar 2015</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Purchase</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$580,000 + $23,200 stamp duty + $3,500 legal fees</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01 Mar 2015</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Move In</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Established as main residence with husband</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01 Jul 2019</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Move Overseas</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Relocated to UK for work</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01 Jul 2019</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Rent Start</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Property rented (tenant moves in)</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15 Sep 2023</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Life Event</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Husband passes away</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01 Mar 2025</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Sale</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$920,000 (still foreign resident)</w:t>
            </w:r>
          </w:p>
        </w:tc>
      </w:tr>
    </w:tbl>
    <w:p/>
    <w:p>
      <w:pPr>
        <w:pStyle w:val="Heading2"/>
      </w:pPr>
      <w:r>
        <w:t>CGT Calculation</w:t>
      </w:r>
    </w:p>
    <w:p>
      <w:pPr>
        <w:spacing w:after="40" w:before="0"/>
        <w:ind w:left="360"/>
      </w:pPr>
      <w:r>
        <w:rPr>
          <w:rFonts w:ascii="Calibri" w:hAnsi="Calibri"/>
          <w:b/>
          <w:color w:val="003366"/>
          <w:sz w:val="22"/>
        </w:rPr>
        <w:t>Step 1: Verify Foreign Resident Status</w:t>
      </w:r>
    </w:p>
    <w:p>
      <w:pPr>
        <w:spacing w:after="40" w:before="0"/>
        <w:ind w:left="360"/>
      </w:pPr>
      <w:r>
        <w:rPr>
          <w:rFonts w:ascii="Calibri" w:hAnsi="Calibri"/>
          <w:sz w:val="22"/>
        </w:rPr>
        <w:t>Jessica was foreign resident from: 1 July 2019</w:t>
      </w:r>
    </w:p>
    <w:p>
      <w:pPr>
        <w:spacing w:after="40" w:before="0"/>
        <w:ind w:left="360"/>
      </w:pPr>
      <w:r>
        <w:rPr>
          <w:rFonts w:ascii="Calibri" w:hAnsi="Calibri"/>
          <w:sz w:val="22"/>
        </w:rPr>
        <w:t>Jessica's status at sale: Foreign resident</w:t>
      </w:r>
    </w:p>
    <w:p>
      <w:pPr>
        <w:spacing w:after="40" w:before="0"/>
        <w:ind w:left="360"/>
      </w:pPr>
      <w:r>
        <w:rPr>
          <w:rFonts w:ascii="Calibri" w:hAnsi="Calibri"/>
          <w:sz w:val="22"/>
        </w:rPr>
        <w:t>Normally: MRE not available to foreign residents (since 1 July 2020)</w:t>
      </w:r>
    </w:p>
    <w:p>
      <w:pPr>
        <w:spacing w:after="40" w:before="0"/>
        <w:ind w:left="360"/>
      </w:pPr>
      <w:r>
        <w:rPr>
          <w:rFonts w:ascii="Calibri" w:hAnsi="Calibri"/>
          <w:b/>
          <w:color w:val="003366"/>
          <w:sz w:val="22"/>
        </w:rPr>
        <w:t>Step 2: Check Life Event Exception</w:t>
      </w:r>
    </w:p>
    <w:p>
      <w:pPr>
        <w:spacing w:after="40" w:before="0"/>
        <w:ind w:left="360"/>
      </w:pPr>
      <w:r>
        <w:rPr>
          <w:rFonts w:ascii="Calibri" w:hAnsi="Calibri"/>
          <w:sz w:val="22"/>
        </w:rPr>
        <w:t>Life event occurred: YES (death of spouse)</w:t>
      </w:r>
    </w:p>
    <w:p>
      <w:pPr>
        <w:spacing w:after="40" w:before="0"/>
        <w:ind w:left="360"/>
      </w:pPr>
      <w:r>
        <w:rPr>
          <w:rFonts w:ascii="Calibri" w:hAnsi="Calibri"/>
          <w:sz w:val="22"/>
        </w:rPr>
        <w:t>Date of life event: 15 September 2023</w:t>
      </w:r>
    </w:p>
    <w:p>
      <w:pPr>
        <w:spacing w:after="40" w:before="0"/>
        <w:ind w:left="360"/>
      </w:pPr>
      <w:r>
        <w:rPr>
          <w:rFonts w:ascii="Calibri" w:hAnsi="Calibri"/>
          <w:sz w:val="22"/>
        </w:rPr>
        <w:t>Sale date: 1 March 2025</w:t>
      </w:r>
    </w:p>
    <w:p>
      <w:pPr>
        <w:spacing w:after="40" w:before="0"/>
        <w:ind w:left="360"/>
      </w:pPr>
      <w:r>
        <w:rPr>
          <w:rFonts w:ascii="Calibri" w:hAnsi="Calibri"/>
          <w:sz w:val="22"/>
        </w:rPr>
        <w:t>Time since life event: 532 days (&lt; 6 years)</w:t>
      </w:r>
    </w:p>
    <w:p>
      <w:pPr>
        <w:spacing w:after="40" w:before="0"/>
        <w:ind w:left="360"/>
      </w:pPr>
      <w:r>
        <w:rPr>
          <w:rFonts w:ascii="Calibri" w:hAnsi="Calibri"/>
          <w:b/>
          <w:color w:val="006400"/>
          <w:sz w:val="22"/>
        </w:rPr>
        <w:t>RESULT: Life event exception applies</w:t>
      </w:r>
    </w:p>
    <w:p>
      <w:pPr>
        <w:spacing w:after="40" w:before="0"/>
        <w:ind w:left="360"/>
      </w:pPr>
      <w:r>
        <w:rPr>
          <w:rFonts w:ascii="Calibri" w:hAnsi="Calibri"/>
          <w:b/>
          <w:color w:val="003366"/>
          <w:sz w:val="22"/>
        </w:rPr>
        <w:t>Step 3: Check Six-Year Absence Rule</w:t>
      </w:r>
    </w:p>
    <w:p>
      <w:pPr>
        <w:spacing w:after="40" w:before="0"/>
        <w:ind w:left="360"/>
      </w:pPr>
      <w:r>
        <w:rPr>
          <w:rFonts w:ascii="Calibri" w:hAnsi="Calibri"/>
          <w:sz w:val="22"/>
        </w:rPr>
        <w:t>Rental period: 1 July 2019 to 1 March 2025 = 5.67 years</w:t>
      </w:r>
    </w:p>
    <w:p>
      <w:pPr>
        <w:spacing w:after="40" w:before="0"/>
        <w:ind w:left="360"/>
      </w:pPr>
      <w:r>
        <w:rPr>
          <w:rFonts w:ascii="Calibri" w:hAnsi="Calibri"/>
          <w:sz w:val="22"/>
        </w:rPr>
        <w:t>Rental period &lt; 6 years: YES</w:t>
      </w:r>
    </w:p>
    <w:p>
      <w:pPr>
        <w:spacing w:after="40" w:before="0"/>
        <w:ind w:left="360"/>
      </w:pPr>
      <w:r>
        <w:rPr>
          <w:rFonts w:ascii="Calibri" w:hAnsi="Calibri"/>
          <w:b/>
          <w:color w:val="006400"/>
          <w:sz w:val="22"/>
        </w:rPr>
        <w:t>RESULT: Six-year rule applies</w:t>
      </w:r>
    </w:p>
    <w:p>
      <w:pPr>
        <w:spacing w:after="40" w:before="0"/>
        <w:ind w:left="360"/>
      </w:pPr>
      <w:r>
        <w:rPr>
          <w:rFonts w:ascii="Calibri" w:hAnsi="Calibri"/>
          <w:b/>
          <w:color w:val="003366"/>
          <w:sz w:val="22"/>
        </w:rPr>
        <w:t>Step 4: Calculate Capital Gain (for reference)</w:t>
      </w:r>
    </w:p>
    <w:p>
      <w:pPr>
        <w:spacing w:after="40" w:before="0"/>
        <w:ind w:left="360"/>
      </w:pPr>
      <w:r>
        <w:rPr>
          <w:rFonts w:ascii="Calibri" w:hAnsi="Calibri"/>
          <w:sz w:val="22"/>
        </w:rPr>
        <w:t>Sale Price: $920,000</w:t>
      </w:r>
    </w:p>
    <w:p>
      <w:pPr>
        <w:spacing w:after="40" w:before="0"/>
        <w:ind w:left="360"/>
      </w:pPr>
      <w:r>
        <w:rPr>
          <w:rFonts w:ascii="Calibri" w:hAnsi="Calibri"/>
          <w:b/>
          <w:sz w:val="22"/>
        </w:rPr>
        <w:t>Cost Base:</w:t>
      </w:r>
    </w:p>
    <w:p>
      <w:pPr>
        <w:spacing w:after="40" w:before="0"/>
        <w:ind w:left="360"/>
      </w:pPr>
      <w:r>
        <w:rPr>
          <w:rFonts w:ascii="Calibri" w:hAnsi="Calibri"/>
          <w:sz w:val="22"/>
        </w:rPr>
        <w:t>Purchase Price: $580,000</w:t>
      </w:r>
    </w:p>
    <w:p>
      <w:pPr>
        <w:spacing w:after="40" w:before="0"/>
        <w:ind w:left="360"/>
      </w:pPr>
      <w:r>
        <w:rPr>
          <w:rFonts w:ascii="Calibri" w:hAnsi="Calibri"/>
          <w:sz w:val="22"/>
        </w:rPr>
        <w:t>Stamp Duty: $23,200</w:t>
      </w:r>
    </w:p>
    <w:p>
      <w:pPr>
        <w:spacing w:after="40" w:before="0"/>
        <w:ind w:left="360"/>
      </w:pPr>
      <w:r>
        <w:rPr>
          <w:rFonts w:ascii="Calibri" w:hAnsi="Calibri"/>
          <w:sz w:val="22"/>
        </w:rPr>
        <w:t>Purchase Legal Fees: $3,500</w:t>
      </w:r>
    </w:p>
    <w:p>
      <w:pPr>
        <w:spacing w:after="40" w:before="0"/>
        <w:ind w:left="360"/>
      </w:pPr>
      <w:r>
        <w:rPr>
          <w:rFonts w:ascii="Calibri" w:hAnsi="Calibri"/>
          <w:sz w:val="22"/>
        </w:rPr>
        <w:t>Sale Agent Fees: $23,000</w:t>
      </w:r>
    </w:p>
    <w:p>
      <w:pPr>
        <w:spacing w:after="40" w:before="0"/>
        <w:ind w:left="360"/>
      </w:pPr>
      <w:r>
        <w:rPr>
          <w:rFonts w:ascii="Calibri" w:hAnsi="Calibri"/>
          <w:sz w:val="22"/>
        </w:rPr>
        <w:t>Sale Legal Fees: $3,200</w:t>
      </w:r>
    </w:p>
    <w:p>
      <w:pPr>
        <w:spacing w:after="40" w:before="0"/>
        <w:ind w:left="360"/>
      </w:pPr>
      <w:r>
        <w:rPr>
          <w:rFonts w:ascii="Calibri" w:hAnsi="Calibri"/>
          <w:sz w:val="22"/>
        </w:rPr>
        <w:t>Total Cost Base: $632,900</w:t>
      </w:r>
    </w:p>
    <w:p>
      <w:pPr>
        <w:spacing w:after="40" w:before="0"/>
        <w:ind w:left="360"/>
      </w:pPr>
      <w:r>
        <w:rPr>
          <w:rFonts w:ascii="Calibri" w:hAnsi="Calibri"/>
          <w:sz w:val="22"/>
        </w:rPr>
        <w:t>Capital Gain = $920,000 - $632,900 = $287,100</w:t>
      </w:r>
    </w:p>
    <w:p>
      <w:pPr>
        <w:spacing w:after="40" w:before="0"/>
        <w:ind w:left="360"/>
      </w:pPr>
      <w:r>
        <w:rPr>
          <w:rFonts w:ascii="Calibri" w:hAnsi="Calibri"/>
          <w:b/>
          <w:color w:val="003366"/>
          <w:sz w:val="22"/>
        </w:rPr>
        <w:t>Step 5: Apply Main Residence Exemption</w:t>
      </w:r>
    </w:p>
    <w:p>
      <w:pPr>
        <w:spacing w:after="40" w:before="0"/>
        <w:ind w:left="360"/>
      </w:pPr>
      <w:r>
        <w:rPr>
          <w:rFonts w:ascii="Calibri" w:hAnsi="Calibri"/>
          <w:sz w:val="22"/>
        </w:rPr>
        <w:t>Life event exception allows MRE claim</w:t>
      </w:r>
    </w:p>
    <w:p>
      <w:pPr>
        <w:spacing w:after="40" w:before="0"/>
        <w:ind w:left="360"/>
      </w:pPr>
      <w:r>
        <w:rPr>
          <w:rFonts w:ascii="Calibri" w:hAnsi="Calibri"/>
          <w:sz w:val="22"/>
        </w:rPr>
        <w:t>Six-year absence rule applies (rental &lt; 6 years)</w:t>
      </w:r>
    </w:p>
    <w:p>
      <w:pPr>
        <w:spacing w:after="40" w:before="0"/>
        <w:ind w:left="360"/>
      </w:pPr>
      <w:r>
        <w:rPr>
          <w:rFonts w:ascii="Calibri" w:hAnsi="Calibri"/>
          <w:sz w:val="22"/>
        </w:rPr>
        <w:t>Exemption: FULL (100%)</w:t>
      </w:r>
    </w:p>
    <w:p>
      <w:pPr>
        <w:spacing w:after="40" w:before="0"/>
        <w:ind w:left="360"/>
      </w:pPr>
      <w:r>
        <w:rPr>
          <w:rFonts w:ascii="Calibri" w:hAnsi="Calibri"/>
          <w:b/>
          <w:color w:val="003366"/>
          <w:sz w:val="22"/>
        </w:rPr>
        <w:t>Step 6: Taxable Capital Gain</w:t>
      </w:r>
    </w:p>
    <w:p>
      <w:pPr>
        <w:spacing w:after="40" w:before="0"/>
        <w:ind w:left="360"/>
      </w:pPr>
      <w:r>
        <w:rPr>
          <w:rFonts w:ascii="Calibri" w:hAnsi="Calibri"/>
          <w:b/>
          <w:color w:val="006400"/>
          <w:sz w:val="22"/>
        </w:rPr>
        <w:t>Taxable Amount = $0 (FULLY EXEMPT)</w:t>
      </w:r>
    </w:p>
    <w:p>
      <w:pPr>
        <w:spacing w:after="40" w:before="0"/>
        <w:ind w:left="360"/>
      </w:pPr>
      <w:r>
        <w:rPr>
          <w:rFonts w:ascii="Calibri" w:hAnsi="Calibri"/>
          <w:b/>
          <w:color w:val="006400"/>
          <w:sz w:val="22"/>
        </w:rPr>
        <w:t>RESULT: NO CGT PAYABLE</w:t>
      </w:r>
    </w:p>
    <w:p>
      <w:pPr>
        <w:pStyle w:val="Heading2"/>
      </w:pPr>
      <w:r>
        <w:t>Applicable Rules</w:t>
      </w:r>
    </w:p>
    <w:p>
      <w:r>
        <w:rPr>
          <w:rFonts w:ascii="Calibri" w:hAnsi="Calibri"/>
          <w:sz w:val="22"/>
        </w:rPr>
        <w:t>ITAA97 s118.110: Foreign residents cannot claim MRE (since 1 July 2020)</w:t>
      </w:r>
    </w:p>
    <w:p>
      <w:r>
        <w:rPr>
          <w:rFonts w:ascii="Calibri" w:hAnsi="Calibri"/>
          <w:sz w:val="22"/>
        </w:rPr>
        <w:t>Exception: Life event within 6 years - death of spouse, child under 18, or terminal illness</w:t>
      </w:r>
    </w:p>
    <w:p>
      <w:r>
        <w:rPr>
          <w:rFonts w:ascii="Calibri" w:hAnsi="Calibri"/>
          <w:sz w:val="22"/>
        </w:rPr>
        <w:t>ITAA97 s118.145: Six-year absence rule (rental 5.67 years &lt; 6 years)</w:t>
      </w:r>
    </w:p>
    <w:p>
      <w:r>
        <w:rPr>
          <w:rFonts w:ascii="Calibri" w:hAnsi="Calibri"/>
          <w:sz w:val="22"/>
        </w:rPr>
        <w:t>Jessica can claim MRE despite being foreign resident due to husband's death</w:t>
      </w:r>
    </w:p>
    <w:p>
      <w:r>
        <w:rPr>
          <w:rFonts w:ascii="Calibri" w:hAnsi="Calibri"/>
          <w:sz w:val="22"/>
        </w:rPr>
        <w:t>Must sell within 6 years of life event (sold 1.5 years after)</w:t>
      </w:r>
    </w:p>
    <w:p>
      <w:pPr>
        <w:spacing w:before="120" w:after="120"/>
      </w:pPr>
      <w:r>
        <w:rPr>
          <w:color w:val="B4B4B4"/>
          <w:sz w:val="12"/>
        </w:rPr>
        <w:t>────────────────────────────────────────────────────────────────────────────────────────────────────</w:t>
      </w:r>
    </w:p>
    <w:p>
      <w:pPr>
        <w:pStyle w:val="Heading1"/>
      </w:pPr>
      <w:r>
        <w:t>Scenario 12: Pre-9 May 2012 Property with Foreign Residency</w:t>
      </w:r>
    </w:p>
    <w:p>
      <w:pPr>
        <w:pStyle w:val="Heading2"/>
      </w:pPr>
      <w:r>
        <w:t>Description</w:t>
      </w:r>
    </w:p>
    <w:p>
      <w:r>
        <w:rPr>
          <w:rFonts w:ascii="Calibri" w:hAnsi="Calibri"/>
          <w:sz w:val="22"/>
        </w:rPr>
        <w:t>Andrew owned his main residence since 2008 and became a foreign resident from 2015-2020. He returned to Australia and sold in 2024. Because he owned the property before 9 May 2012 and was a resident on that date, special rules apply to the CGT discount during his non-resident period.</w:t>
      </w:r>
    </w:p>
    <w:p>
      <w:pPr>
        <w:pStyle w:val="Heading2"/>
      </w:pPr>
      <w:r>
        <w:t>Key Facts</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Property</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88 Historic Lane, Hervey Bay QLD 4655</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Purchase Date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 June 2008</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Purchase Price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$365,000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Move Overseas</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 January 2015</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Return to Australia</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1 January 2020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Sale Date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30 June 2024</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Sale Price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$720,000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Total Ownership</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5,874 days (16.1 years)</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Foreign Resident Period</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1,826 days (5 years)</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Rental Period</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1,826 days (5 years)</w:t>
            </w:r>
          </w:p>
        </w:tc>
      </w:tr>
    </w:tbl>
    <w:p/>
    <w:p>
      <w:pPr>
        <w:pStyle w:val="Heading2"/>
      </w:pPr>
      <w:r>
        <w:t>Timeline of Events</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Date</w:t>
            </w:r>
          </w:p>
        </w:tc>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Event</w:t>
            </w:r>
          </w:p>
        </w:tc>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Details</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01 Jun 2008</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Purchase</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$365,000 + $12,775 stamp duty + $2,400 legal fees</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01 Jun 2008</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Move In</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Established as main residence</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01 Jan 2015</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Move Overseas</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Became foreign resident</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01 Jan 2015</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Rent Start</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Property rented</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01 Jan 2020</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Return</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Became Australian resident again</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01 Jan 2020</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Move In</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Re-established as main residence</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30 Jun 2024</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Sale</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$720,000 (Australian resident at sale)</w:t>
            </w:r>
          </w:p>
        </w:tc>
      </w:tr>
    </w:tbl>
    <w:p/>
    <w:p>
      <w:pPr>
        <w:pStyle w:val="Heading2"/>
      </w:pPr>
      <w:r>
        <w:t>CGT Calculation</w:t>
      </w:r>
    </w:p>
    <w:p>
      <w:pPr>
        <w:spacing w:after="40" w:before="0"/>
        <w:ind w:left="360"/>
      </w:pPr>
      <w:r>
        <w:rPr>
          <w:rFonts w:ascii="Calibri" w:hAnsi="Calibri"/>
          <w:b/>
          <w:color w:val="003366"/>
          <w:sz w:val="22"/>
        </w:rPr>
        <w:t>Step 1: Check Main Residence Exemption</w:t>
      </w:r>
    </w:p>
    <w:p>
      <w:pPr>
        <w:spacing w:after="40" w:before="0"/>
        <w:ind w:left="360"/>
      </w:pPr>
      <w:r>
        <w:rPr>
          <w:rFonts w:ascii="Calibri" w:hAnsi="Calibri"/>
          <w:sz w:val="22"/>
        </w:rPr>
        <w:t>Australian resident at time of sale: YES</w:t>
      </w:r>
    </w:p>
    <w:p>
      <w:pPr>
        <w:spacing w:after="40" w:before="0"/>
        <w:ind w:left="360"/>
      </w:pPr>
      <w:r>
        <w:rPr>
          <w:rFonts w:ascii="Calibri" w:hAnsi="Calibri"/>
          <w:sz w:val="22"/>
        </w:rPr>
        <w:t>Six-year rule: Rental period (5 years) &lt; 6 years</w:t>
      </w:r>
    </w:p>
    <w:p>
      <w:pPr>
        <w:spacing w:after="40" w:before="0"/>
        <w:ind w:left="360"/>
      </w:pPr>
      <w:r>
        <w:rPr>
          <w:rFonts w:ascii="Calibri" w:hAnsi="Calibri"/>
          <w:b/>
          <w:color w:val="006400"/>
          <w:sz w:val="22"/>
        </w:rPr>
        <w:t>RESULT: Full main residence exemption applies</w:t>
      </w:r>
    </w:p>
    <w:p>
      <w:pPr>
        <w:spacing w:after="40" w:before="0"/>
        <w:ind w:left="360"/>
      </w:pPr>
      <w:r>
        <w:rPr>
          <w:rFonts w:ascii="Calibri" w:hAnsi="Calibri"/>
          <w:b/>
          <w:color w:val="003366"/>
          <w:sz w:val="22"/>
        </w:rPr>
        <w:t>Step 2: Apply MRE</w:t>
      </w:r>
    </w:p>
    <w:p>
      <w:pPr>
        <w:spacing w:after="40" w:before="0"/>
        <w:ind w:left="360"/>
      </w:pPr>
      <w:r>
        <w:rPr>
          <w:rFonts w:ascii="Calibri" w:hAnsi="Calibri"/>
          <w:sz w:val="22"/>
        </w:rPr>
        <w:t>Six-year absence rule covers rental period</w:t>
      </w:r>
    </w:p>
    <w:p>
      <w:pPr>
        <w:spacing w:after="40" w:before="0"/>
        <w:ind w:left="360"/>
      </w:pPr>
      <w:r>
        <w:rPr>
          <w:rFonts w:ascii="Calibri" w:hAnsi="Calibri"/>
          <w:sz w:val="22"/>
        </w:rPr>
        <w:t>Exemption: FULL (100%)</w:t>
      </w:r>
    </w:p>
    <w:p>
      <w:pPr>
        <w:spacing w:after="40" w:before="0"/>
        <w:ind w:left="360"/>
      </w:pPr>
      <w:r>
        <w:rPr>
          <w:rFonts w:ascii="Calibri" w:hAnsi="Calibri"/>
          <w:b/>
          <w:color w:val="003366"/>
          <w:sz w:val="22"/>
        </w:rPr>
        <w:t>Step 3: Taxable Capital Gain</w:t>
      </w:r>
    </w:p>
    <w:p>
      <w:pPr>
        <w:spacing w:after="40" w:before="0"/>
        <w:ind w:left="360"/>
      </w:pPr>
      <w:r>
        <w:rPr>
          <w:rFonts w:ascii="Calibri" w:hAnsi="Calibri"/>
          <w:b/>
          <w:color w:val="006400"/>
          <w:sz w:val="22"/>
        </w:rPr>
        <w:t>Taxable Amount = $0 (FULLY EXEMPT)</w:t>
      </w:r>
    </w:p>
    <w:p>
      <w:pPr>
        <w:spacing w:after="40" w:before="0"/>
        <w:ind w:left="360"/>
      </w:pPr>
      <w:r>
        <w:rPr>
          <w:rFonts w:ascii="Calibri" w:hAnsi="Calibri"/>
          <w:b/>
          <w:color w:val="006400"/>
          <w:sz w:val="22"/>
        </w:rPr>
        <w:t>RESULT: NO CGT PAYABLE</w:t>
      </w:r>
    </w:p>
    <w:p>
      <w:pPr>
        <w:spacing w:after="40" w:before="0"/>
        <w:ind w:left="360"/>
      </w:pPr>
      <w:r>
        <w:rPr>
          <w:rFonts w:ascii="Calibri" w:hAnsi="Calibri"/>
          <w:sz w:val="22"/>
        </w:rPr>
        <w:t>Note: CGT Discount Reduction (If Taxable)</w:t>
      </w:r>
    </w:p>
    <w:p>
      <w:pPr>
        <w:spacing w:after="40" w:before="0"/>
        <w:ind w:left="360"/>
      </w:pPr>
      <w:r>
        <w:rPr>
          <w:rFonts w:ascii="Calibri" w:hAnsi="Calibri"/>
          <w:sz w:val="22"/>
        </w:rPr>
        <w:t>If MRE did not apply, special rules for pre-9 May 2012 ownership:</w:t>
      </w:r>
    </w:p>
    <w:p>
      <w:pPr>
        <w:spacing w:after="40" w:before="0"/>
        <w:ind w:left="360"/>
      </w:pPr>
      <w:r>
        <w:rPr>
          <w:rFonts w:ascii="Calibri" w:hAnsi="Calibri"/>
          <w:sz w:val="22"/>
        </w:rPr>
        <w:t>Ownership period before 9 May 2012: 1 Jun 2008 to 9 May 2012 = 1,439 days</w:t>
      </w:r>
    </w:p>
    <w:p>
      <w:pPr>
        <w:spacing w:after="40" w:before="0"/>
        <w:ind w:left="360"/>
      </w:pPr>
      <w:r>
        <w:rPr>
          <w:rFonts w:ascii="Calibri" w:hAnsi="Calibri"/>
          <w:sz w:val="22"/>
        </w:rPr>
        <w:t>Total ownership: 5,874 days</w:t>
      </w:r>
    </w:p>
    <w:p>
      <w:pPr>
        <w:spacing w:after="40" w:before="0"/>
        <w:ind w:left="360"/>
      </w:pPr>
      <w:r>
        <w:rPr>
          <w:rFonts w:ascii="Calibri" w:hAnsi="Calibri"/>
          <w:sz w:val="22"/>
        </w:rPr>
        <w:t>Pre-9 May 2012 proportion: 1,439 / 5,874 = 24.50%</w:t>
      </w:r>
    </w:p>
    <w:p>
      <w:pPr>
        <w:spacing w:after="40" w:before="0"/>
        <w:ind w:left="360"/>
      </w:pPr>
      <w:r>
        <w:rPr>
          <w:rFonts w:ascii="Calibri" w:hAnsi="Calibri"/>
          <w:sz w:val="22"/>
        </w:rPr>
        <w:t>For pre-9 May 2012 portion: Full 50% discount available</w:t>
      </w:r>
    </w:p>
    <w:p>
      <w:pPr>
        <w:spacing w:after="40" w:before="0"/>
        <w:ind w:left="360"/>
      </w:pPr>
      <w:r>
        <w:rPr>
          <w:rFonts w:ascii="Calibri" w:hAnsi="Calibri"/>
          <w:sz w:val="22"/>
        </w:rPr>
        <w:t>For post-9 May 2012 portion: Discount reduced by foreign resident period</w:t>
      </w:r>
    </w:p>
    <w:p>
      <w:pPr>
        <w:spacing w:after="40" w:before="0"/>
        <w:ind w:left="360"/>
      </w:pPr>
      <w:r>
        <w:rPr>
          <w:rFonts w:ascii="Calibri" w:hAnsi="Calibri"/>
          <w:sz w:val="22"/>
        </w:rPr>
        <w:t>Since MRE applies, discount calculation is not required.</w:t>
      </w:r>
    </w:p>
    <w:p>
      <w:pPr>
        <w:pStyle w:val="Heading2"/>
      </w:pPr>
      <w:r>
        <w:t>Applicable Rules</w:t>
      </w:r>
    </w:p>
    <w:p>
      <w:r>
        <w:rPr>
          <w:rFonts w:ascii="Calibri" w:hAnsi="Calibri"/>
          <w:sz w:val="22"/>
        </w:rPr>
        <w:t>ITAA97 s118.145: Six-year absence rule (rental 5 years &lt; 6 years)</w:t>
      </w:r>
    </w:p>
    <w:p>
      <w:r>
        <w:rPr>
          <w:rFonts w:ascii="Calibri" w:hAnsi="Calibri"/>
          <w:sz w:val="22"/>
        </w:rPr>
        <w:t>Returned to Australia and sold as resident = Can claim MRE</w:t>
      </w:r>
    </w:p>
    <w:p>
      <w:r>
        <w:rPr>
          <w:rFonts w:ascii="Calibri" w:hAnsi="Calibri"/>
          <w:sz w:val="22"/>
        </w:rPr>
        <w:t>ITAA97 s115.105: CGT discount reduced for foreign resident periods (post-9 May 2012)</w:t>
      </w:r>
    </w:p>
    <w:p>
      <w:r>
        <w:rPr>
          <w:rFonts w:ascii="Calibri" w:hAnsi="Calibri"/>
          <w:sz w:val="22"/>
        </w:rPr>
        <w:t>Special rule: Property owned on 9 May 2012 while resident = Pre-9 May portion gets full discount</w:t>
      </w:r>
    </w:p>
    <w:p>
      <w:r>
        <w:rPr>
          <w:rFonts w:ascii="Calibri" w:hAnsi="Calibri"/>
          <w:sz w:val="22"/>
        </w:rPr>
        <w:t>Since full MRE applies, these discount rules don't affect outcome</w:t>
      </w:r>
    </w:p>
    <w:p>
      <w:pPr>
        <w:spacing w:before="120" w:after="120"/>
      </w:pPr>
      <w:r>
        <w:rPr>
          <w:color w:val="B4B4B4"/>
          <w:sz w:val="12"/>
        </w:rPr>
        <w:t>────────────────────────────────────────────────────────────────────────────────────────────────────</w:t>
      </w:r>
    </w:p>
    <w:p>
      <w:pPr>
        <w:pStyle w:val="Heading1"/>
      </w:pPr>
      <w:r>
        <w:t>Scenario 13: Spouses Nominating Different Main Residences</w:t>
      </w:r>
    </w:p>
    <w:p>
      <w:pPr>
        <w:pStyle w:val="Heading2"/>
      </w:pPr>
      <w:r>
        <w:t>Description</w:t>
      </w:r>
    </w:p>
    <w:p>
      <w:r>
        <w:rPr>
          <w:rFonts w:ascii="Calibri" w:hAnsi="Calibri"/>
          <w:sz w:val="22"/>
        </w:rPr>
        <w:t>Chris and Morgan are married but live in different cities for work. Chris lives in Brisbane and Morgan lives in Sydney. They each nominate their respective dwelling as their main residence. Under s118.170, spouses can claim different main residences, but with limitations on the exemption.</w:t>
      </w:r>
    </w:p>
    <w:p>
      <w:pPr>
        <w:pStyle w:val="Heading2"/>
      </w:pPr>
      <w:r>
        <w:t>Key Facts</w:t>
      </w:r>
    </w:p>
    <w:p>
      <w:r>
        <w:rPr>
          <w:rFonts w:ascii="Calibri" w:hAnsi="Calibri"/>
          <w:sz w:val="22"/>
        </w:rPr>
        <w:t>Chris's Property (Brisbane)</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Address</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55 Executive Drive, Brisbane QLD 4000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Purchase Date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 February 2018</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Purchase Price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$620,000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Ownership</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Chris 100%</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Sale Date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15 October 2024</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Sale Price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$880,000</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Lived In Period</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6 years, 8 months</w:t>
            </w:r>
          </w:p>
        </w:tc>
      </w:tr>
    </w:tbl>
    <w:p/>
    <w:p>
      <w:r>
        <w:rPr>
          <w:rFonts w:ascii="Calibri" w:hAnsi="Calibri"/>
          <w:sz w:val="22"/>
        </w:rPr>
        <w:t>Morgan's Property (Sydney)</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Address</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120 Harbour Road, Sydney NSW 2000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Purchase Date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15 March 2019</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Purchase Price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$850,000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Ownership</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Morgan 100%</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Status</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Not sold</w:t>
            </w:r>
          </w:p>
        </w:tc>
      </w:tr>
    </w:tbl>
    <w:p/>
    <w:p>
      <w:r>
        <w:rPr>
          <w:rFonts w:ascii="Calibri" w:hAnsi="Calibri"/>
          <w:sz w:val="22"/>
        </w:rPr>
        <w:t>Different Main Residence Period</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Start Date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15 March 2019 (when Morgan bought Sydney)</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End Date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15 October 2024 (when Chris sells)</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Duration</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2,041 days (5.6 years)</w:t>
            </w:r>
          </w:p>
        </w:tc>
      </w:tr>
    </w:tbl>
    <w:p/>
    <w:p>
      <w:pPr>
        <w:pStyle w:val="Heading2"/>
      </w:pPr>
      <w:r>
        <w:t>Timeline of Events</w:t>
      </w:r>
    </w:p>
    <w:p>
      <w:r>
        <w:rPr>
          <w:rFonts w:ascii="Calibri" w:hAnsi="Calibri"/>
          <w:sz w:val="22"/>
        </w:rPr>
        <w:t>Chris's Property</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Date</w:t>
            </w:r>
          </w:p>
        </w:tc>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Event</w:t>
            </w:r>
          </w:p>
        </w:tc>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Details</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01 Feb 2018</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Purchase</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$620,000 + $24,800 stamp duty + $3,800 legal fees</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01 Feb 2018</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Move In</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Chris establishes as main residence</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15 Mar 2019</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Morgan Buys</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Morgan purchases Sydney property</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15 Mar 2019</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Different MR Start</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Spouses nominate different main residences</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15 Oct 2024</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Sale</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$880,000 (agent fees: $22,000, legal fees: $3,200)</w:t>
            </w:r>
          </w:p>
        </w:tc>
      </w:tr>
    </w:tbl>
    <w:p/>
    <w:p>
      <w:pPr>
        <w:pStyle w:val="Heading2"/>
      </w:pPr>
      <w:r>
        <w:t>CGT Calculation - Chris's Property</w:t>
      </w:r>
    </w:p>
    <w:p>
      <w:pPr>
        <w:spacing w:after="40" w:before="0"/>
        <w:ind w:left="360"/>
      </w:pPr>
      <w:r>
        <w:rPr>
          <w:rFonts w:ascii="Calibri" w:hAnsi="Calibri"/>
          <w:b/>
          <w:color w:val="003366"/>
          <w:sz w:val="22"/>
        </w:rPr>
        <w:t>Step 1: Identify Periods</w:t>
      </w:r>
    </w:p>
    <w:p>
      <w:pPr>
        <w:spacing w:after="40" w:before="0"/>
        <w:ind w:left="360"/>
      </w:pPr>
      <w:r>
        <w:rPr>
          <w:rFonts w:ascii="Calibri" w:hAnsi="Calibri"/>
          <w:sz w:val="22"/>
        </w:rPr>
        <w:t>Total ownership: 1 Feb 2018 to 15 Oct 2024 = 2,448 days</w:t>
      </w:r>
    </w:p>
    <w:p>
      <w:pPr>
        <w:spacing w:after="40" w:before="0"/>
        <w:ind w:left="360"/>
      </w:pPr>
      <w:r>
        <w:rPr>
          <w:rFonts w:ascii="Calibri" w:hAnsi="Calibri"/>
          <w:sz w:val="22"/>
        </w:rPr>
        <w:t>Period 1: Joint main residence</w:t>
      </w:r>
    </w:p>
    <w:p>
      <w:pPr>
        <w:spacing w:after="40" w:before="0"/>
        <w:ind w:left="360"/>
      </w:pPr>
      <w:r>
        <w:rPr>
          <w:rFonts w:ascii="Calibri" w:hAnsi="Calibri"/>
          <w:sz w:val="22"/>
        </w:rPr>
        <w:t>1 Feb 2018 to 15 Mar 2019 = 407 days</w:t>
      </w:r>
    </w:p>
    <w:p>
      <w:pPr>
        <w:spacing w:after="40" w:before="0"/>
        <w:ind w:left="360"/>
      </w:pPr>
      <w:r>
        <w:rPr>
          <w:rFonts w:ascii="Calibri" w:hAnsi="Calibri"/>
          <w:sz w:val="22"/>
        </w:rPr>
        <w:t>Chris's exemption: 100%</w:t>
      </w:r>
    </w:p>
    <w:p>
      <w:pPr>
        <w:spacing w:after="40" w:before="0"/>
        <w:ind w:left="360"/>
      </w:pPr>
      <w:r>
        <w:rPr>
          <w:rFonts w:ascii="Calibri" w:hAnsi="Calibri"/>
          <w:sz w:val="22"/>
        </w:rPr>
        <w:t>Period 2: Different main residences (spouses apart)</w:t>
      </w:r>
    </w:p>
    <w:p>
      <w:pPr>
        <w:spacing w:after="40" w:before="0"/>
        <w:ind w:left="360"/>
      </w:pPr>
      <w:r>
        <w:rPr>
          <w:rFonts w:ascii="Calibri" w:hAnsi="Calibri"/>
          <w:sz w:val="22"/>
        </w:rPr>
        <w:t>15 Mar 2019 to 15 Oct 2024 = 2,041 days</w:t>
      </w:r>
    </w:p>
    <w:p>
      <w:pPr>
        <w:spacing w:after="40" w:before="0"/>
        <w:ind w:left="360"/>
      </w:pPr>
      <w:r>
        <w:rPr>
          <w:rFonts w:ascii="Calibri" w:hAnsi="Calibri"/>
          <w:sz w:val="22"/>
        </w:rPr>
        <w:t>Chris owns 100% of property (not 50% or less)</w:t>
      </w:r>
    </w:p>
    <w:p>
      <w:pPr>
        <w:spacing w:after="40" w:before="0"/>
        <w:ind w:left="360"/>
      </w:pPr>
      <w:r>
        <w:rPr>
          <w:rFonts w:ascii="Calibri" w:hAnsi="Calibri"/>
          <w:sz w:val="22"/>
        </w:rPr>
        <w:t>Exemption: 50% of this period (s118.170)</w:t>
      </w:r>
    </w:p>
    <w:p>
      <w:pPr>
        <w:spacing w:after="40" w:before="0"/>
        <w:ind w:left="360"/>
      </w:pPr>
      <w:r>
        <w:rPr>
          <w:rFonts w:ascii="Calibri" w:hAnsi="Calibri"/>
          <w:b/>
          <w:color w:val="003366"/>
          <w:sz w:val="22"/>
        </w:rPr>
        <w:t>Step 2: Calculate Exempt Days</w:t>
      </w:r>
    </w:p>
    <w:p>
      <w:pPr>
        <w:spacing w:after="40" w:before="0"/>
        <w:ind w:left="360"/>
      </w:pPr>
      <w:r>
        <w:rPr>
          <w:rFonts w:ascii="Calibri" w:hAnsi="Calibri"/>
          <w:sz w:val="22"/>
        </w:rPr>
        <w:t>Period 1: 407 days x 100% = 407 exempt days</w:t>
      </w:r>
    </w:p>
    <w:p>
      <w:pPr>
        <w:spacing w:after="40" w:before="0"/>
        <w:ind w:left="360"/>
      </w:pPr>
      <w:r>
        <w:rPr>
          <w:rFonts w:ascii="Calibri" w:hAnsi="Calibri"/>
          <w:sz w:val="22"/>
        </w:rPr>
        <w:t>Period 2: 2,041 days x 50% = 1,020.5 exempt days</w:t>
      </w:r>
    </w:p>
    <w:p>
      <w:pPr>
        <w:spacing w:after="40" w:before="0"/>
        <w:ind w:left="360"/>
      </w:pPr>
      <w:r>
        <w:rPr>
          <w:rFonts w:ascii="Calibri" w:hAnsi="Calibri"/>
          <w:sz w:val="22"/>
        </w:rPr>
        <w:t>Total exempt days: 1,427.5 days</w:t>
      </w:r>
    </w:p>
    <w:p>
      <w:pPr>
        <w:spacing w:after="40" w:before="0"/>
        <w:ind w:left="360"/>
      </w:pPr>
      <w:r>
        <w:rPr>
          <w:rFonts w:ascii="Calibri" w:hAnsi="Calibri"/>
          <w:b/>
          <w:color w:val="003366"/>
          <w:sz w:val="22"/>
        </w:rPr>
        <w:t>Step 3: Calculate Taxable Proportion</w:t>
      </w:r>
    </w:p>
    <w:p>
      <w:pPr>
        <w:spacing w:after="40" w:before="0"/>
        <w:ind w:left="360"/>
      </w:pPr>
      <w:r>
        <w:rPr>
          <w:rFonts w:ascii="Calibri" w:hAnsi="Calibri"/>
          <w:sz w:val="22"/>
        </w:rPr>
        <w:t>Total ownership: 2,448 days</w:t>
      </w:r>
    </w:p>
    <w:p>
      <w:pPr>
        <w:spacing w:after="40" w:before="0"/>
        <w:ind w:left="360"/>
      </w:pPr>
      <w:r>
        <w:rPr>
          <w:rFonts w:ascii="Calibri" w:hAnsi="Calibri"/>
          <w:sz w:val="22"/>
        </w:rPr>
        <w:t>Exempt days: 1,427.5 days</w:t>
      </w:r>
    </w:p>
    <w:p>
      <w:pPr>
        <w:spacing w:after="40" w:before="0"/>
        <w:ind w:left="360"/>
      </w:pPr>
      <w:r>
        <w:rPr>
          <w:rFonts w:ascii="Calibri" w:hAnsi="Calibri"/>
          <w:sz w:val="22"/>
        </w:rPr>
        <w:t>Non-exempt days: 1,020.5 days</w:t>
      </w:r>
    </w:p>
    <w:p>
      <w:pPr>
        <w:spacing w:after="40" w:before="0"/>
        <w:ind w:left="360"/>
      </w:pPr>
      <w:r>
        <w:rPr>
          <w:rFonts w:ascii="Calibri" w:hAnsi="Calibri"/>
          <w:sz w:val="22"/>
        </w:rPr>
        <w:t>Taxable Proportion = 1,020.5 / 2,448 = 41.69%</w:t>
      </w:r>
    </w:p>
    <w:p>
      <w:pPr>
        <w:spacing w:after="40" w:before="0"/>
        <w:ind w:left="360"/>
      </w:pPr>
      <w:r>
        <w:rPr>
          <w:rFonts w:ascii="Calibri" w:hAnsi="Calibri"/>
          <w:sz w:val="22"/>
        </w:rPr>
        <w:t>Exempt Proportion = 58.31%</w:t>
      </w:r>
    </w:p>
    <w:p>
      <w:pPr>
        <w:spacing w:after="40" w:before="0"/>
        <w:ind w:left="360"/>
      </w:pPr>
      <w:r>
        <w:rPr>
          <w:rFonts w:ascii="Calibri" w:hAnsi="Calibri"/>
          <w:b/>
          <w:color w:val="003366"/>
          <w:sz w:val="22"/>
        </w:rPr>
        <w:t>Step 4: Calculate Capital Gain</w:t>
      </w:r>
    </w:p>
    <w:p>
      <w:pPr>
        <w:spacing w:after="40" w:before="0"/>
        <w:ind w:left="360"/>
      </w:pPr>
      <w:r>
        <w:rPr>
          <w:rFonts w:ascii="Calibri" w:hAnsi="Calibri"/>
          <w:sz w:val="22"/>
        </w:rPr>
        <w:t>Sale Price: $880,000</w:t>
      </w:r>
    </w:p>
    <w:p>
      <w:pPr>
        <w:spacing w:after="40" w:before="0"/>
        <w:ind w:left="360"/>
      </w:pPr>
      <w:r>
        <w:rPr>
          <w:rFonts w:ascii="Calibri" w:hAnsi="Calibri"/>
          <w:b/>
          <w:sz w:val="22"/>
        </w:rPr>
        <w:t>Cost Base:</w:t>
      </w:r>
    </w:p>
    <w:p>
      <w:pPr>
        <w:spacing w:after="40" w:before="0"/>
        <w:ind w:left="360"/>
      </w:pPr>
      <w:r>
        <w:rPr>
          <w:rFonts w:ascii="Calibri" w:hAnsi="Calibri"/>
          <w:sz w:val="22"/>
        </w:rPr>
        <w:t>Purchase Price: $620,000</w:t>
      </w:r>
    </w:p>
    <w:p>
      <w:pPr>
        <w:spacing w:after="40" w:before="0"/>
        <w:ind w:left="360"/>
      </w:pPr>
      <w:r>
        <w:rPr>
          <w:rFonts w:ascii="Calibri" w:hAnsi="Calibri"/>
          <w:sz w:val="22"/>
        </w:rPr>
        <w:t>Stamp Duty: $24,800</w:t>
      </w:r>
    </w:p>
    <w:p>
      <w:pPr>
        <w:spacing w:after="40" w:before="0"/>
        <w:ind w:left="360"/>
      </w:pPr>
      <w:r>
        <w:rPr>
          <w:rFonts w:ascii="Calibri" w:hAnsi="Calibri"/>
          <w:sz w:val="22"/>
        </w:rPr>
        <w:t>Purchase Legal Fees: $3,800</w:t>
      </w:r>
    </w:p>
    <w:p>
      <w:pPr>
        <w:spacing w:after="40" w:before="0"/>
        <w:ind w:left="360"/>
      </w:pPr>
      <w:r>
        <w:rPr>
          <w:rFonts w:ascii="Calibri" w:hAnsi="Calibri"/>
          <w:sz w:val="22"/>
        </w:rPr>
        <w:t>Sale Agent Fees: $22,000</w:t>
      </w:r>
    </w:p>
    <w:p>
      <w:pPr>
        <w:spacing w:after="40" w:before="0"/>
        <w:ind w:left="360"/>
      </w:pPr>
      <w:r>
        <w:rPr>
          <w:rFonts w:ascii="Calibri" w:hAnsi="Calibri"/>
          <w:sz w:val="22"/>
        </w:rPr>
        <w:t>Sale Legal Fees: $3,200</w:t>
      </w:r>
    </w:p>
    <w:p>
      <w:pPr>
        <w:spacing w:after="40" w:before="0"/>
        <w:ind w:left="360"/>
      </w:pPr>
      <w:r>
        <w:rPr>
          <w:rFonts w:ascii="Calibri" w:hAnsi="Calibri"/>
          <w:sz w:val="22"/>
        </w:rPr>
        <w:t>Total Cost Base: $673,800</w:t>
      </w:r>
    </w:p>
    <w:p>
      <w:pPr>
        <w:spacing w:after="40" w:before="0"/>
        <w:ind w:left="360"/>
      </w:pPr>
      <w:r>
        <w:rPr>
          <w:rFonts w:ascii="Calibri" w:hAnsi="Calibri"/>
          <w:sz w:val="22"/>
        </w:rPr>
        <w:t>Capital Gain = $880,000 - $673,800 = $206,200</w:t>
      </w:r>
    </w:p>
    <w:p>
      <w:pPr>
        <w:spacing w:after="40" w:before="0"/>
        <w:ind w:left="360"/>
      </w:pPr>
      <w:r>
        <w:rPr>
          <w:rFonts w:ascii="Calibri" w:hAnsi="Calibri"/>
          <w:b/>
          <w:color w:val="003366"/>
          <w:sz w:val="22"/>
        </w:rPr>
        <w:t>Step 5: Apply Partial Exemption</w:t>
      </w:r>
    </w:p>
    <w:p>
      <w:pPr>
        <w:spacing w:after="40" w:before="0"/>
        <w:ind w:left="360"/>
      </w:pPr>
      <w:r>
        <w:rPr>
          <w:rFonts w:ascii="Calibri" w:hAnsi="Calibri"/>
          <w:sz w:val="22"/>
        </w:rPr>
        <w:t>Taxable Capital Gain = $206,200 x 41.69% = $85,964</w:t>
      </w:r>
    </w:p>
    <w:p>
      <w:pPr>
        <w:spacing w:after="40" w:before="0"/>
        <w:ind w:left="360"/>
      </w:pPr>
      <w:r>
        <w:rPr>
          <w:rFonts w:ascii="Calibri" w:hAnsi="Calibri"/>
          <w:b/>
          <w:color w:val="003366"/>
          <w:sz w:val="22"/>
        </w:rPr>
        <w:t>Step 6: Apply 50% CGT Discount</w:t>
      </w:r>
    </w:p>
    <w:p>
      <w:pPr>
        <w:spacing w:after="40" w:before="0"/>
        <w:ind w:left="360"/>
      </w:pPr>
      <w:r>
        <w:rPr>
          <w:rFonts w:ascii="Calibri" w:hAnsi="Calibri"/>
          <w:sz w:val="22"/>
        </w:rPr>
        <w:t>Held &gt; 12 months: YES</w:t>
      </w:r>
    </w:p>
    <w:p>
      <w:pPr>
        <w:spacing w:after="40" w:before="0"/>
        <w:ind w:left="360"/>
      </w:pPr>
      <w:r>
        <w:rPr>
          <w:rFonts w:ascii="Calibri" w:hAnsi="Calibri"/>
          <w:sz w:val="22"/>
        </w:rPr>
        <w:t>Discounted Gain = $85,964 x 50% = $42,982</w:t>
      </w:r>
    </w:p>
    <w:p>
      <w:pPr>
        <w:spacing w:after="40" w:before="0"/>
        <w:ind w:left="360"/>
      </w:pPr>
      <w:r>
        <w:rPr>
          <w:rFonts w:ascii="Calibri" w:hAnsi="Calibri"/>
          <w:b/>
          <w:color w:val="006400"/>
          <w:sz w:val="22"/>
        </w:rPr>
        <w:t>RESULT: NET CAPITAL GAIN = $42,982</w:t>
      </w:r>
    </w:p>
    <w:p>
      <w:pPr>
        <w:pStyle w:val="Heading2"/>
      </w:pPr>
      <w:r>
        <w:t>Applicable Rules</w:t>
      </w:r>
    </w:p>
    <w:p>
      <w:r>
        <w:rPr>
          <w:rFonts w:ascii="Calibri" w:hAnsi="Calibri"/>
          <w:sz w:val="22"/>
        </w:rPr>
        <w:t>ITAA97 s118.170: Spouses living in different main residences</w:t>
      </w:r>
    </w:p>
    <w:p>
      <w:r>
        <w:rPr>
          <w:rFonts w:ascii="Calibri" w:hAnsi="Calibri"/>
          <w:sz w:val="22"/>
        </w:rPr>
        <w:t>If spouse owns &gt;50% of nominated dwelling, exemption = 50% for period living apart</w:t>
      </w:r>
    </w:p>
    <w:p>
      <w:r>
        <w:rPr>
          <w:rFonts w:ascii="Calibri" w:hAnsi="Calibri"/>
          <w:sz w:val="22"/>
        </w:rPr>
        <w:t>Chris owns 100%, so only 50% exemption applies during different MR period</w:t>
      </w:r>
    </w:p>
    <w:p>
      <w:r>
        <w:rPr>
          <w:rFonts w:ascii="Calibri" w:hAnsi="Calibri"/>
          <w:sz w:val="22"/>
        </w:rPr>
        <w:t>If Chris owned 50% or less, would get 100% exemption on their share</w:t>
      </w:r>
    </w:p>
    <w:p>
      <w:r>
        <w:rPr>
          <w:rFonts w:ascii="Calibri" w:hAnsi="Calibri"/>
          <w:sz w:val="22"/>
        </w:rPr>
        <w:t>ITAA97 s115.25: 50% CGT discount applies</w:t>
      </w:r>
    </w:p>
    <w:p>
      <w:pPr>
        <w:spacing w:before="120" w:after="120"/>
      </w:pPr>
      <w:r>
        <w:rPr>
          <w:color w:val="B4B4B4"/>
          <w:sz w:val="12"/>
        </w:rPr>
        <w:t>────────────────────────────────────────────────────────────────────────────────────────────────────</w:t>
      </w:r>
    </w:p>
    <w:p>
      <w:pPr>
        <w:pStyle w:val="Heading1"/>
      </w:pPr>
      <w:r>
        <w:t>Scenario 14: Vacant Periods During Extended Rental</w:t>
      </w:r>
    </w:p>
    <w:p>
      <w:pPr>
        <w:pStyle w:val="Heading2"/>
      </w:pPr>
      <w:r>
        <w:t>Description</w:t>
      </w:r>
    </w:p>
    <w:p>
      <w:r>
        <w:rPr>
          <w:rFonts w:ascii="Calibri" w:hAnsi="Calibri"/>
          <w:sz w:val="22"/>
        </w:rPr>
        <w:t>Michelle rents her main residence for 8 years with two vacant periods when tenants change. The vacant periods count towards the 6-year limit when the property is available for rent. Total rental period exceeds 6 years, resulting in partial exemption.</w:t>
      </w:r>
    </w:p>
    <w:p>
      <w:pPr>
        <w:pStyle w:val="Heading2"/>
      </w:pPr>
      <w:r>
        <w:t>Key Facts</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Property</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42 Acacia Close, Maryborough QLD 4650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Purchase Date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 January 2012</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Purchase Price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$280,000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Move Out Date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 January 2016</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Total Rental Period</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8 years</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Vacant Period 1</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3 months (between tenants)</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Vacant Period 2</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2 months (between tenants)</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Sale Date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31 December 2024</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Sale Price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$520,000</w:t>
            </w:r>
          </w:p>
        </w:tc>
      </w:tr>
    </w:tbl>
    <w:p/>
    <w:p>
      <w:pPr>
        <w:pStyle w:val="Heading2"/>
      </w:pPr>
      <w:r>
        <w:t>Timeline of Events</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Date</w:t>
            </w:r>
          </w:p>
        </w:tc>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Event</w:t>
            </w:r>
          </w:p>
        </w:tc>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Details</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01 Jan 2012</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Purchase</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$280,000 + $8,400 stamp duty + $1,800 legal fees</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01 Jan 2012</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Move In</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Established as main residence</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01 Jan 2016</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Move Out</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Relocated for work</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01 Jan 2016</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Rent Start</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First tenant moves in</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01 Jul 2019</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Tenant Leaves</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Property vacant (available for rent)</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01 Oct 2019</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New Tenant</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Second tenant moves in</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01 Mar 2022</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Tenant Leaves</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Property vacant (available for rent)</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01 May 2022</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New Tenant</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Third tenant moves in</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31 Dec 2024</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Sale</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$520,000 (agent fees: $13,000, legal fees: $2,000)</w:t>
            </w:r>
          </w:p>
        </w:tc>
      </w:tr>
    </w:tbl>
    <w:p/>
    <w:p>
      <w:pPr>
        <w:pStyle w:val="Heading2"/>
      </w:pPr>
      <w:r>
        <w:t>CGT Calculation</w:t>
      </w:r>
    </w:p>
    <w:p>
      <w:pPr>
        <w:spacing w:after="40" w:before="0"/>
        <w:ind w:left="360"/>
      </w:pPr>
      <w:r>
        <w:rPr>
          <w:rFonts w:ascii="Calibri" w:hAnsi="Calibri"/>
          <w:b/>
          <w:color w:val="003366"/>
          <w:sz w:val="22"/>
        </w:rPr>
        <w:t>Step 1: Calculate Total Income-Producing Period</w:t>
      </w:r>
    </w:p>
    <w:p>
      <w:pPr>
        <w:spacing w:after="40" w:before="0"/>
        <w:ind w:left="360"/>
      </w:pPr>
      <w:r>
        <w:rPr>
          <w:rFonts w:ascii="Calibri" w:hAnsi="Calibri"/>
          <w:sz w:val="22"/>
        </w:rPr>
        <w:t>Rental period: 1 Jan 2016 to 31 Dec 2024 = 3,287 days (9 years)</w:t>
      </w:r>
    </w:p>
    <w:p>
      <w:pPr>
        <w:spacing w:after="40" w:before="0"/>
        <w:ind w:left="360"/>
      </w:pPr>
      <w:r>
        <w:rPr>
          <w:rFonts w:ascii="Calibri" w:hAnsi="Calibri"/>
          <w:sz w:val="22"/>
        </w:rPr>
        <w:t>Vacant periods (between tenants): 5 months = 152 days</w:t>
      </w:r>
    </w:p>
    <w:p>
      <w:pPr>
        <w:spacing w:after="40" w:before="0"/>
        <w:ind w:left="360"/>
      </w:pPr>
      <w:r>
        <w:rPr>
          <w:rFonts w:ascii="Calibri" w:hAnsi="Calibri"/>
          <w:sz w:val="22"/>
        </w:rPr>
        <w:t>Note: Vacant periods while available for rent COUNT towards 6-year limit</w:t>
      </w:r>
    </w:p>
    <w:p>
      <w:pPr>
        <w:spacing w:after="40" w:before="0"/>
        <w:ind w:left="360"/>
      </w:pPr>
      <w:r>
        <w:rPr>
          <w:rFonts w:ascii="Calibri" w:hAnsi="Calibri"/>
          <w:sz w:val="22"/>
        </w:rPr>
        <w:t>Total income-producing period: 3,287 days (includes vacant periods)</w:t>
      </w:r>
    </w:p>
    <w:p>
      <w:pPr>
        <w:spacing w:after="40" w:before="0"/>
        <w:ind w:left="360"/>
      </w:pPr>
      <w:r>
        <w:rPr>
          <w:rFonts w:ascii="Calibri" w:hAnsi="Calibri"/>
          <w:b/>
          <w:color w:val="003366"/>
          <w:sz w:val="22"/>
        </w:rPr>
        <w:t>Step 2: Apply First Use to Produce Income Rule</w:t>
      </w:r>
    </w:p>
    <w:p>
      <w:pPr>
        <w:spacing w:after="40" w:before="0"/>
        <w:ind w:left="360"/>
      </w:pPr>
      <w:r>
        <w:rPr>
          <w:rFonts w:ascii="Calibri" w:hAnsi="Calibri"/>
          <w:sz w:val="22"/>
        </w:rPr>
        <w:t>Property was main residence then rented</w:t>
      </w:r>
    </w:p>
    <w:p>
      <w:pPr>
        <w:spacing w:after="40" w:before="0"/>
        <w:ind w:left="360"/>
      </w:pPr>
      <w:r>
        <w:rPr>
          <w:rFonts w:ascii="Calibri" w:hAnsi="Calibri"/>
          <w:sz w:val="22"/>
        </w:rPr>
        <w:t>Deemed acquisition: 1 January 2016</w:t>
      </w:r>
    </w:p>
    <w:p>
      <w:pPr>
        <w:spacing w:after="40" w:before="0"/>
        <w:ind w:left="360"/>
      </w:pPr>
      <w:r>
        <w:rPr>
          <w:rFonts w:ascii="Calibri" w:hAnsi="Calibri"/>
          <w:sz w:val="22"/>
        </w:rPr>
        <w:t>Deemed cost base: Market value at first rental</w:t>
      </w:r>
    </w:p>
    <w:p>
      <w:pPr>
        <w:spacing w:after="40" w:before="0"/>
        <w:ind w:left="360"/>
      </w:pPr>
      <w:r>
        <w:rPr>
          <w:rFonts w:ascii="Calibri" w:hAnsi="Calibri"/>
          <w:sz w:val="22"/>
        </w:rPr>
        <w:t>Estimated market value at 1 Jan 2016: $340,000</w:t>
      </w:r>
    </w:p>
    <w:p>
      <w:pPr>
        <w:spacing w:after="40" w:before="0"/>
        <w:ind w:left="360"/>
      </w:pPr>
      <w:r>
        <w:rPr>
          <w:rFonts w:ascii="Calibri" w:hAnsi="Calibri"/>
          <w:b/>
          <w:color w:val="003366"/>
          <w:sz w:val="22"/>
        </w:rPr>
        <w:t>Step 3: Calculate Non-Main-Residence Days</w:t>
      </w:r>
    </w:p>
    <w:p>
      <w:pPr>
        <w:spacing w:after="40" w:before="0"/>
        <w:ind w:left="360"/>
      </w:pPr>
      <w:r>
        <w:rPr>
          <w:rFonts w:ascii="Calibri" w:hAnsi="Calibri"/>
          <w:sz w:val="22"/>
        </w:rPr>
        <w:t>Total rental period from deemed acquisition: 3,287 days</w:t>
      </w:r>
    </w:p>
    <w:p>
      <w:pPr>
        <w:spacing w:after="40" w:before="0"/>
        <w:ind w:left="360"/>
      </w:pPr>
      <w:r>
        <w:rPr>
          <w:rFonts w:ascii="Calibri" w:hAnsi="Calibri"/>
          <w:sz w:val="22"/>
        </w:rPr>
        <w:t>Six-year exemption: 2,192 days</w:t>
      </w:r>
    </w:p>
    <w:p>
      <w:pPr>
        <w:spacing w:after="40" w:before="0"/>
        <w:ind w:left="360"/>
      </w:pPr>
      <w:r>
        <w:rPr>
          <w:rFonts w:ascii="Calibri" w:hAnsi="Calibri"/>
          <w:sz w:val="22"/>
        </w:rPr>
        <w:t>Excess beyond six years: 1,095 days (3 years)</w:t>
      </w:r>
    </w:p>
    <w:p>
      <w:pPr>
        <w:spacing w:after="40" w:before="0"/>
        <w:ind w:left="360"/>
      </w:pPr>
      <w:r>
        <w:rPr>
          <w:rFonts w:ascii="Calibri" w:hAnsi="Calibri"/>
          <w:b/>
          <w:color w:val="003366"/>
          <w:sz w:val="22"/>
        </w:rPr>
        <w:t>Step 4: Calculate Capital Gain</w:t>
      </w:r>
    </w:p>
    <w:p>
      <w:pPr>
        <w:spacing w:after="40" w:before="0"/>
        <w:ind w:left="360"/>
      </w:pPr>
      <w:r>
        <w:rPr>
          <w:rFonts w:ascii="Calibri" w:hAnsi="Calibri"/>
          <w:sz w:val="22"/>
        </w:rPr>
        <w:t>Sale Price: $520,000</w:t>
      </w:r>
    </w:p>
    <w:p>
      <w:pPr>
        <w:spacing w:after="40" w:before="0"/>
        <w:ind w:left="360"/>
      </w:pPr>
      <w:r>
        <w:rPr>
          <w:rFonts w:ascii="Calibri" w:hAnsi="Calibri"/>
          <w:b/>
          <w:sz w:val="22"/>
        </w:rPr>
        <w:t>Cost Base (from deemed acquisition):</w:t>
      </w:r>
    </w:p>
    <w:p>
      <w:pPr>
        <w:spacing w:after="40" w:before="0"/>
        <w:ind w:left="360"/>
      </w:pPr>
      <w:r>
        <w:rPr>
          <w:rFonts w:ascii="Calibri" w:hAnsi="Calibri"/>
          <w:sz w:val="22"/>
        </w:rPr>
        <w:t>Deemed Value: $340,000</w:t>
      </w:r>
    </w:p>
    <w:p>
      <w:pPr>
        <w:spacing w:after="40" w:before="0"/>
        <w:ind w:left="360"/>
      </w:pPr>
      <w:r>
        <w:rPr>
          <w:rFonts w:ascii="Calibri" w:hAnsi="Calibri"/>
          <w:sz w:val="22"/>
        </w:rPr>
        <w:t>Sale Agent Fees: $13,000</w:t>
      </w:r>
    </w:p>
    <w:p>
      <w:pPr>
        <w:spacing w:after="40" w:before="0"/>
        <w:ind w:left="360"/>
      </w:pPr>
      <w:r>
        <w:rPr>
          <w:rFonts w:ascii="Calibri" w:hAnsi="Calibri"/>
          <w:sz w:val="22"/>
        </w:rPr>
        <w:t>Sale Legal Fees: $2,000</w:t>
      </w:r>
    </w:p>
    <w:p>
      <w:pPr>
        <w:spacing w:after="40" w:before="0"/>
        <w:ind w:left="360"/>
      </w:pPr>
      <w:r>
        <w:rPr>
          <w:rFonts w:ascii="Calibri" w:hAnsi="Calibri"/>
          <w:sz w:val="22"/>
        </w:rPr>
        <w:t>Total Cost Base: $355,000</w:t>
      </w:r>
    </w:p>
    <w:p>
      <w:pPr>
        <w:spacing w:after="40" w:before="0"/>
        <w:ind w:left="360"/>
      </w:pPr>
      <w:r>
        <w:rPr>
          <w:rFonts w:ascii="Calibri" w:hAnsi="Calibri"/>
          <w:sz w:val="22"/>
        </w:rPr>
        <w:t>Capital Gain = $520,000 - $355,000 = $165,000</w:t>
      </w:r>
    </w:p>
    <w:p>
      <w:pPr>
        <w:spacing w:after="40" w:before="0"/>
        <w:ind w:left="360"/>
      </w:pPr>
      <w:r>
        <w:rPr>
          <w:rFonts w:ascii="Calibri" w:hAnsi="Calibri"/>
          <w:b/>
          <w:color w:val="003366"/>
          <w:sz w:val="22"/>
        </w:rPr>
        <w:t>Step 5: Apply Partial Exemption</w:t>
      </w:r>
    </w:p>
    <w:p>
      <w:pPr>
        <w:spacing w:after="40" w:before="0"/>
        <w:ind w:left="360"/>
      </w:pPr>
      <w:r>
        <w:rPr>
          <w:rFonts w:ascii="Calibri" w:hAnsi="Calibri"/>
          <w:sz w:val="22"/>
        </w:rPr>
        <w:t>Taxable Proportion = Non-MR Days / Total Ownership (from deemed)</w:t>
      </w:r>
    </w:p>
    <w:p>
      <w:pPr>
        <w:spacing w:after="40" w:before="0"/>
        <w:ind w:left="360"/>
      </w:pPr>
      <w:r>
        <w:rPr>
          <w:rFonts w:ascii="Calibri" w:hAnsi="Calibri"/>
          <w:sz w:val="22"/>
        </w:rPr>
        <w:t>Taxable Proportion = 1,095 / 3,287 = 33.31%</w:t>
      </w:r>
    </w:p>
    <w:p>
      <w:pPr>
        <w:spacing w:after="40" w:before="0"/>
        <w:ind w:left="360"/>
      </w:pPr>
      <w:r>
        <w:rPr>
          <w:rFonts w:ascii="Calibri" w:hAnsi="Calibri"/>
          <w:sz w:val="22"/>
        </w:rPr>
        <w:t>Taxable Capital Gain = $165,000 x 33.31% = $54,962</w:t>
      </w:r>
    </w:p>
    <w:p>
      <w:pPr>
        <w:spacing w:after="40" w:before="0"/>
        <w:ind w:left="360"/>
      </w:pPr>
      <w:r>
        <w:rPr>
          <w:rFonts w:ascii="Calibri" w:hAnsi="Calibri"/>
          <w:b/>
          <w:color w:val="003366"/>
          <w:sz w:val="22"/>
        </w:rPr>
        <w:t>Step 6: Apply 50% CGT Discount</w:t>
      </w:r>
    </w:p>
    <w:p>
      <w:pPr>
        <w:spacing w:after="40" w:before="0"/>
        <w:ind w:left="360"/>
      </w:pPr>
      <w:r>
        <w:rPr>
          <w:rFonts w:ascii="Calibri" w:hAnsi="Calibri"/>
          <w:sz w:val="22"/>
        </w:rPr>
        <w:t>Held &gt; 12 months: YES</w:t>
      </w:r>
    </w:p>
    <w:p>
      <w:pPr>
        <w:spacing w:after="40" w:before="0"/>
        <w:ind w:left="360"/>
      </w:pPr>
      <w:r>
        <w:rPr>
          <w:rFonts w:ascii="Calibri" w:hAnsi="Calibri"/>
          <w:sz w:val="22"/>
        </w:rPr>
        <w:t>Discounted Gain = $54,962 x 50% = $27,481</w:t>
      </w:r>
    </w:p>
    <w:p>
      <w:pPr>
        <w:spacing w:after="40" w:before="0"/>
        <w:ind w:left="360"/>
      </w:pPr>
      <w:r>
        <w:rPr>
          <w:rFonts w:ascii="Calibri" w:hAnsi="Calibri"/>
          <w:b/>
          <w:color w:val="006400"/>
          <w:sz w:val="22"/>
        </w:rPr>
        <w:t>RESULT: NET CAPITAL GAIN = $27,481</w:t>
      </w:r>
    </w:p>
    <w:p>
      <w:pPr>
        <w:pStyle w:val="Heading2"/>
      </w:pPr>
      <w:r>
        <w:t>Applicable Rules</w:t>
      </w:r>
    </w:p>
    <w:p>
      <w:r>
        <w:rPr>
          <w:rFonts w:ascii="Calibri" w:hAnsi="Calibri"/>
          <w:sz w:val="22"/>
        </w:rPr>
        <w:t>ITAA97 s118.145: Six-year absence rule exceeded</w:t>
      </w:r>
    </w:p>
    <w:p>
      <w:r>
        <w:rPr>
          <w:rFonts w:ascii="Calibri" w:hAnsi="Calibri"/>
          <w:sz w:val="22"/>
        </w:rPr>
        <w:t>Vacant periods while property available for rent count towards 6-year limit</w:t>
      </w:r>
    </w:p>
    <w:p>
      <w:r>
        <w:rPr>
          <w:rFonts w:ascii="Calibri" w:hAnsi="Calibri"/>
          <w:sz w:val="22"/>
        </w:rPr>
        <w:t>Only genuinely taking property off rental market stops the clock</w:t>
      </w:r>
    </w:p>
    <w:p>
      <w:r>
        <w:rPr>
          <w:rFonts w:ascii="Calibri" w:hAnsi="Calibri"/>
          <w:sz w:val="22"/>
        </w:rPr>
        <w:t>ITAA97 s118.192: First use to produce income rule</w:t>
      </w:r>
    </w:p>
    <w:p>
      <w:r>
        <w:rPr>
          <w:rFonts w:ascii="Calibri" w:hAnsi="Calibri"/>
          <w:sz w:val="22"/>
        </w:rPr>
        <w:t>50% CGT discount applies to taxable portion</w:t>
      </w:r>
    </w:p>
    <w:p>
      <w:r>
        <w:rPr>
          <w:rFonts w:ascii="Calibri" w:hAnsi="Calibri"/>
          <w:sz w:val="22"/>
        </w:rPr>
        <w:t>Rental period (9 years including vacant) exceeds 6 years by 3 years</w:t>
      </w:r>
    </w:p>
    <w:p>
      <w:pPr>
        <w:spacing w:before="120" w:after="120"/>
      </w:pPr>
      <w:r>
        <w:rPr>
          <w:color w:val="B4B4B4"/>
          <w:sz w:val="12"/>
        </w:rPr>
        <w:t>────────────────────────────────────────────────────────────────────────────────────────────────────</w:t>
      </w:r>
    </w:p>
    <w:p>
      <w:pPr>
        <w:pStyle w:val="Heading1"/>
      </w:pPr>
      <w:r>
        <w:t>Scenario 15: Four-Year Construction Rule Exceeded</w:t>
      </w:r>
    </w:p>
    <w:p>
      <w:pPr>
        <w:pStyle w:val="Heading2"/>
      </w:pPr>
      <w:r>
        <w:t>Description</w:t>
      </w:r>
    </w:p>
    <w:p>
      <w:r>
        <w:rPr>
          <w:rFonts w:ascii="Calibri" w:hAnsi="Calibri"/>
          <w:sz w:val="22"/>
        </w:rPr>
        <w:t>Brian purchases vacant land and builds his home, but construction takes 5 years due to delays. Because the 4-year construction rule is exceeded, the land can only be treated as his main residence for the 4 years immediately before the completed dwelling became his main residence.</w:t>
      </w:r>
    </w:p>
    <w:p>
      <w:pPr>
        <w:pStyle w:val="Heading2"/>
      </w:pPr>
      <w:r>
        <w:t>Key Facts</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Property</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15 Hillside Estate, Warwick QLD 4370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Land Purchase Date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 January 2018</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Land Purchase Price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$150,000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Construction Start</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 July 2018</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Construction Complete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15 December 2022</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Move In Date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 January 2023</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Construction Period</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5 years</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Sale Date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30 November 2024</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Sale Price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$680,000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Build Cost</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$320,000</w:t>
            </w:r>
          </w:p>
        </w:tc>
      </w:tr>
    </w:tbl>
    <w:p/>
    <w:p>
      <w:pPr>
        <w:pStyle w:val="Heading2"/>
      </w:pPr>
      <w:r>
        <w:t>Timeline of Events</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Date</w:t>
            </w:r>
          </w:p>
        </w:tc>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Event</w:t>
            </w:r>
          </w:p>
        </w:tc>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Details</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01 Jan 2018</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Land Purchase</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$150,000 + $4,500 stamp duty + $1,500 legal fees</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01 Jul 2018</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Construction Start</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Building commences</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15 Dec 2022</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Construction Complete</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Build cost: $320,000</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01 Jan 2023</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Move In</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Established as main residence</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30 Nov 2024</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Sale</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$680,000 (agent fees: $17,000, legal fees: $2,500)</w:t>
            </w:r>
          </w:p>
        </w:tc>
      </w:tr>
    </w:tbl>
    <w:p/>
    <w:p>
      <w:pPr>
        <w:pStyle w:val="Heading2"/>
      </w:pPr>
      <w:r>
        <w:t>CGT Calculation</w:t>
      </w:r>
    </w:p>
    <w:p>
      <w:pPr>
        <w:spacing w:after="40" w:before="0"/>
        <w:ind w:left="360"/>
      </w:pPr>
      <w:r>
        <w:rPr>
          <w:rFonts w:ascii="Calibri" w:hAnsi="Calibri"/>
          <w:b/>
          <w:color w:val="003366"/>
          <w:sz w:val="22"/>
        </w:rPr>
        <w:t>Step 1: Check 4-Year Construction Rule (s118.150)</w:t>
      </w:r>
    </w:p>
    <w:p>
      <w:pPr>
        <w:spacing w:after="40" w:before="0"/>
        <w:ind w:left="360"/>
      </w:pPr>
      <w:r>
        <w:rPr>
          <w:rFonts w:ascii="Calibri" w:hAnsi="Calibri"/>
          <w:sz w:val="22"/>
        </w:rPr>
        <w:t>Land purchase: 1 January 2018</w:t>
      </w:r>
    </w:p>
    <w:p>
      <w:pPr>
        <w:spacing w:after="40" w:before="0"/>
        <w:ind w:left="360"/>
      </w:pPr>
      <w:r>
        <w:rPr>
          <w:rFonts w:ascii="Calibri" w:hAnsi="Calibri"/>
          <w:sz w:val="22"/>
        </w:rPr>
        <w:t>Move in: 1 January 2023</w:t>
      </w:r>
    </w:p>
    <w:p>
      <w:pPr>
        <w:spacing w:after="40" w:before="0"/>
        <w:ind w:left="360"/>
      </w:pPr>
      <w:r>
        <w:rPr>
          <w:rFonts w:ascii="Calibri" w:hAnsi="Calibri"/>
          <w:sz w:val="22"/>
        </w:rPr>
        <w:t>Time from purchase to move-in: 5 years</w:t>
      </w:r>
    </w:p>
    <w:p>
      <w:pPr>
        <w:spacing w:after="40" w:before="0"/>
        <w:ind w:left="360"/>
      </w:pPr>
      <w:r>
        <w:rPr>
          <w:rFonts w:ascii="Calibri" w:hAnsi="Calibri"/>
          <w:sz w:val="22"/>
        </w:rPr>
        <w:t>4-year rule: EXCEEDED by 1 year</w:t>
      </w:r>
    </w:p>
    <w:p>
      <w:pPr>
        <w:spacing w:after="40" w:before="0"/>
        <w:ind w:left="360"/>
      </w:pPr>
      <w:r>
        <w:rPr>
          <w:rFonts w:ascii="Calibri" w:hAnsi="Calibri"/>
          <w:b/>
          <w:color w:val="003366"/>
          <w:sz w:val="22"/>
        </w:rPr>
        <w:t>Step 2: Apply 4-Year Backdating</w:t>
      </w:r>
    </w:p>
    <w:p>
      <w:pPr>
        <w:spacing w:after="40" w:before="0"/>
        <w:ind w:left="360"/>
      </w:pPr>
      <w:r>
        <w:rPr>
          <w:rFonts w:ascii="Calibri" w:hAnsi="Calibri"/>
          <w:sz w:val="22"/>
        </w:rPr>
        <w:t>Can only treat land as main residence for 4 years before move-in</w:t>
      </w:r>
    </w:p>
    <w:p>
      <w:pPr>
        <w:spacing w:after="40" w:before="0"/>
        <w:ind w:left="360"/>
      </w:pPr>
      <w:r>
        <w:rPr>
          <w:rFonts w:ascii="Calibri" w:hAnsi="Calibri"/>
          <w:sz w:val="22"/>
        </w:rPr>
        <w:t>4 years before move-in: 1 January 2019</w:t>
      </w:r>
    </w:p>
    <w:p>
      <w:pPr>
        <w:spacing w:after="40" w:before="0"/>
        <w:ind w:left="360"/>
      </w:pPr>
      <w:r>
        <w:rPr>
          <w:rFonts w:ascii="Calibri" w:hAnsi="Calibri"/>
          <w:sz w:val="22"/>
        </w:rPr>
        <w:t>Land treated as MR from: 1 January 2019</w:t>
      </w:r>
    </w:p>
    <w:p>
      <w:pPr>
        <w:spacing w:after="40" w:before="0"/>
        <w:ind w:left="360"/>
      </w:pPr>
      <w:r>
        <w:rPr>
          <w:rFonts w:ascii="Calibri" w:hAnsi="Calibri"/>
          <w:sz w:val="22"/>
        </w:rPr>
        <w:t>Land NOT treated as MR: 1 January 2018 to 31 December 2018 (1 year)</w:t>
      </w:r>
    </w:p>
    <w:p>
      <w:pPr>
        <w:spacing w:after="40" w:before="0"/>
        <w:ind w:left="360"/>
      </w:pPr>
      <w:r>
        <w:rPr>
          <w:rFonts w:ascii="Calibri" w:hAnsi="Calibri"/>
          <w:b/>
          <w:color w:val="003366"/>
          <w:sz w:val="22"/>
        </w:rPr>
        <w:t>Step 3: Calculate Non-Main-Residence Days</w:t>
      </w:r>
    </w:p>
    <w:p>
      <w:pPr>
        <w:spacing w:after="40" w:before="0"/>
        <w:ind w:left="360"/>
      </w:pPr>
      <w:r>
        <w:rPr>
          <w:rFonts w:ascii="Calibri" w:hAnsi="Calibri"/>
          <w:sz w:val="22"/>
        </w:rPr>
        <w:t>Total ownership: 1 Jan 2018 to 30 Nov 2024 = 2,525 days</w:t>
      </w:r>
    </w:p>
    <w:p>
      <w:pPr>
        <w:spacing w:after="40" w:before="0"/>
        <w:ind w:left="360"/>
      </w:pPr>
      <w:r>
        <w:rPr>
          <w:rFonts w:ascii="Calibri" w:hAnsi="Calibri"/>
          <w:sz w:val="22"/>
        </w:rPr>
        <w:t>Non-MR period: 1 Jan 2018 to 31 Dec 2018 = 365 days</w:t>
      </w:r>
    </w:p>
    <w:p>
      <w:pPr>
        <w:spacing w:after="40" w:before="0"/>
        <w:ind w:left="360"/>
      </w:pPr>
      <w:r>
        <w:rPr>
          <w:rFonts w:ascii="Calibri" w:hAnsi="Calibri"/>
          <w:b/>
          <w:color w:val="003366"/>
          <w:sz w:val="22"/>
        </w:rPr>
        <w:t>Step 4: Calculate Capital Gain</w:t>
      </w:r>
    </w:p>
    <w:p>
      <w:pPr>
        <w:spacing w:after="40" w:before="0"/>
        <w:ind w:left="360"/>
      </w:pPr>
      <w:r>
        <w:rPr>
          <w:rFonts w:ascii="Calibri" w:hAnsi="Calibri"/>
          <w:sz w:val="22"/>
        </w:rPr>
        <w:t>Sale Price: $680,000</w:t>
      </w:r>
    </w:p>
    <w:p>
      <w:pPr>
        <w:spacing w:after="40" w:before="0"/>
        <w:ind w:left="360"/>
      </w:pPr>
      <w:r>
        <w:rPr>
          <w:rFonts w:ascii="Calibri" w:hAnsi="Calibri"/>
          <w:b/>
          <w:sz w:val="22"/>
        </w:rPr>
        <w:t>Cost Base:</w:t>
      </w:r>
    </w:p>
    <w:p>
      <w:pPr>
        <w:spacing w:after="40" w:before="0"/>
        <w:ind w:left="360"/>
      </w:pPr>
      <w:r>
        <w:rPr>
          <w:rFonts w:ascii="Calibri" w:hAnsi="Calibri"/>
          <w:sz w:val="22"/>
        </w:rPr>
        <w:t>Land Purchase: $150,000</w:t>
      </w:r>
    </w:p>
    <w:p>
      <w:pPr>
        <w:spacing w:after="40" w:before="0"/>
        <w:ind w:left="360"/>
      </w:pPr>
      <w:r>
        <w:rPr>
          <w:rFonts w:ascii="Calibri" w:hAnsi="Calibri"/>
          <w:sz w:val="22"/>
        </w:rPr>
        <w:t>Stamp Duty: $4,500</w:t>
      </w:r>
    </w:p>
    <w:p>
      <w:pPr>
        <w:spacing w:after="40" w:before="0"/>
        <w:ind w:left="360"/>
      </w:pPr>
      <w:r>
        <w:rPr>
          <w:rFonts w:ascii="Calibri" w:hAnsi="Calibri"/>
          <w:sz w:val="22"/>
        </w:rPr>
        <w:t>Legal Fees: $1,500</w:t>
      </w:r>
    </w:p>
    <w:p>
      <w:pPr>
        <w:spacing w:after="40" w:before="0"/>
        <w:ind w:left="360"/>
      </w:pPr>
      <w:r>
        <w:rPr>
          <w:rFonts w:ascii="Calibri" w:hAnsi="Calibri"/>
          <w:sz w:val="22"/>
        </w:rPr>
        <w:t>Build Cost: $320,000</w:t>
      </w:r>
    </w:p>
    <w:p>
      <w:pPr>
        <w:spacing w:after="40" w:before="0"/>
        <w:ind w:left="360"/>
      </w:pPr>
      <w:r>
        <w:rPr>
          <w:rFonts w:ascii="Calibri" w:hAnsi="Calibri"/>
          <w:sz w:val="22"/>
        </w:rPr>
        <w:t>Sale Agent Fees: $17,000</w:t>
      </w:r>
    </w:p>
    <w:p>
      <w:pPr>
        <w:spacing w:after="40" w:before="0"/>
        <w:ind w:left="360"/>
      </w:pPr>
      <w:r>
        <w:rPr>
          <w:rFonts w:ascii="Calibri" w:hAnsi="Calibri"/>
          <w:sz w:val="22"/>
        </w:rPr>
        <w:t>Sale Legal Fees: $2,500</w:t>
      </w:r>
    </w:p>
    <w:p>
      <w:pPr>
        <w:spacing w:after="40" w:before="0"/>
        <w:ind w:left="360"/>
      </w:pPr>
      <w:r>
        <w:rPr>
          <w:rFonts w:ascii="Calibri" w:hAnsi="Calibri"/>
          <w:sz w:val="22"/>
        </w:rPr>
        <w:t>Total Cost Base: $495,500</w:t>
      </w:r>
    </w:p>
    <w:p>
      <w:pPr>
        <w:spacing w:after="40" w:before="0"/>
        <w:ind w:left="360"/>
      </w:pPr>
      <w:r>
        <w:rPr>
          <w:rFonts w:ascii="Calibri" w:hAnsi="Calibri"/>
          <w:sz w:val="22"/>
        </w:rPr>
        <w:t>Capital Gain = $680,000 - $495,500 = $184,500</w:t>
      </w:r>
    </w:p>
    <w:p>
      <w:pPr>
        <w:spacing w:after="40" w:before="0"/>
        <w:ind w:left="360"/>
      </w:pPr>
      <w:r>
        <w:rPr>
          <w:rFonts w:ascii="Calibri" w:hAnsi="Calibri"/>
          <w:b/>
          <w:color w:val="003366"/>
          <w:sz w:val="22"/>
        </w:rPr>
        <w:t>Step 5: Apply Partial Exemption</w:t>
      </w:r>
    </w:p>
    <w:p>
      <w:pPr>
        <w:spacing w:after="40" w:before="0"/>
        <w:ind w:left="360"/>
      </w:pPr>
      <w:r>
        <w:rPr>
          <w:rFonts w:ascii="Calibri" w:hAnsi="Calibri"/>
          <w:sz w:val="22"/>
        </w:rPr>
        <w:t>Taxable Proportion = Non-MR Days / Total Ownership Days</w:t>
      </w:r>
    </w:p>
    <w:p>
      <w:pPr>
        <w:spacing w:after="40" w:before="0"/>
        <w:ind w:left="360"/>
      </w:pPr>
      <w:r>
        <w:rPr>
          <w:rFonts w:ascii="Calibri" w:hAnsi="Calibri"/>
          <w:sz w:val="22"/>
        </w:rPr>
        <w:t>Taxable Proportion = 365 / 2,525 = 14.46%</w:t>
      </w:r>
    </w:p>
    <w:p>
      <w:pPr>
        <w:spacing w:after="40" w:before="0"/>
        <w:ind w:left="360"/>
      </w:pPr>
      <w:r>
        <w:rPr>
          <w:rFonts w:ascii="Calibri" w:hAnsi="Calibri"/>
          <w:sz w:val="22"/>
        </w:rPr>
        <w:t>Taxable Capital Gain = $184,500 x 14.46% = $26,679convergence</w:t>
      </w:r>
    </w:p>
    <w:p>
      <w:pPr>
        <w:spacing w:after="40" w:before="0"/>
        <w:ind w:left="360"/>
      </w:pPr>
      <w:r>
        <w:rPr>
          <w:rFonts w:ascii="Calibri" w:hAnsi="Calibri"/>
          <w:b/>
          <w:color w:val="003366"/>
          <w:sz w:val="22"/>
        </w:rPr>
        <w:t>Step 6: Apply 50% CGT Discount</w:t>
      </w:r>
    </w:p>
    <w:p>
      <w:pPr>
        <w:spacing w:after="40" w:before="0"/>
        <w:ind w:left="360"/>
      </w:pPr>
      <w:r>
        <w:rPr>
          <w:rFonts w:ascii="Calibri" w:hAnsi="Calibri"/>
          <w:sz w:val="22"/>
        </w:rPr>
        <w:t>Held &gt; 12 months: YES</w:t>
      </w:r>
    </w:p>
    <w:p>
      <w:pPr>
        <w:spacing w:after="40" w:before="0"/>
        <w:ind w:left="360"/>
      </w:pPr>
      <w:r>
        <w:rPr>
          <w:rFonts w:ascii="Calibri" w:hAnsi="Calibri"/>
          <w:sz w:val="22"/>
        </w:rPr>
        <w:t>Discounted Gain = $26,679 x 50% = $13,340</w:t>
      </w:r>
    </w:p>
    <w:p>
      <w:pPr>
        <w:spacing w:after="40" w:before="0"/>
        <w:ind w:left="360"/>
      </w:pPr>
      <w:r>
        <w:rPr>
          <w:rFonts w:ascii="Calibri" w:hAnsi="Calibri"/>
          <w:b/>
          <w:color w:val="006400"/>
          <w:sz w:val="22"/>
        </w:rPr>
        <w:t>RESULT: NET CAPITAL GAIN = $13,340</w:t>
      </w:r>
    </w:p>
    <w:p>
      <w:pPr>
        <w:pStyle w:val="Heading2"/>
      </w:pPr>
      <w:r>
        <w:t>Applicable Rules</w:t>
      </w:r>
    </w:p>
    <w:p>
      <w:r>
        <w:rPr>
          <w:rFonts w:ascii="Calibri" w:hAnsi="Calibri"/>
          <w:sz w:val="22"/>
        </w:rPr>
        <w:t>ITAA97 s118.150: 4-year construction rule</w:t>
      </w:r>
    </w:p>
    <w:p>
      <w:r>
        <w:rPr>
          <w:rFonts w:ascii="Calibri" w:hAnsi="Calibri"/>
          <w:sz w:val="22"/>
        </w:rPr>
        <w:t>If construction exceeds 4 years, MRE only applies for 4 years before completion</w:t>
      </w:r>
    </w:p>
    <w:p>
      <w:r>
        <w:rPr>
          <w:rFonts w:ascii="Calibri" w:hAnsi="Calibri"/>
          <w:sz w:val="22"/>
        </w:rPr>
        <w:t>Land was not MR for first year (excess beyond 4-year limit)</w:t>
      </w:r>
    </w:p>
    <w:p>
      <w:r>
        <w:rPr>
          <w:rFonts w:ascii="Calibri" w:hAnsi="Calibri"/>
          <w:sz w:val="22"/>
        </w:rPr>
        <w:t>ITAA97 s118.185: Partial exemption applies</w:t>
      </w:r>
    </w:p>
    <w:p>
      <w:r>
        <w:rPr>
          <w:rFonts w:ascii="Calibri" w:hAnsi="Calibri"/>
          <w:sz w:val="22"/>
        </w:rPr>
        <w:t>14.46% of gain is taxable (first year of land ownership)</w:t>
      </w:r>
    </w:p>
    <w:p>
      <w:r>
        <w:rPr>
          <w:rFonts w:ascii="Calibri" w:hAnsi="Calibri"/>
          <w:sz w:val="22"/>
        </w:rPr>
        <w:t>ITAA97 s115.25: 50% CGT discount applies</w:t>
      </w:r>
    </w:p>
    <w:p>
      <w:pPr>
        <w:spacing w:before="120" w:after="120"/>
      </w:pPr>
      <w:r>
        <w:rPr>
          <w:color w:val="B4B4B4"/>
          <w:sz w:val="12"/>
        </w:rPr>
        <w:t>────────────────────────────────────────────────────────────────────────────────────────────────────</w:t>
      </w:r>
    </w:p>
    <w:p>
      <w:pPr>
        <w:pStyle w:val="Heading1"/>
      </w:pPr>
      <w:r>
        <w:t>Scenario 16: Subdivision and Separate Land Sale</w:t>
      </w:r>
    </w:p>
    <w:p>
      <w:pPr>
        <w:pStyle w:val="Heading2"/>
      </w:pPr>
      <w:r>
        <w:t>Description</w:t>
      </w:r>
    </w:p>
    <w:p>
      <w:r>
        <w:rPr>
          <w:rFonts w:ascii="Calibri" w:hAnsi="Calibri"/>
          <w:sz w:val="22"/>
        </w:rPr>
        <w:t>Karen owns a large block with her main residence. She subdivides and sells the vacant block separately from the dwelling. Because the vacant block is sold separately, it is NOT eligible for the main residence exemption, even though the dwelling block remains exempt.</w:t>
      </w:r>
    </w:p>
    <w:p>
      <w:pPr>
        <w:pStyle w:val="Heading2"/>
      </w:pPr>
      <w:r>
        <w:t>Key Facts</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Original Property</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100 Farmview Road, Kingaroy QLD 4610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Purchase Date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 March 2010</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Purchase Price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$320,000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Total Land Size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1.5 hectares (originally)</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Subdivision Date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1 June 2022</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Lot 1 (Dwelling)</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0.8 hectares</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Lot 2 (Vacant)</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0.7 hectares</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Lot 2 Sale Date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15 September 2024</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Lot 2 Sale Price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$180,000</w:t>
            </w:r>
          </w:p>
        </w:tc>
      </w:tr>
    </w:tbl>
    <w:p/>
    <w:p>
      <w:pPr>
        <w:pStyle w:val="Heading2"/>
      </w:pPr>
      <w:r>
        <w:t>Timeline of Events</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Date</w:t>
            </w:r>
          </w:p>
        </w:tc>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Event</w:t>
            </w:r>
          </w:p>
        </w:tc>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Details</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01 Mar 2010</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Purchase</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$320,000 + $11,200 stamp duty + $2,500 legal fees</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01 Mar 2010</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Move In</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Established as main residence</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01 Jun 2022</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Subdivision</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Property divided into Lot 1 and Lot 2</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15 Sep 2024</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Lot 2 Sale</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Vacant block sold for $180,000</w:t>
            </w:r>
          </w:p>
        </w:tc>
      </w:tr>
    </w:tbl>
    <w:p/>
    <w:p>
      <w:pPr>
        <w:pStyle w:val="Heading2"/>
      </w:pPr>
      <w:r>
        <w:t>CGT Calculation - Lot 2 (Vacant Block)</w:t>
      </w:r>
    </w:p>
    <w:p>
      <w:pPr>
        <w:spacing w:after="40" w:before="0"/>
        <w:ind w:left="360"/>
      </w:pPr>
      <w:r>
        <w:rPr>
          <w:rFonts w:ascii="Calibri" w:hAnsi="Calibri"/>
          <w:b/>
          <w:color w:val="003366"/>
          <w:sz w:val="22"/>
        </w:rPr>
        <w:t>Step 1: Determine CGT Status of Subdivided Block</w:t>
      </w:r>
    </w:p>
    <w:p>
      <w:pPr>
        <w:spacing w:after="40" w:before="0"/>
        <w:ind w:left="360"/>
      </w:pPr>
      <w:r>
        <w:rPr>
          <w:rFonts w:ascii="Calibri" w:hAnsi="Calibri"/>
          <w:sz w:val="22"/>
        </w:rPr>
        <w:t>Vacant block sold separately from dwelling: YES</w:t>
      </w:r>
    </w:p>
    <w:p>
      <w:pPr>
        <w:spacing w:after="40" w:before="0"/>
        <w:ind w:left="360"/>
      </w:pPr>
      <w:r>
        <w:rPr>
          <w:rFonts w:ascii="Calibri" w:hAnsi="Calibri"/>
          <w:sz w:val="22"/>
        </w:rPr>
        <w:t>ITAA97 s118.165: Vacant land NOT exempt when sold separately</w:t>
      </w:r>
    </w:p>
    <w:p>
      <w:pPr>
        <w:spacing w:after="40" w:before="0"/>
        <w:ind w:left="360"/>
      </w:pPr>
      <w:r>
        <w:rPr>
          <w:rFonts w:ascii="Calibri" w:hAnsi="Calibri"/>
          <w:b/>
          <w:color w:val="003366"/>
          <w:sz w:val="22"/>
        </w:rPr>
        <w:t>Step 2: Allocate Original Cost Base</w:t>
      </w:r>
    </w:p>
    <w:p>
      <w:pPr>
        <w:spacing w:after="40" w:before="0"/>
        <w:ind w:left="360"/>
      </w:pPr>
      <w:r>
        <w:rPr>
          <w:rFonts w:ascii="Calibri" w:hAnsi="Calibri"/>
          <w:sz w:val="22"/>
        </w:rPr>
        <w:t>Original purchase: $320,000</w:t>
      </w:r>
    </w:p>
    <w:p>
      <w:pPr>
        <w:spacing w:after="40" w:before="0"/>
        <w:ind w:left="360"/>
      </w:pPr>
      <w:r>
        <w:rPr>
          <w:rFonts w:ascii="Calibri" w:hAnsi="Calibri"/>
          <w:sz w:val="22"/>
        </w:rPr>
        <w:t>Lot 2 proportion: 0.7ha / 1.5ha = 46.67%</w:t>
      </w:r>
    </w:p>
    <w:p>
      <w:pPr>
        <w:spacing w:after="40" w:before="0"/>
        <w:ind w:left="360"/>
      </w:pPr>
      <w:r>
        <w:rPr>
          <w:rFonts w:ascii="Calibri" w:hAnsi="Calibri"/>
          <w:sz w:val="22"/>
        </w:rPr>
        <w:t>Lot 2 allocated cost: $320,000 x 46.67% = $149,344</w:t>
      </w:r>
    </w:p>
    <w:p>
      <w:pPr>
        <w:spacing w:after="40" w:before="0"/>
        <w:ind w:left="360"/>
      </w:pPr>
      <w:r>
        <w:rPr>
          <w:rFonts w:ascii="Calibri" w:hAnsi="Calibri"/>
          <w:b/>
          <w:color w:val="003366"/>
          <w:sz w:val="22"/>
        </w:rPr>
        <w:t>Step 3: Allocate Acquisition Costs</w:t>
      </w:r>
    </w:p>
    <w:p>
      <w:pPr>
        <w:spacing w:after="40" w:before="0"/>
        <w:ind w:left="360"/>
      </w:pPr>
      <w:r>
        <w:rPr>
          <w:rFonts w:ascii="Calibri" w:hAnsi="Calibri"/>
          <w:sz w:val="22"/>
        </w:rPr>
        <w:t>Stamp Duty: $11,200 x 46.67% = $5,227</w:t>
      </w:r>
    </w:p>
    <w:p>
      <w:pPr>
        <w:spacing w:after="40" w:before="0"/>
        <w:ind w:left="360"/>
      </w:pPr>
      <w:r>
        <w:rPr>
          <w:rFonts w:ascii="Calibri" w:hAnsi="Calibri"/>
          <w:sz w:val="22"/>
        </w:rPr>
        <w:t>Legal Fees: $2,500 x 46.67% = $1,167</w:t>
      </w:r>
    </w:p>
    <w:p>
      <w:pPr>
        <w:spacing w:after="40" w:before="0"/>
        <w:ind w:left="360"/>
      </w:pPr>
      <w:r>
        <w:rPr>
          <w:rFonts w:ascii="Calibri" w:hAnsi="Calibri"/>
          <w:sz w:val="22"/>
        </w:rPr>
        <w:t>Subdivision costs (2022): $8,000 (100% to Lot 2)</w:t>
      </w:r>
    </w:p>
    <w:p>
      <w:pPr>
        <w:spacing w:after="40" w:before="0"/>
        <w:ind w:left="360"/>
      </w:pPr>
      <w:r>
        <w:rPr>
          <w:rFonts w:ascii="Calibri" w:hAnsi="Calibri"/>
          <w:b/>
          <w:color w:val="003366"/>
          <w:sz w:val="22"/>
        </w:rPr>
        <w:t>Step 4: Calculate Capital Gain</w:t>
      </w:r>
    </w:p>
    <w:p>
      <w:pPr>
        <w:spacing w:after="40" w:before="0"/>
        <w:ind w:left="360"/>
      </w:pPr>
      <w:r>
        <w:rPr>
          <w:rFonts w:ascii="Calibri" w:hAnsi="Calibri"/>
          <w:sz w:val="22"/>
        </w:rPr>
        <w:t>Sale Price: $180,000</w:t>
      </w:r>
    </w:p>
    <w:p>
      <w:pPr>
        <w:spacing w:after="40" w:before="0"/>
        <w:ind w:left="360"/>
      </w:pPr>
      <w:r>
        <w:rPr>
          <w:rFonts w:ascii="Calibri" w:hAnsi="Calibri"/>
          <w:b/>
          <w:sz w:val="22"/>
        </w:rPr>
        <w:t>Cost Base:</w:t>
      </w:r>
    </w:p>
    <w:p>
      <w:pPr>
        <w:spacing w:after="40" w:before="0"/>
        <w:ind w:left="360"/>
      </w:pPr>
      <w:r>
        <w:rPr>
          <w:rFonts w:ascii="Calibri" w:hAnsi="Calibri"/>
          <w:sz w:val="22"/>
        </w:rPr>
        <w:t>Allocated Purchase: $149,344</w:t>
      </w:r>
    </w:p>
    <w:p>
      <w:pPr>
        <w:spacing w:after="40" w:before="0"/>
        <w:ind w:left="360"/>
      </w:pPr>
      <w:r>
        <w:rPr>
          <w:rFonts w:ascii="Calibri" w:hAnsi="Calibri"/>
          <w:sz w:val="22"/>
        </w:rPr>
        <w:t>Allocated Stamp Duty: $5,227</w:t>
      </w:r>
    </w:p>
    <w:p>
      <w:pPr>
        <w:spacing w:after="40" w:before="0"/>
        <w:ind w:left="360"/>
      </w:pPr>
      <w:r>
        <w:rPr>
          <w:rFonts w:ascii="Calibri" w:hAnsi="Calibri"/>
          <w:sz w:val="22"/>
        </w:rPr>
        <w:t>Allocated Legal Fees: $1,167</w:t>
      </w:r>
    </w:p>
    <w:p>
      <w:pPr>
        <w:spacing w:after="40" w:before="0"/>
        <w:ind w:left="360"/>
      </w:pPr>
      <w:r>
        <w:rPr>
          <w:rFonts w:ascii="Calibri" w:hAnsi="Calibri"/>
          <w:sz w:val="22"/>
        </w:rPr>
        <w:t>Subdivision Costs: $8,000</w:t>
      </w:r>
    </w:p>
    <w:p>
      <w:pPr>
        <w:spacing w:after="40" w:before="0"/>
        <w:ind w:left="360"/>
      </w:pPr>
      <w:r>
        <w:rPr>
          <w:rFonts w:ascii="Calibri" w:hAnsi="Calibri"/>
          <w:sz w:val="22"/>
        </w:rPr>
        <w:t>Sale Agent Fees: $4,500</w:t>
      </w:r>
    </w:p>
    <w:p>
      <w:pPr>
        <w:spacing w:after="40" w:before="0"/>
        <w:ind w:left="360"/>
      </w:pPr>
      <w:r>
        <w:rPr>
          <w:rFonts w:ascii="Calibri" w:hAnsi="Calibri"/>
          <w:sz w:val="22"/>
        </w:rPr>
        <w:t>Sale Legal Fees: $1,200</w:t>
      </w:r>
    </w:p>
    <w:p>
      <w:pPr>
        <w:spacing w:after="40" w:before="0"/>
        <w:ind w:left="360"/>
      </w:pPr>
      <w:r>
        <w:rPr>
          <w:rFonts w:ascii="Calibri" w:hAnsi="Calibri"/>
          <w:sz w:val="22"/>
        </w:rPr>
        <w:t>Total Cost Base: $169,438</w:t>
      </w:r>
    </w:p>
    <w:p>
      <w:pPr>
        <w:spacing w:after="40" w:before="0"/>
        <w:ind w:left="360"/>
      </w:pPr>
      <w:r>
        <w:rPr>
          <w:rFonts w:ascii="Calibri" w:hAnsi="Calibri"/>
          <w:sz w:val="22"/>
        </w:rPr>
        <w:t>Capital Gain = $180,000 - $169,438 = $10,562</w:t>
      </w:r>
    </w:p>
    <w:p>
      <w:pPr>
        <w:spacing w:after="40" w:before="0"/>
        <w:ind w:left="360"/>
      </w:pPr>
      <w:r>
        <w:rPr>
          <w:rFonts w:ascii="Calibri" w:hAnsi="Calibri"/>
          <w:b/>
          <w:color w:val="003366"/>
          <w:sz w:val="22"/>
        </w:rPr>
        <w:t>Step 5: Apply Main Residence Exemption</w:t>
      </w:r>
    </w:p>
    <w:p>
      <w:pPr>
        <w:spacing w:after="40" w:before="0"/>
        <w:ind w:left="360"/>
      </w:pPr>
      <w:r>
        <w:rPr>
          <w:rFonts w:ascii="Calibri" w:hAnsi="Calibri"/>
          <w:sz w:val="22"/>
        </w:rPr>
        <w:t>Vacant block sold separately from dwelling</w:t>
      </w:r>
    </w:p>
    <w:p>
      <w:pPr>
        <w:spacing w:after="40" w:before="0"/>
        <w:ind w:left="360"/>
      </w:pPr>
      <w:r>
        <w:rPr>
          <w:rFonts w:ascii="Calibri" w:hAnsi="Calibri"/>
          <w:sz w:val="22"/>
        </w:rPr>
        <w:t>MRE does NOT apply to Lot 2</w:t>
      </w:r>
    </w:p>
    <w:p>
      <w:pPr>
        <w:spacing w:after="40" w:before="0"/>
        <w:ind w:left="360"/>
      </w:pPr>
      <w:r>
        <w:rPr>
          <w:rFonts w:ascii="Calibri" w:hAnsi="Calibri"/>
          <w:b/>
          <w:color w:val="003366"/>
          <w:sz w:val="22"/>
        </w:rPr>
        <w:t>Step 6: Apply 50% CGT Discount</w:t>
      </w:r>
    </w:p>
    <w:p>
      <w:pPr>
        <w:spacing w:after="40" w:before="0"/>
        <w:ind w:left="360"/>
      </w:pPr>
      <w:r>
        <w:rPr>
          <w:rFonts w:ascii="Calibri" w:hAnsi="Calibri"/>
          <w:sz w:val="22"/>
        </w:rPr>
        <w:t>Held &gt; 12 months: YES</w:t>
      </w:r>
    </w:p>
    <w:p>
      <w:pPr>
        <w:spacing w:after="40" w:before="0"/>
        <w:ind w:left="360"/>
      </w:pPr>
      <w:r>
        <w:rPr>
          <w:rFonts w:ascii="Calibri" w:hAnsi="Calibri"/>
          <w:sz w:val="22"/>
        </w:rPr>
        <w:t>Discounted Gain = $10,562 x 50% = $5,281</w:t>
      </w:r>
    </w:p>
    <w:p>
      <w:pPr>
        <w:spacing w:after="40" w:before="0"/>
        <w:ind w:left="360"/>
      </w:pPr>
      <w:r>
        <w:rPr>
          <w:rFonts w:ascii="Calibri" w:hAnsi="Calibri"/>
          <w:b/>
          <w:color w:val="006400"/>
          <w:sz w:val="22"/>
        </w:rPr>
        <w:t>RESULT: NET CAPITAL GAIN (Lot 2) = $5,281</w:t>
      </w:r>
    </w:p>
    <w:p>
      <w:pPr>
        <w:spacing w:after="40" w:before="0"/>
        <w:ind w:left="360"/>
      </w:pPr>
      <w:r>
        <w:rPr>
          <w:rFonts w:ascii="Calibri" w:hAnsi="Calibri"/>
          <w:sz w:val="22"/>
        </w:rPr>
        <w:t>Note: Lot 1 (Dwelling Block)</w:t>
      </w:r>
    </w:p>
    <w:p>
      <w:pPr>
        <w:spacing w:after="40" w:before="0"/>
        <w:ind w:left="360"/>
      </w:pPr>
      <w:r>
        <w:rPr>
          <w:rFonts w:ascii="Calibri" w:hAnsi="Calibri"/>
          <w:sz w:val="22"/>
        </w:rPr>
        <w:t>If Lot 1 sold, full MRE applies (lived in entire period)</w:t>
      </w:r>
    </w:p>
    <w:p>
      <w:pPr>
        <w:spacing w:after="40" w:before="0"/>
        <w:ind w:left="360"/>
      </w:pPr>
      <w:r>
        <w:rPr>
          <w:rFonts w:ascii="Calibri" w:hAnsi="Calibri"/>
          <w:sz w:val="22"/>
        </w:rPr>
        <w:t>Lot 1 would have no CGT liability</w:t>
      </w:r>
    </w:p>
    <w:p>
      <w:pPr>
        <w:pStyle w:val="Heading2"/>
      </w:pPr>
      <w:r>
        <w:t>Applicable Rules</w:t>
      </w:r>
    </w:p>
    <w:p>
      <w:r>
        <w:rPr>
          <w:rFonts w:ascii="Calibri" w:hAnsi="Calibri"/>
          <w:sz w:val="22"/>
        </w:rPr>
        <w:t>ITAA97 s118.165: Subdivided vacant land NOT exempt when sold separately</w:t>
      </w:r>
    </w:p>
    <w:p>
      <w:r>
        <w:rPr>
          <w:rFonts w:ascii="Calibri" w:hAnsi="Calibri"/>
          <w:sz w:val="22"/>
        </w:rPr>
        <w:t>Vacant block is treated as separate CGT asset from subdivision date</w:t>
      </w:r>
    </w:p>
    <w:p>
      <w:r>
        <w:rPr>
          <w:rFonts w:ascii="Calibri" w:hAnsi="Calibri"/>
          <w:sz w:val="22"/>
        </w:rPr>
        <w:t>Original cost base must be apportioned between lots</w:t>
      </w:r>
    </w:p>
    <w:p>
      <w:r>
        <w:rPr>
          <w:rFonts w:ascii="Calibri" w:hAnsi="Calibri"/>
          <w:sz w:val="22"/>
        </w:rPr>
        <w:t>If sold together with dwelling, full MRE would apply to both lots</w:t>
      </w:r>
    </w:p>
    <w:p>
      <w:r>
        <w:rPr>
          <w:rFonts w:ascii="Calibri" w:hAnsi="Calibri"/>
          <w:sz w:val="22"/>
        </w:rPr>
        <w:t>ITAA97 s115.25: 50% CGT discount applies to vacant block</w:t>
      </w:r>
    </w:p>
    <w:p>
      <w:pPr>
        <w:spacing w:before="120" w:after="120"/>
      </w:pPr>
      <w:r>
        <w:rPr>
          <w:color w:val="B4B4B4"/>
          <w:sz w:val="12"/>
        </w:rPr>
        <w:t>────────────────────────────────────────────────────────────────────────────────────────────────────</w:t>
      </w:r>
    </w:p>
    <w:p>
      <w:pPr>
        <w:pStyle w:val="Heading1"/>
      </w:pPr>
      <w:r>
        <w:t>Scenario 17: Deceased Estate with COVID Extension</w:t>
      </w:r>
    </w:p>
    <w:p>
      <w:pPr>
        <w:pStyle w:val="Heading2"/>
      </w:pPr>
      <w:r>
        <w:t>Description</w:t>
      </w:r>
    </w:p>
    <w:p>
      <w:r>
        <w:rPr>
          <w:rFonts w:ascii="Calibri" w:hAnsi="Calibri"/>
          <w:sz w:val="22"/>
        </w:rPr>
        <w:t>Peter's mother passed away in March 2020. Due to COVID-19 restrictions on real estate activities, he was unable to sell the property within 2 years. The ATO provides automatic extensions for delays caused by COVID-19 government restrictions.</w:t>
      </w:r>
    </w:p>
    <w:p>
      <w:pPr>
        <w:pStyle w:val="Heading2"/>
      </w:pPr>
      <w:r>
        <w:t>Key Facts</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Property</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28 Memorial Avenue, Dalby QLD 4405</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Mother's Purchase Date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 January 2005</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Death Date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15 March 2020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Market Value at Death</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$320,000</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COVID Restrictions</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March 2020 - December 2021 (22 months)</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Sale Date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 August 2023</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Sale Price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$380,000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Days Since Death</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1,234 days (3.4 years)</w:t>
            </w:r>
          </w:p>
        </w:tc>
      </w:tr>
    </w:tbl>
    <w:p/>
    <w:p>
      <w:pPr>
        <w:pStyle w:val="Heading2"/>
      </w:pPr>
      <w:r>
        <w:t>Timeline of Events</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Date</w:t>
            </w:r>
          </w:p>
        </w:tc>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Event</w:t>
            </w:r>
          </w:p>
        </w:tc>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Details</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01 Jan 2005</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Mother's Purchase</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Property was mother's main residence</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15 Mar 2020</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Death</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Mother passes. Market value: $320,000</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01 Jun 2020</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Transfer</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Peter receives property as beneficiary</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Mar 2020 - Dec 2021</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COVID Restrictions</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Real estate activities restricted</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01 Aug 2023</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Sale</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$380,000 (agent fees: $9,500, legal fees: $1,800)</w:t>
            </w:r>
          </w:p>
        </w:tc>
      </w:tr>
    </w:tbl>
    <w:p/>
    <w:p>
      <w:pPr>
        <w:pStyle w:val="Heading2"/>
      </w:pPr>
      <w:r>
        <w:t>CGT Calculation</w:t>
      </w:r>
    </w:p>
    <w:p>
      <w:pPr>
        <w:spacing w:after="40" w:before="0"/>
        <w:ind w:left="360"/>
      </w:pPr>
      <w:r>
        <w:rPr>
          <w:rFonts w:ascii="Calibri" w:hAnsi="Calibri"/>
          <w:b/>
          <w:color w:val="003366"/>
          <w:sz w:val="22"/>
        </w:rPr>
        <w:t>Step 1: Check Standard 2-Year Rule</w:t>
      </w:r>
    </w:p>
    <w:p>
      <w:pPr>
        <w:spacing w:after="40" w:before="0"/>
        <w:ind w:left="360"/>
      </w:pPr>
      <w:r>
        <w:rPr>
          <w:rFonts w:ascii="Calibri" w:hAnsi="Calibri"/>
          <w:sz w:val="22"/>
        </w:rPr>
        <w:t>Death date: 15 March 2020</w:t>
      </w:r>
    </w:p>
    <w:p>
      <w:pPr>
        <w:spacing w:after="40" w:before="0"/>
        <w:ind w:left="360"/>
      </w:pPr>
      <w:r>
        <w:rPr>
          <w:rFonts w:ascii="Calibri" w:hAnsi="Calibri"/>
          <w:sz w:val="22"/>
        </w:rPr>
        <w:t>Sale date: 1 August 2023</w:t>
      </w:r>
    </w:p>
    <w:p>
      <w:pPr>
        <w:spacing w:after="40" w:before="0"/>
        <w:ind w:left="360"/>
      </w:pPr>
      <w:r>
        <w:rPr>
          <w:rFonts w:ascii="Calibri" w:hAnsi="Calibri"/>
          <w:sz w:val="22"/>
        </w:rPr>
        <w:t>Days since death: 1,234 days (3.4 years)</w:t>
      </w:r>
    </w:p>
    <w:p>
      <w:pPr>
        <w:spacing w:after="40" w:before="0"/>
        <w:ind w:left="360"/>
      </w:pPr>
      <w:r>
        <w:rPr>
          <w:rFonts w:ascii="Calibri" w:hAnsi="Calibri"/>
          <w:sz w:val="22"/>
        </w:rPr>
        <w:t>Standard 2-year rule: EXCEEDED</w:t>
      </w:r>
    </w:p>
    <w:p>
      <w:pPr>
        <w:spacing w:after="40" w:before="0"/>
        <w:ind w:left="360"/>
      </w:pPr>
      <w:r>
        <w:rPr>
          <w:rFonts w:ascii="Calibri" w:hAnsi="Calibri"/>
          <w:b/>
          <w:color w:val="003366"/>
          <w:sz w:val="22"/>
        </w:rPr>
        <w:t>Step 2: Check COVID Extension Eligibility</w:t>
      </w:r>
    </w:p>
    <w:p>
      <w:pPr>
        <w:spacing w:after="40" w:before="0"/>
        <w:ind w:left="360"/>
      </w:pPr>
      <w:r>
        <w:rPr>
          <w:rFonts w:ascii="Calibri" w:hAnsi="Calibri"/>
          <w:sz w:val="22"/>
        </w:rPr>
        <w:t>PCG 2019/5: Automatic extension for qualifying circumstances</w:t>
      </w:r>
    </w:p>
    <w:p>
      <w:pPr>
        <w:spacing w:after="40" w:before="0"/>
        <w:ind w:left="360"/>
      </w:pPr>
      <w:r>
        <w:rPr>
          <w:rFonts w:ascii="Calibri" w:hAnsi="Calibri"/>
          <w:sz w:val="22"/>
        </w:rPr>
        <w:t>COVID-19 government restrictions on real estate: YES</w:t>
      </w:r>
    </w:p>
    <w:p>
      <w:pPr>
        <w:spacing w:after="40" w:before="0"/>
        <w:ind w:left="360"/>
      </w:pPr>
      <w:r>
        <w:rPr>
          <w:rFonts w:ascii="Calibri" w:hAnsi="Calibri"/>
          <w:sz w:val="22"/>
        </w:rPr>
        <w:t>Duration of restrictions: 22 months (&gt;12 months)</w:t>
      </w:r>
    </w:p>
    <w:p>
      <w:pPr>
        <w:spacing w:after="40" w:before="0"/>
        <w:ind w:left="360"/>
      </w:pPr>
      <w:r>
        <w:rPr>
          <w:rFonts w:ascii="Calibri" w:hAnsi="Calibri"/>
          <w:sz w:val="22"/>
        </w:rPr>
        <w:t>Within first 2 years after death: YES</w:t>
      </w:r>
    </w:p>
    <w:p>
      <w:pPr>
        <w:spacing w:after="40" w:before="0"/>
        <w:ind w:left="360"/>
      </w:pPr>
      <w:r>
        <w:rPr>
          <w:rFonts w:ascii="Calibri" w:hAnsi="Calibri"/>
          <w:b/>
          <w:color w:val="006400"/>
          <w:sz w:val="22"/>
        </w:rPr>
        <w:t>RESULT: Automatic extension applies</w:t>
      </w:r>
    </w:p>
    <w:p>
      <w:pPr>
        <w:spacing w:after="40" w:before="0"/>
        <w:ind w:left="360"/>
      </w:pPr>
      <w:r>
        <w:rPr>
          <w:rFonts w:ascii="Calibri" w:hAnsi="Calibri"/>
          <w:b/>
          <w:color w:val="003366"/>
          <w:sz w:val="22"/>
        </w:rPr>
        <w:t>Step 3: Verify Extension Conditions Met</w:t>
      </w:r>
    </w:p>
    <w:p>
      <w:pPr>
        <w:spacing w:after="40" w:before="0"/>
        <w:ind w:left="360"/>
      </w:pPr>
      <w:r>
        <w:rPr>
          <w:rFonts w:ascii="Calibri" w:hAnsi="Calibri"/>
          <w:sz w:val="22"/>
        </w:rPr>
        <w:t>Property was deceased's main residence: YES</w:t>
      </w:r>
    </w:p>
    <w:p>
      <w:pPr>
        <w:spacing w:after="40" w:before="0"/>
        <w:ind w:left="360"/>
      </w:pPr>
      <w:r>
        <w:rPr>
          <w:rFonts w:ascii="Calibri" w:hAnsi="Calibri"/>
          <w:sz w:val="22"/>
        </w:rPr>
        <w:t>Peter disposed after restrictions lifted: YES</w:t>
      </w:r>
    </w:p>
    <w:p>
      <w:pPr>
        <w:spacing w:after="40" w:before="0"/>
        <w:ind w:left="360"/>
      </w:pPr>
      <w:r>
        <w:rPr>
          <w:rFonts w:ascii="Calibri" w:hAnsi="Calibri"/>
          <w:sz w:val="22"/>
        </w:rPr>
        <w:t>Delay was due to qualifying circumstance: YES (COVID restrictions)</w:t>
      </w:r>
    </w:p>
    <w:p>
      <w:pPr>
        <w:spacing w:after="40" w:before="0"/>
        <w:ind w:left="360"/>
      </w:pPr>
      <w:r>
        <w:rPr>
          <w:rFonts w:ascii="Calibri" w:hAnsi="Calibri"/>
          <w:b/>
          <w:color w:val="006400"/>
          <w:sz w:val="22"/>
        </w:rPr>
        <w:t>RESULT: Full CGT exemption applies</w:t>
      </w:r>
    </w:p>
    <w:p>
      <w:pPr>
        <w:spacing w:after="40" w:before="0"/>
        <w:ind w:left="360"/>
      </w:pPr>
      <w:r>
        <w:rPr>
          <w:rFonts w:ascii="Calibri" w:hAnsi="Calibri"/>
          <w:b/>
          <w:color w:val="003366"/>
          <w:sz w:val="22"/>
        </w:rPr>
        <w:t>Step 4: Calculate Capital Gain (for reference)</w:t>
      </w:r>
    </w:p>
    <w:p>
      <w:pPr>
        <w:spacing w:after="40" w:before="0"/>
        <w:ind w:left="360"/>
      </w:pPr>
      <w:r>
        <w:rPr>
          <w:rFonts w:ascii="Calibri" w:hAnsi="Calibri"/>
          <w:sz w:val="22"/>
        </w:rPr>
        <w:t>Sale Price: $380,000</w:t>
      </w:r>
    </w:p>
    <w:p>
      <w:pPr>
        <w:spacing w:after="40" w:before="0"/>
        <w:ind w:left="360"/>
      </w:pPr>
      <w:r>
        <w:rPr>
          <w:rFonts w:ascii="Calibri" w:hAnsi="Calibri"/>
          <w:sz w:val="22"/>
        </w:rPr>
        <w:t>Market Value at Death: $320,000</w:t>
      </w:r>
    </w:p>
    <w:p>
      <w:pPr>
        <w:spacing w:after="40" w:before="0"/>
        <w:ind w:left="360"/>
      </w:pPr>
      <w:r>
        <w:rPr>
          <w:rFonts w:ascii="Calibri" w:hAnsi="Calibri"/>
          <w:b/>
          <w:sz w:val="22"/>
        </w:rPr>
        <w:t>Cost Base:</w:t>
      </w:r>
    </w:p>
    <w:p>
      <w:pPr>
        <w:spacing w:after="40" w:before="0"/>
        <w:ind w:left="360"/>
      </w:pPr>
      <w:r>
        <w:rPr>
          <w:rFonts w:ascii="Calibri" w:hAnsi="Calibri"/>
          <w:sz w:val="22"/>
        </w:rPr>
        <w:t>Market Value at Death: $320,000</w:t>
      </w:r>
    </w:p>
    <w:p>
      <w:pPr>
        <w:spacing w:after="40" w:before="0"/>
        <w:ind w:left="360"/>
      </w:pPr>
      <w:r>
        <w:rPr>
          <w:rFonts w:ascii="Calibri" w:hAnsi="Calibri"/>
          <w:sz w:val="22"/>
        </w:rPr>
        <w:t>Sale Agent Fees: $9,500</w:t>
      </w:r>
    </w:p>
    <w:p>
      <w:pPr>
        <w:spacing w:after="40" w:before="0"/>
        <w:ind w:left="360"/>
      </w:pPr>
      <w:r>
        <w:rPr>
          <w:rFonts w:ascii="Calibri" w:hAnsi="Calibri"/>
          <w:sz w:val="22"/>
        </w:rPr>
        <w:t>Sale Legal Fees: $1,800</w:t>
      </w:r>
    </w:p>
    <w:p>
      <w:pPr>
        <w:spacing w:after="40" w:before="0"/>
        <w:ind w:left="360"/>
      </w:pPr>
      <w:r>
        <w:rPr>
          <w:rFonts w:ascii="Calibri" w:hAnsi="Calibri"/>
          <w:sz w:val="22"/>
        </w:rPr>
        <w:t>Total Cost Base: $331,300</w:t>
      </w:r>
    </w:p>
    <w:p>
      <w:pPr>
        <w:spacing w:after="40" w:before="0"/>
        <w:ind w:left="360"/>
      </w:pPr>
      <w:r>
        <w:rPr>
          <w:rFonts w:ascii="Calibri" w:hAnsi="Calibri"/>
          <w:sz w:val="22"/>
        </w:rPr>
        <w:t>Capital Gain = $380,000 - $331,300 = $48,700</w:t>
      </w:r>
    </w:p>
    <w:p>
      <w:pPr>
        <w:spacing w:after="40" w:before="0"/>
        <w:ind w:left="360"/>
      </w:pPr>
      <w:r>
        <w:rPr>
          <w:rFonts w:ascii="Calibri" w:hAnsi="Calibri"/>
          <w:b/>
          <w:color w:val="003366"/>
          <w:sz w:val="22"/>
        </w:rPr>
        <w:t>Step 5: Apply Extended 2-Year Rule</w:t>
      </w:r>
    </w:p>
    <w:p>
      <w:pPr>
        <w:spacing w:after="40" w:before="0"/>
        <w:ind w:left="360"/>
      </w:pPr>
      <w:r>
        <w:rPr>
          <w:rFonts w:ascii="Calibri" w:hAnsi="Calibri"/>
          <w:sz w:val="22"/>
        </w:rPr>
        <w:t>COVID extension applies</w:t>
      </w:r>
    </w:p>
    <w:p>
      <w:pPr>
        <w:spacing w:after="40" w:before="0"/>
        <w:ind w:left="360"/>
      </w:pPr>
      <w:r>
        <w:rPr>
          <w:rFonts w:ascii="Calibri" w:hAnsi="Calibri"/>
          <w:sz w:val="22"/>
        </w:rPr>
        <w:t>Deceased estate exemption: FULL (100%)</w:t>
      </w:r>
    </w:p>
    <w:p>
      <w:pPr>
        <w:spacing w:after="40" w:before="0"/>
        <w:ind w:left="360"/>
      </w:pPr>
      <w:r>
        <w:rPr>
          <w:rFonts w:ascii="Calibri" w:hAnsi="Calibri"/>
          <w:b/>
          <w:color w:val="003366"/>
          <w:sz w:val="22"/>
        </w:rPr>
        <w:t>Step 6: Taxable Capital Gain</w:t>
      </w:r>
    </w:p>
    <w:p>
      <w:pPr>
        <w:spacing w:after="40" w:before="0"/>
        <w:ind w:left="360"/>
      </w:pPr>
      <w:r>
        <w:rPr>
          <w:rFonts w:ascii="Calibri" w:hAnsi="Calibri"/>
          <w:b/>
          <w:color w:val="006400"/>
          <w:sz w:val="22"/>
        </w:rPr>
        <w:t>Taxable Amount = $0 (FULLY EXEMPT)</w:t>
      </w:r>
    </w:p>
    <w:p>
      <w:pPr>
        <w:spacing w:after="40" w:before="0"/>
        <w:ind w:left="360"/>
      </w:pPr>
      <w:r>
        <w:rPr>
          <w:rFonts w:ascii="Calibri" w:hAnsi="Calibri"/>
          <w:b/>
          <w:color w:val="006400"/>
          <w:sz w:val="22"/>
        </w:rPr>
        <w:t>RESULT: NO CGT PAYABLE</w:t>
      </w:r>
    </w:p>
    <w:p>
      <w:pPr>
        <w:pStyle w:val="Heading2"/>
      </w:pPr>
      <w:r>
        <w:t>Applicable Rules</w:t>
      </w:r>
    </w:p>
    <w:p>
      <w:r>
        <w:rPr>
          <w:rFonts w:ascii="Calibri" w:hAnsi="Calibri"/>
          <w:sz w:val="22"/>
        </w:rPr>
        <w:t>ITAA97 s118.195: 2-year disposal rule</w:t>
      </w:r>
    </w:p>
    <w:p>
      <w:r>
        <w:rPr>
          <w:rFonts w:ascii="Calibri" w:hAnsi="Calibri"/>
          <w:sz w:val="22"/>
        </w:rPr>
        <w:t>PCG 2019/5: Automatic extension for qualifying circumstances</w:t>
      </w:r>
    </w:p>
    <w:p>
      <w:r>
        <w:rPr>
          <w:rFonts w:ascii="Calibri" w:hAnsi="Calibri"/>
          <w:sz w:val="22"/>
        </w:rPr>
        <w:t>COVID-19 restrictions = Qualifying circumstance</w:t>
      </w:r>
    </w:p>
    <w:p>
      <w:r>
        <w:rPr>
          <w:rFonts w:ascii="Calibri" w:hAnsi="Calibri"/>
          <w:sz w:val="22"/>
        </w:rPr>
        <w:t>More than 12 months of delay within first 2 years = Automatic extension</w:t>
      </w:r>
    </w:p>
    <w:p>
      <w:r>
        <w:rPr>
          <w:rFonts w:ascii="Calibri" w:hAnsi="Calibri"/>
          <w:sz w:val="22"/>
        </w:rPr>
        <w:t>Peter did not need to apply for extension</w:t>
      </w:r>
    </w:p>
    <w:p>
      <w:r>
        <w:rPr>
          <w:rFonts w:ascii="Calibri" w:hAnsi="Calibri"/>
          <w:sz w:val="22"/>
        </w:rPr>
        <w:t>If COVID extension didn't apply, partial exemption would calculate from date of death</w:t>
      </w:r>
    </w:p>
    <w:p>
      <w:pPr>
        <w:spacing w:before="120" w:after="120"/>
      </w:pPr>
      <w:r>
        <w:rPr>
          <w:color w:val="B4B4B4"/>
          <w:sz w:val="12"/>
        </w:rPr>
        <w:t>────────────────────────────────────────────────────────────────────────────────────────────────────</w:t>
      </w:r>
    </w:p>
    <w:p>
      <w:pPr>
        <w:pStyle w:val="Heading1"/>
      </w:pPr>
      <w:r>
        <w:t>Scenario 18: Small Business CGT Concessions</w:t>
      </w:r>
    </w:p>
    <w:p>
      <w:pPr>
        <w:pStyle w:val="Heading2"/>
      </w:pPr>
      <w:r>
        <w:t>Description</w:t>
      </w:r>
    </w:p>
    <w:p>
      <w:r>
        <w:rPr>
          <w:rFonts w:ascii="Calibri" w:hAnsi="Calibri"/>
          <w:sz w:val="22"/>
        </w:rPr>
        <w:t>David operates a photography studio from a commercial property he has owned for 16 years. He sells the property and qualifies for the small business 15-year exemption, which allows him to disregard the entire capital gain. He also contributes part of the proceeds to superannuation.</w:t>
      </w:r>
    </w:p>
    <w:p>
      <w:pPr>
        <w:pStyle w:val="Heading2"/>
      </w:pPr>
      <w:r>
        <w:t>Key Facts</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Property</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55 Commercial Street, Nambour QLD 4560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Purchase Date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 January 2008</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Purchase Price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$280,000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Business Use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100% (photography studio)</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Sale Date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15 December 2024</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Sale Price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$620,000</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Ownership Period</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16.9 years</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David's Age at Sale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58 years</w:t>
            </w:r>
          </w:p>
        </w:tc>
      </w:tr>
    </w:tbl>
    <w:p/>
    <w:p>
      <w:pPr>
        <w:pStyle w:val="Heading2"/>
      </w:pPr>
      <w:r>
        <w:t>Timeline of Events</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Date</w:t>
            </w:r>
          </w:p>
        </w:tc>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Event</w:t>
            </w:r>
          </w:p>
        </w:tc>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Details</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01 Jan 2008</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Purchase</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$280,000 + $9,800 stamp duty + $2,200 legal fees</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01 Jan 2008</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Business Start</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Photography studio established</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15 Dec 2024</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Sale</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$620,000 (agent fees: $15,500, legal fees: $2,800)</w:t>
            </w:r>
          </w:p>
        </w:tc>
      </w:tr>
    </w:tbl>
    <w:p/>
    <w:p>
      <w:pPr>
        <w:pStyle w:val="Heading2"/>
      </w:pPr>
      <w:r>
        <w:t>CGT Calculation</w:t>
      </w:r>
    </w:p>
    <w:p>
      <w:pPr>
        <w:spacing w:after="40" w:before="0"/>
        <w:ind w:left="360"/>
      </w:pPr>
      <w:r>
        <w:rPr>
          <w:rFonts w:ascii="Calibri" w:hAnsi="Calibri"/>
          <w:b/>
          <w:color w:val="003366"/>
          <w:sz w:val="22"/>
        </w:rPr>
        <w:t>Step 1: Check Basic Eligibility for SBCGT Concessions</w:t>
      </w:r>
    </w:p>
    <w:p>
      <w:pPr>
        <w:spacing w:after="40" w:before="0"/>
        <w:ind w:left="360"/>
      </w:pPr>
      <w:r>
        <w:rPr>
          <w:rFonts w:ascii="Calibri" w:hAnsi="Calibri"/>
          <w:sz w:val="22"/>
        </w:rPr>
        <w:t>Active asset: YES (used in business for &gt;15 years)</w:t>
      </w:r>
    </w:p>
    <w:p>
      <w:pPr>
        <w:spacing w:after="40" w:before="0"/>
        <w:ind w:left="360"/>
      </w:pPr>
      <w:r>
        <w:rPr>
          <w:rFonts w:ascii="Calibri" w:hAnsi="Calibri"/>
          <w:sz w:val="22"/>
        </w:rPr>
        <w:t>Small business entity: YES (turnover &lt; $2 million)</w:t>
      </w:r>
    </w:p>
    <w:p>
      <w:pPr>
        <w:spacing w:after="40" w:before="0"/>
        <w:ind w:left="360"/>
      </w:pPr>
      <w:r>
        <w:rPr>
          <w:rFonts w:ascii="Calibri" w:hAnsi="Calibri"/>
          <w:sz w:val="22"/>
        </w:rPr>
        <w:t>Satisfies maximum net asset value test: YES (&lt; $6 million)</w:t>
      </w:r>
    </w:p>
    <w:p>
      <w:pPr>
        <w:spacing w:after="40" w:before="0"/>
        <w:ind w:left="360"/>
      </w:pPr>
      <w:r>
        <w:rPr>
          <w:rFonts w:ascii="Calibri" w:hAnsi="Calibri"/>
          <w:b/>
          <w:color w:val="003366"/>
          <w:sz w:val="22"/>
        </w:rPr>
        <w:t>Step 2: Check 15-Year Exemption Eligibility</w:t>
      </w:r>
    </w:p>
    <w:p>
      <w:pPr>
        <w:spacing w:after="40" w:before="0"/>
        <w:ind w:left="360"/>
      </w:pPr>
      <w:r>
        <w:rPr>
          <w:rFonts w:ascii="Calibri" w:hAnsi="Calibri"/>
          <w:sz w:val="22"/>
        </w:rPr>
        <w:t>Owned for 15+ years: YES (16.9 years)</w:t>
      </w:r>
    </w:p>
    <w:p>
      <w:pPr>
        <w:spacing w:after="40" w:before="0"/>
        <w:ind w:left="360"/>
      </w:pPr>
      <w:r>
        <w:rPr>
          <w:rFonts w:ascii="Calibri" w:hAnsi="Calibri"/>
          <w:sz w:val="22"/>
        </w:rPr>
        <w:t>Active asset for 15+ years: YES</w:t>
      </w:r>
    </w:p>
    <w:p>
      <w:pPr>
        <w:spacing w:after="40" w:before="0"/>
        <w:ind w:left="360"/>
      </w:pPr>
      <w:r>
        <w:rPr>
          <w:rFonts w:ascii="Calibri" w:hAnsi="Calibri"/>
          <w:sz w:val="22"/>
        </w:rPr>
        <w:t>Individual age 55+: YES (58 years) OR retiring/permanently incapacitated</w:t>
      </w:r>
    </w:p>
    <w:p>
      <w:pPr>
        <w:spacing w:after="40" w:before="0"/>
        <w:ind w:left="360"/>
      </w:pPr>
      <w:r>
        <w:rPr>
          <w:rFonts w:ascii="Calibri" w:hAnsi="Calibri"/>
          <w:sz w:val="22"/>
        </w:rPr>
        <w:t>Significant individual: YES (sole owner)</w:t>
      </w:r>
    </w:p>
    <w:p>
      <w:pPr>
        <w:spacing w:after="40" w:before="0"/>
        <w:ind w:left="360"/>
      </w:pPr>
      <w:r>
        <w:rPr>
          <w:rFonts w:ascii="Calibri" w:hAnsi="Calibri"/>
          <w:b/>
          <w:color w:val="006400"/>
          <w:sz w:val="22"/>
        </w:rPr>
        <w:t>RESULT: 15-year exemption applies</w:t>
      </w:r>
    </w:p>
    <w:p>
      <w:pPr>
        <w:spacing w:after="40" w:before="0"/>
        <w:ind w:left="360"/>
      </w:pPr>
      <w:r>
        <w:rPr>
          <w:rFonts w:ascii="Calibri" w:hAnsi="Calibri"/>
          <w:b/>
          <w:color w:val="003366"/>
          <w:sz w:val="22"/>
        </w:rPr>
        <w:t>Step 3: Calculate Capital Gain (for reference)</w:t>
      </w:r>
    </w:p>
    <w:p>
      <w:pPr>
        <w:spacing w:after="40" w:before="0"/>
        <w:ind w:left="360"/>
      </w:pPr>
      <w:r>
        <w:rPr>
          <w:rFonts w:ascii="Calibri" w:hAnsi="Calibri"/>
          <w:sz w:val="22"/>
        </w:rPr>
        <w:t>Sale Price: $620,000</w:t>
      </w:r>
    </w:p>
    <w:p>
      <w:pPr>
        <w:spacing w:after="40" w:before="0"/>
        <w:ind w:left="360"/>
      </w:pPr>
      <w:r>
        <w:rPr>
          <w:rFonts w:ascii="Calibri" w:hAnsi="Calibri"/>
          <w:b/>
          <w:sz w:val="22"/>
        </w:rPr>
        <w:t>Cost Base:</w:t>
      </w:r>
    </w:p>
    <w:p>
      <w:pPr>
        <w:spacing w:after="40" w:before="0"/>
        <w:ind w:left="360"/>
      </w:pPr>
      <w:r>
        <w:rPr>
          <w:rFonts w:ascii="Calibri" w:hAnsi="Calibri"/>
          <w:sz w:val="22"/>
        </w:rPr>
        <w:t>Purchase Price: $280,000</w:t>
      </w:r>
    </w:p>
    <w:p>
      <w:pPr>
        <w:spacing w:after="40" w:before="0"/>
        <w:ind w:left="360"/>
      </w:pPr>
      <w:r>
        <w:rPr>
          <w:rFonts w:ascii="Calibri" w:hAnsi="Calibri"/>
          <w:sz w:val="22"/>
        </w:rPr>
        <w:t>Stamp Duty: $9,800</w:t>
      </w:r>
    </w:p>
    <w:p>
      <w:pPr>
        <w:spacing w:after="40" w:before="0"/>
        <w:ind w:left="360"/>
      </w:pPr>
      <w:r>
        <w:rPr>
          <w:rFonts w:ascii="Calibri" w:hAnsi="Calibri"/>
          <w:sz w:val="22"/>
        </w:rPr>
        <w:t>Legal Fees: $2,200</w:t>
      </w:r>
    </w:p>
    <w:p>
      <w:pPr>
        <w:spacing w:after="40" w:before="0"/>
        <w:ind w:left="360"/>
      </w:pPr>
      <w:r>
        <w:rPr>
          <w:rFonts w:ascii="Calibri" w:hAnsi="Calibri"/>
          <w:sz w:val="22"/>
        </w:rPr>
        <w:t>Sale Agent Fees: $15,500</w:t>
      </w:r>
    </w:p>
    <w:p>
      <w:pPr>
        <w:spacing w:after="40" w:before="0"/>
        <w:ind w:left="360"/>
      </w:pPr>
      <w:r>
        <w:rPr>
          <w:rFonts w:ascii="Calibri" w:hAnsi="Calibri"/>
          <w:sz w:val="22"/>
        </w:rPr>
        <w:t>Sale Legal Fees: $2,800</w:t>
      </w:r>
    </w:p>
    <w:p>
      <w:pPr>
        <w:spacing w:after="40" w:before="0"/>
        <w:ind w:left="360"/>
      </w:pPr>
      <w:r>
        <w:rPr>
          <w:rFonts w:ascii="Calibri" w:hAnsi="Calibri"/>
          <w:sz w:val="22"/>
        </w:rPr>
        <w:t>Total Cost Base: $310,300</w:t>
      </w:r>
    </w:p>
    <w:p>
      <w:pPr>
        <w:spacing w:after="40" w:before="0"/>
        <w:ind w:left="360"/>
      </w:pPr>
      <w:r>
        <w:rPr>
          <w:rFonts w:ascii="Calibri" w:hAnsi="Calibri"/>
          <w:sz w:val="22"/>
        </w:rPr>
        <w:t>Capital Gain = $620,000 - $310,300 = $309,700</w:t>
      </w:r>
    </w:p>
    <w:p>
      <w:pPr>
        <w:spacing w:after="40" w:before="0"/>
        <w:ind w:left="360"/>
      </w:pPr>
      <w:r>
        <w:rPr>
          <w:rFonts w:ascii="Calibri" w:hAnsi="Calibri"/>
          <w:b/>
          <w:color w:val="003366"/>
          <w:sz w:val="22"/>
        </w:rPr>
        <w:t>Step 4: Apply 15-Year Exemption</w:t>
      </w:r>
    </w:p>
    <w:p>
      <w:pPr>
        <w:spacing w:after="40" w:before="0"/>
        <w:ind w:left="360"/>
      </w:pPr>
      <w:r>
        <w:rPr>
          <w:rFonts w:ascii="Calibri" w:hAnsi="Calibri"/>
          <w:sz w:val="22"/>
        </w:rPr>
        <w:t>Entire capital gain disregarded</w:t>
      </w:r>
    </w:p>
    <w:p>
      <w:pPr>
        <w:spacing w:after="40" w:before="0"/>
        <w:ind w:left="360"/>
      </w:pPr>
      <w:r>
        <w:rPr>
          <w:rFonts w:ascii="Calibri" w:hAnsi="Calibri"/>
          <w:sz w:val="22"/>
        </w:rPr>
        <w:t>Exemption: FULL (100%)</w:t>
      </w:r>
    </w:p>
    <w:p>
      <w:pPr>
        <w:spacing w:after="40" w:before="0"/>
        <w:ind w:left="360"/>
      </w:pPr>
      <w:r>
        <w:rPr>
          <w:rFonts w:ascii="Calibri" w:hAnsi="Calibri"/>
          <w:b/>
          <w:color w:val="003366"/>
          <w:sz w:val="22"/>
        </w:rPr>
        <w:t>Step 5: Taxable Capital Gain</w:t>
      </w:r>
    </w:p>
    <w:p>
      <w:pPr>
        <w:spacing w:after="40" w:before="0"/>
        <w:ind w:left="360"/>
      </w:pPr>
      <w:r>
        <w:rPr>
          <w:rFonts w:ascii="Calibri" w:hAnsi="Calibri"/>
          <w:b/>
          <w:color w:val="006400"/>
          <w:sz w:val="22"/>
        </w:rPr>
        <w:t>Taxable Amount = $0 (FULLY EXEMPT)</w:t>
      </w:r>
    </w:p>
    <w:p>
      <w:pPr>
        <w:spacing w:after="40" w:before="0"/>
        <w:ind w:left="360"/>
      </w:pPr>
      <w:r>
        <w:rPr>
          <w:rFonts w:ascii="Calibri" w:hAnsi="Calibri"/>
          <w:b/>
          <w:color w:val="006400"/>
          <w:sz w:val="22"/>
        </w:rPr>
        <w:t>RESULT: NO CGT PAYABLE</w:t>
      </w:r>
    </w:p>
    <w:p>
      <w:pPr>
        <w:pStyle w:val="Heading2"/>
      </w:pPr>
      <w:r>
        <w:t>Superannuation Contribution</w:t>
      </w:r>
    </w:p>
    <w:p>
      <w:r>
        <w:rPr>
          <w:rFonts w:ascii="Calibri" w:hAnsi="Calibri"/>
          <w:sz w:val="22"/>
        </w:rPr>
        <w:t>CGT Cap Amount (2024-25): $1,780,000</w:t>
      </w:r>
    </w:p>
    <w:p>
      <w:r>
        <w:rPr>
          <w:rFonts w:ascii="Calibri" w:hAnsi="Calibri"/>
          <w:sz w:val="22"/>
        </w:rPr>
        <w:t>David can contribute exempt amount to super</w:t>
      </w:r>
    </w:p>
    <w:p>
      <w:r>
        <w:rPr>
          <w:rFonts w:ascii="Calibri" w:hAnsi="Calibri"/>
          <w:sz w:val="22"/>
        </w:rPr>
        <w:t>Contribution amount: Up to $309,700 (the exempt gain)</w:t>
      </w:r>
    </w:p>
    <w:p>
      <w:r>
        <w:rPr>
          <w:rFonts w:ascii="Calibri" w:hAnsi="Calibri"/>
          <w:sz w:val="22"/>
        </w:rPr>
        <w:t>This does not count towards concessional or non-concessional caps</w:t>
      </w:r>
    </w:p>
    <w:p>
      <w:pPr>
        <w:pStyle w:val="Heading2"/>
      </w:pPr>
      <w:r>
        <w:t>Applicable Rules</w:t>
      </w:r>
    </w:p>
    <w:p>
      <w:r>
        <w:rPr>
          <w:rFonts w:ascii="Calibri" w:hAnsi="Calibri"/>
          <w:sz w:val="22"/>
        </w:rPr>
        <w:t>ITAA97 Subdiv 152-B: 15-year exemption</w:t>
      </w:r>
    </w:p>
    <w:p>
      <w:r>
        <w:rPr>
          <w:rFonts w:ascii="Calibri" w:hAnsi="Calibri"/>
          <w:sz w:val="22"/>
        </w:rPr>
        <w:t>Must own active asset for 15+ continuous years</w:t>
      </w:r>
    </w:p>
    <w:p>
      <w:r>
        <w:rPr>
          <w:rFonts w:ascii="Calibri" w:hAnsi="Calibri"/>
          <w:sz w:val="22"/>
        </w:rPr>
        <w:t>Must be 55+ or retiring/permanently incapacitated</w:t>
      </w:r>
    </w:p>
    <w:p>
      <w:r>
        <w:rPr>
          <w:rFonts w:ascii="Calibri" w:hAnsi="Calibri"/>
          <w:sz w:val="22"/>
        </w:rPr>
        <w:t>Entire capital gain exempt (not just reduced)</w:t>
      </w:r>
    </w:p>
    <w:p>
      <w:r>
        <w:rPr>
          <w:rFonts w:ascii="Calibri" w:hAnsi="Calibri"/>
          <w:sz w:val="22"/>
        </w:rPr>
        <w:t>ITAA97 s292.100: CGT cap for super contributions</w:t>
      </w:r>
    </w:p>
    <w:p>
      <w:r>
        <w:rPr>
          <w:rFonts w:ascii="Calibri" w:hAnsi="Calibri"/>
          <w:sz w:val="22"/>
        </w:rPr>
        <w:t>Exempt amount can be contributed to super under CGT cap</w:t>
      </w:r>
    </w:p>
    <w:p>
      <w:r>
        <w:rPr>
          <w:rFonts w:ascii="Calibri" w:hAnsi="Calibri"/>
          <w:sz w:val="22"/>
        </w:rPr>
        <w:t>2024-25 lifetime CGT cap: $1,780,000</w:t>
      </w:r>
    </w:p>
    <w:p>
      <w:pPr>
        <w:spacing w:before="120" w:after="120"/>
      </w:pPr>
      <w:r>
        <w:rPr>
          <w:color w:val="B4B4B4"/>
          <w:sz w:val="12"/>
        </w:rPr>
        <w:t>────────────────────────────────────────────────────────────────────────────────────────────────────</w:t>
      </w:r>
    </w:p>
    <w:p>
      <w:pPr>
        <w:pStyle w:val="Heading1"/>
      </w:pPr>
      <w:r>
        <w:t>Scenario 19: Investment Property Becomes Main Residence Then Sold</w:t>
      </w:r>
    </w:p>
    <w:p>
      <w:pPr>
        <w:pStyle w:val="Heading2"/>
      </w:pPr>
      <w:r>
        <w:t>Description</w:t>
      </w:r>
    </w:p>
    <w:p>
      <w:r>
        <w:rPr>
          <w:rFonts w:ascii="Calibri" w:hAnsi="Calibri"/>
          <w:sz w:val="22"/>
        </w:rPr>
        <w:t>Amanda purchases an investment property and rents it out for 3 years. She then moves in and lives there as her main residence for 2 years before selling. The six-year absence rule does NOT apply because the property was an investment first. Only the period as main residence qualifies for exemption.</w:t>
      </w:r>
    </w:p>
    <w:p>
      <w:pPr>
        <w:pStyle w:val="Heading2"/>
      </w:pPr>
      <w:r>
        <w:t>Key Facts</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Property</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88 Investor Lane, Emerald QLD 4720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Purchase Date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 March 2019</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Purchase Price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$295,000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Rental Period</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 Mar 2019 to 28 Feb 2022 (3 years)</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Move In Date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1 March 2022</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Sale Date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28 February 2024</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Sale Price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$420,000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Total Ownership</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1,826 days (5 years)</w:t>
            </w:r>
          </w:p>
        </w:tc>
      </w:tr>
    </w:tbl>
    <w:p/>
    <w:p>
      <w:pPr>
        <w:pStyle w:val="Heading2"/>
      </w:pPr>
      <w:r>
        <w:t>Timeline of Events</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Date</w:t>
            </w:r>
          </w:p>
        </w:tc>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Event</w:t>
            </w:r>
          </w:p>
        </w:tc>
        <w:tc>
          <w:tcPr>
            <w:tcW w:type="dxa" w:w="3360"/>
            <w:shd w:fill="003366"/>
            <w:tcBorders>
              <w:top w:val="single" w:sz="4" w:color="003366"/>
              <w:left w:val="single" w:sz="4" w:color="003366"/>
              <w:bottom w:val="single" w:sz="4" w:color="003366"/>
              <w:right w:val="single" w:sz="4" w:color="003366"/>
            </w:tcBorders>
          </w:tcPr>
          <w:p>
            <w:pPr>
              <w:jc w:val="left"/>
            </w:pPr>
            <w:r>
              <w:rPr>
                <w:b/>
                <w:color w:val="FFFFFF"/>
                <w:sz w:val="20"/>
              </w:rPr>
              <w:t>Details</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01 Mar 2019</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Purchase</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$295,000 + $8,850 stamp duty + $2,200 legal fees</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01 Mar 2019</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Rent Start</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Immediately rented as investment</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28 Feb 2022</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Rent End</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Tenant vacates</w:t>
            </w:r>
          </w:p>
        </w:tc>
      </w:tr>
      <w:tr>
        <w:tc>
          <w:tcPr>
            <w:tcW w:type="dxa" w:w="3360"/>
            <w:shd w:fill="FFFFFF"/>
            <w:tcBorders>
              <w:top w:val="single" w:sz="4" w:color="CCCCCC"/>
              <w:left w:val="single" w:sz="4" w:color="CCCCCC"/>
              <w:bottom w:val="single" w:sz="4" w:color="CCCCCC"/>
              <w:right w:val="single" w:sz="4" w:color="CCCCCC"/>
            </w:tcBorders>
          </w:tcPr>
          <w:p>
            <w:pPr>
              <w:jc w:val="left"/>
            </w:pPr>
            <w:r>
              <w:rPr>
                <w:sz w:val="20"/>
              </w:rPr>
              <w:t>01 Mar 2022</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Move In</w:t>
            </w:r>
          </w:p>
        </w:tc>
        <w:tc>
          <w:tcPr>
            <w:tcW w:type="dxa" w:w="3360"/>
            <w:shd w:fill="FFFFFF"/>
            <w:tcBorders>
              <w:top w:val="single" w:sz="4" w:color="CCCCCC"/>
              <w:left w:val="single" w:sz="4" w:color="CCCCCC"/>
              <w:bottom w:val="single" w:sz="4" w:color="CCCCCC"/>
              <w:right w:val="single" w:sz="4" w:color="CCCCCC"/>
            </w:tcBorders>
          </w:tcPr>
          <w:p>
            <w:pPr>
              <w:jc w:val="left"/>
            </w:pPr>
            <w:r>
              <w:rPr>
                <w:sz w:val="20"/>
              </w:rPr>
              <w:t>Amanda moves in as main residence</w:t>
            </w:r>
          </w:p>
        </w:tc>
      </w:tr>
      <w:tr>
        <w:tc>
          <w:tcPr>
            <w:tcW w:type="dxa" w:w="3360"/>
            <w:shd w:fill="F0F4F8"/>
            <w:tcBorders>
              <w:top w:val="single" w:sz="4" w:color="CCCCCC"/>
              <w:left w:val="single" w:sz="4" w:color="CCCCCC"/>
              <w:bottom w:val="single" w:sz="4" w:color="CCCCCC"/>
              <w:right w:val="single" w:sz="4" w:color="CCCCCC"/>
            </w:tcBorders>
          </w:tcPr>
          <w:p>
            <w:pPr>
              <w:jc w:val="left"/>
            </w:pPr>
            <w:r>
              <w:rPr>
                <w:sz w:val="20"/>
              </w:rPr>
              <w:t>28 Feb 2024</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Sale</w:t>
            </w:r>
          </w:p>
        </w:tc>
        <w:tc>
          <w:tcPr>
            <w:tcW w:type="dxa" w:w="3360"/>
            <w:shd w:fill="F0F4F8"/>
            <w:tcBorders>
              <w:top w:val="single" w:sz="4" w:color="CCCCCC"/>
              <w:left w:val="single" w:sz="4" w:color="CCCCCC"/>
              <w:bottom w:val="single" w:sz="4" w:color="CCCCCC"/>
              <w:right w:val="single" w:sz="4" w:color="CCCCCC"/>
            </w:tcBorders>
          </w:tcPr>
          <w:p>
            <w:pPr>
              <w:jc w:val="left"/>
            </w:pPr>
            <w:r>
              <w:rPr>
                <w:sz w:val="20"/>
              </w:rPr>
              <w:t>$420,000 (agent fees: $10,500, legal fees: $1,900)</w:t>
            </w:r>
          </w:p>
        </w:tc>
      </w:tr>
    </w:tbl>
    <w:p/>
    <w:p>
      <w:pPr>
        <w:pStyle w:val="Heading2"/>
      </w:pPr>
      <w:r>
        <w:t>CGT Calculation</w:t>
      </w:r>
    </w:p>
    <w:p>
      <w:pPr>
        <w:spacing w:after="40" w:before="0"/>
        <w:ind w:left="360"/>
      </w:pPr>
      <w:r>
        <w:rPr>
          <w:rFonts w:ascii="Calibri" w:hAnsi="Calibri"/>
          <w:b/>
          <w:color w:val="003366"/>
          <w:sz w:val="22"/>
        </w:rPr>
        <w:t>Step 1: Verify Six-Year Rule Eligibility</w:t>
      </w:r>
    </w:p>
    <w:p>
      <w:pPr>
        <w:spacing w:after="40" w:before="0"/>
        <w:ind w:left="360"/>
      </w:pPr>
      <w:r>
        <w:rPr>
          <w:rFonts w:ascii="Calibri" w:hAnsi="Calibri"/>
          <w:sz w:val="22"/>
        </w:rPr>
        <w:t>Property was rented BEFORE becoming main residence: YES</w:t>
      </w:r>
    </w:p>
    <w:p>
      <w:pPr>
        <w:spacing w:after="40" w:before="0"/>
        <w:ind w:left="360"/>
      </w:pPr>
      <w:r>
        <w:rPr>
          <w:rFonts w:ascii="Calibri" w:hAnsi="Calibri"/>
          <w:sz w:val="22"/>
        </w:rPr>
        <w:t>Six-year rule does NOT apply (only applies when MR first)</w:t>
      </w:r>
    </w:p>
    <w:p>
      <w:pPr>
        <w:spacing w:after="40" w:before="0"/>
        <w:ind w:left="360"/>
      </w:pPr>
      <w:r>
        <w:rPr>
          <w:rFonts w:ascii="Calibri" w:hAnsi="Calibri"/>
          <w:b/>
          <w:color w:val="003366"/>
          <w:sz w:val="22"/>
        </w:rPr>
        <w:t>Step 2: Calculate Ownership Periods</w:t>
      </w:r>
    </w:p>
    <w:p>
      <w:pPr>
        <w:spacing w:after="40" w:before="0"/>
        <w:ind w:left="360"/>
      </w:pPr>
      <w:r>
        <w:rPr>
          <w:rFonts w:ascii="Calibri" w:hAnsi="Calibri"/>
          <w:sz w:val="22"/>
        </w:rPr>
        <w:t>Total Ownership: 1,826 days</w:t>
      </w:r>
    </w:p>
    <w:p>
      <w:pPr>
        <w:spacing w:after="40" w:before="0"/>
        <w:ind w:left="360"/>
      </w:pPr>
      <w:r>
        <w:rPr>
          <w:rFonts w:ascii="Calibri" w:hAnsi="Calibri"/>
          <w:sz w:val="22"/>
        </w:rPr>
        <w:t>Rental Period (Non-MR): 1 Mar 2019 to 28 Feb 2022 = 1,096 days</w:t>
      </w:r>
    </w:p>
    <w:p>
      <w:pPr>
        <w:spacing w:after="40" w:before="0"/>
        <w:ind w:left="360"/>
      </w:pPr>
      <w:r>
        <w:rPr>
          <w:rFonts w:ascii="Calibri" w:hAnsi="Calibri"/>
          <w:sz w:val="22"/>
        </w:rPr>
        <w:t>Main Residence Period: 1 Mar 2022 to 28 Feb 2024 = 730 days</w:t>
      </w:r>
    </w:p>
    <w:p>
      <w:pPr>
        <w:spacing w:after="40" w:before="0"/>
        <w:ind w:left="360"/>
      </w:pPr>
      <w:r>
        <w:rPr>
          <w:rFonts w:ascii="Calibri" w:hAnsi="Calibri"/>
          <w:b/>
          <w:color w:val="003366"/>
          <w:sz w:val="22"/>
        </w:rPr>
        <w:t>Step 3: Calculate Capital Gain</w:t>
      </w:r>
    </w:p>
    <w:p>
      <w:pPr>
        <w:spacing w:after="40" w:before="0"/>
        <w:ind w:left="360"/>
      </w:pPr>
      <w:r>
        <w:rPr>
          <w:rFonts w:ascii="Calibri" w:hAnsi="Calibri"/>
          <w:sz w:val="22"/>
        </w:rPr>
        <w:t>Sale Price: $420,000</w:t>
      </w:r>
    </w:p>
    <w:p>
      <w:pPr>
        <w:spacing w:after="40" w:before="0"/>
        <w:ind w:left="360"/>
      </w:pPr>
      <w:r>
        <w:rPr>
          <w:rFonts w:ascii="Calibri" w:hAnsi="Calibri"/>
          <w:b/>
          <w:sz w:val="22"/>
        </w:rPr>
        <w:t>Cost Base:</w:t>
      </w:r>
    </w:p>
    <w:p>
      <w:pPr>
        <w:spacing w:after="40" w:before="0"/>
        <w:ind w:left="360"/>
      </w:pPr>
      <w:r>
        <w:rPr>
          <w:rFonts w:ascii="Calibri" w:hAnsi="Calibri"/>
          <w:sz w:val="22"/>
        </w:rPr>
        <w:t>Purchase Price: $295,000</w:t>
      </w:r>
    </w:p>
    <w:p>
      <w:pPr>
        <w:spacing w:after="40" w:before="0"/>
        <w:ind w:left="360"/>
      </w:pPr>
      <w:r>
        <w:rPr>
          <w:rFonts w:ascii="Calibri" w:hAnsi="Calibri"/>
          <w:sz w:val="22"/>
        </w:rPr>
        <w:t>Stamp Duty: $8,850</w:t>
      </w:r>
    </w:p>
    <w:p>
      <w:pPr>
        <w:spacing w:after="40" w:before="0"/>
        <w:ind w:left="360"/>
      </w:pPr>
      <w:r>
        <w:rPr>
          <w:rFonts w:ascii="Calibri" w:hAnsi="Calibri"/>
          <w:sz w:val="22"/>
        </w:rPr>
        <w:t>Purchase Legal Fees: $2,200</w:t>
      </w:r>
    </w:p>
    <w:p>
      <w:pPr>
        <w:spacing w:after="40" w:before="0"/>
        <w:ind w:left="360"/>
      </w:pPr>
      <w:r>
        <w:rPr>
          <w:rFonts w:ascii="Calibri" w:hAnsi="Calibri"/>
          <w:sz w:val="22"/>
        </w:rPr>
        <w:t>Sale Agent Fees: $10,500</w:t>
      </w:r>
    </w:p>
    <w:p>
      <w:pPr>
        <w:spacing w:after="40" w:before="0"/>
        <w:ind w:left="360"/>
      </w:pPr>
      <w:r>
        <w:rPr>
          <w:rFonts w:ascii="Calibri" w:hAnsi="Calibri"/>
          <w:sz w:val="22"/>
        </w:rPr>
        <w:t>Sale Legal Fees: $1,900</w:t>
      </w:r>
    </w:p>
    <w:p>
      <w:pPr>
        <w:spacing w:after="40" w:before="0"/>
        <w:ind w:left="360"/>
      </w:pPr>
      <w:r>
        <w:rPr>
          <w:rFonts w:ascii="Calibri" w:hAnsi="Calibri"/>
          <w:sz w:val="22"/>
        </w:rPr>
        <w:t>Total Cost Base: $318,450</w:t>
      </w:r>
    </w:p>
    <w:p>
      <w:pPr>
        <w:spacing w:after="40" w:before="0"/>
        <w:ind w:left="360"/>
      </w:pPr>
      <w:r>
        <w:rPr>
          <w:rFonts w:ascii="Calibri" w:hAnsi="Calibri"/>
          <w:sz w:val="22"/>
        </w:rPr>
        <w:t>Capital Gain = $420,000 - $318,450 = $101,550</w:t>
      </w:r>
    </w:p>
    <w:p>
      <w:pPr>
        <w:spacing w:after="40" w:before="0"/>
        <w:ind w:left="360"/>
      </w:pPr>
      <w:r>
        <w:rPr>
          <w:rFonts w:ascii="Calibri" w:hAnsi="Calibri"/>
          <w:b/>
          <w:color w:val="003366"/>
          <w:sz w:val="22"/>
        </w:rPr>
        <w:t>Step 4: Apply Partial Main Residence Exemption</w:t>
      </w:r>
    </w:p>
    <w:p>
      <w:pPr>
        <w:spacing w:after="40" w:before="0"/>
        <w:ind w:left="360"/>
      </w:pPr>
      <w:r>
        <w:rPr>
          <w:rFonts w:ascii="Calibri" w:hAnsi="Calibri"/>
          <w:sz w:val="22"/>
        </w:rPr>
        <w:t>Taxable Proportion = Non-MR Days / Total Ownership Days</w:t>
      </w:r>
    </w:p>
    <w:p>
      <w:pPr>
        <w:spacing w:after="40" w:before="0"/>
        <w:ind w:left="360"/>
      </w:pPr>
      <w:r>
        <w:rPr>
          <w:rFonts w:ascii="Calibri" w:hAnsi="Calibri"/>
          <w:sz w:val="22"/>
        </w:rPr>
        <w:t>Taxable Proportion = 1,096 / 1,826 = 60.02%</w:t>
      </w:r>
    </w:p>
    <w:p>
      <w:pPr>
        <w:spacing w:after="40" w:before="0"/>
        <w:ind w:left="360"/>
      </w:pPr>
      <w:r>
        <w:rPr>
          <w:rFonts w:ascii="Calibri" w:hAnsi="Calibri"/>
          <w:sz w:val="22"/>
        </w:rPr>
        <w:t>Exempt Proportion = 730 / 1,826 = 39.98%</w:t>
      </w:r>
    </w:p>
    <w:p>
      <w:pPr>
        <w:spacing w:after="40" w:before="0"/>
        <w:ind w:left="360"/>
      </w:pPr>
      <w:r>
        <w:rPr>
          <w:rFonts w:ascii="Calibri" w:hAnsi="Calibri"/>
          <w:sz w:val="22"/>
        </w:rPr>
        <w:t>Exempt Amount = $101,550 x 39.98% = $40,600</w:t>
      </w:r>
    </w:p>
    <w:p>
      <w:pPr>
        <w:spacing w:after="40" w:before="0"/>
        <w:ind w:left="360"/>
      </w:pPr>
      <w:r>
        <w:rPr>
          <w:rFonts w:ascii="Calibri" w:hAnsi="Calibri"/>
          <w:sz w:val="22"/>
        </w:rPr>
        <w:t>Taxable Capital Gain = $101,550 x 60.02% = $60,950</w:t>
      </w:r>
    </w:p>
    <w:p>
      <w:pPr>
        <w:spacing w:after="40" w:before="0"/>
        <w:ind w:left="360"/>
      </w:pPr>
      <w:r>
        <w:rPr>
          <w:rFonts w:ascii="Calibri" w:hAnsi="Calibri"/>
          <w:b/>
          <w:color w:val="003366"/>
          <w:sz w:val="22"/>
        </w:rPr>
        <w:t>Step 5: Apply 50% CGT Discount</w:t>
      </w:r>
    </w:p>
    <w:p>
      <w:pPr>
        <w:spacing w:after="40" w:before="0"/>
        <w:ind w:left="360"/>
      </w:pPr>
      <w:r>
        <w:rPr>
          <w:rFonts w:ascii="Calibri" w:hAnsi="Calibri"/>
          <w:sz w:val="22"/>
        </w:rPr>
        <w:t>Held &gt; 12 months: YES</w:t>
      </w:r>
    </w:p>
    <w:p>
      <w:pPr>
        <w:spacing w:after="40" w:before="0"/>
        <w:ind w:left="360"/>
      </w:pPr>
      <w:r>
        <w:rPr>
          <w:rFonts w:ascii="Calibri" w:hAnsi="Calibri"/>
          <w:sz w:val="22"/>
        </w:rPr>
        <w:t>Discounted Gain = $60,950 x 50% = $30,475</w:t>
      </w:r>
    </w:p>
    <w:p>
      <w:pPr>
        <w:spacing w:after="40" w:before="0"/>
        <w:ind w:left="360"/>
      </w:pPr>
      <w:r>
        <w:rPr>
          <w:rFonts w:ascii="Calibri" w:hAnsi="Calibri"/>
          <w:b/>
          <w:color w:val="006400"/>
          <w:sz w:val="22"/>
        </w:rPr>
        <w:t>RESULT: NET CAPITAL GAIN = $30,475</w:t>
      </w:r>
    </w:p>
    <w:p>
      <w:pPr>
        <w:pStyle w:val="Heading2"/>
      </w:pPr>
      <w:r>
        <w:t>Applicable Rules</w:t>
      </w:r>
    </w:p>
    <w:p>
      <w:r>
        <w:rPr>
          <w:rFonts w:ascii="Calibri" w:hAnsi="Calibri"/>
          <w:sz w:val="22"/>
        </w:rPr>
        <w:t>ITAA97 s118.185: Partial main residence exemption</w:t>
      </w:r>
    </w:p>
    <w:p>
      <w:r>
        <w:rPr>
          <w:rFonts w:ascii="Calibri" w:hAnsi="Calibri"/>
          <w:sz w:val="22"/>
        </w:rPr>
        <w:t>Six-year rule NOT applicable: Property was investment first, then main residence</w:t>
      </w:r>
    </w:p>
    <w:p>
      <w:r>
        <w:rPr>
          <w:rFonts w:ascii="Calibri" w:hAnsi="Calibri"/>
          <w:sz w:val="22"/>
        </w:rPr>
        <w:t>Only actual residence period (39.98%) is exempt</w:t>
      </w:r>
    </w:p>
    <w:p>
      <w:r>
        <w:rPr>
          <w:rFonts w:ascii="Calibri" w:hAnsi="Calibri"/>
          <w:sz w:val="22"/>
        </w:rPr>
        <w:t>Rental period (60.02%) is taxable</w:t>
      </w:r>
    </w:p>
    <w:p>
      <w:r>
        <w:rPr>
          <w:rFonts w:ascii="Calibri" w:hAnsi="Calibri"/>
          <w:sz w:val="22"/>
        </w:rPr>
        <w:t>ITAA97 s115.25: 50% CGT discount applies</w:t>
      </w:r>
    </w:p>
    <w:p>
      <w:r>
        <w:rPr>
          <w:rFonts w:ascii="Calibri" w:hAnsi="Calibri"/>
          <w:sz w:val="22"/>
        </w:rPr>
        <w:t>Key distinction: If MR first then rental, six-year rule would apply</w:t>
      </w:r>
    </w:p>
    <w:p>
      <w:pPr>
        <w:spacing w:before="120" w:after="120"/>
      </w:pPr>
      <w:r>
        <w:rPr>
          <w:color w:val="B4B4B4"/>
          <w:sz w:val="12"/>
        </w:rPr>
        <w:t>────────────────────────────────────────────────────────────────────────────────────────────────────</w:t>
      </w:r>
    </w:p>
    <w:p>
      <w:pPr>
        <w:pStyle w:val="Heading1"/>
      </w:pPr>
      <w:r>
        <w:t>Scenario 20: Four Property Portfolio Optimization</w:t>
      </w:r>
    </w:p>
    <w:p>
      <w:pPr>
        <w:pStyle w:val="Heading2"/>
      </w:pPr>
      <w:r>
        <w:t>Description</w:t>
      </w:r>
    </w:p>
    <w:p>
      <w:r>
        <w:rPr>
          <w:rFonts w:ascii="Calibri" w:hAnsi="Calibri"/>
          <w:sz w:val="22"/>
        </w:rPr>
        <w:t>Victoria is selling her entire property portfolio in the 2024-25 financial year: her family home (main residence), a beach house (former main residence now rented), an investment unit (never lived in), and an inherited farm (from deceased parent). Strategic MRE nomination is critical to minimize total CGT.</w:t>
      </w:r>
    </w:p>
    <w:p>
      <w:pPr>
        <w:pStyle w:val="Heading2"/>
      </w:pPr>
      <w:r>
        <w:t>Key Facts</w:t>
      </w:r>
    </w:p>
    <w:p>
      <w:r>
        <w:rPr>
          <w:rFonts w:ascii="Calibri" w:hAnsi="Calibri"/>
          <w:sz w:val="22"/>
        </w:rPr>
        <w:t>Property A - Family Home (Current Main Residence)</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Address</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45 Residence Court, Noosa QLD 4567</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Purchase Date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 March 2016</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Purchase Price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$680,000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Status</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Current main residence (lived in 8.8 years)</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Sale Date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15 November 2024</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Sale Price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$1,450,000</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Capital Gain</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$680,000 (approximately)</w:t>
            </w:r>
          </w:p>
        </w:tc>
      </w:tr>
    </w:tbl>
    <w:p/>
    <w:p>
      <w:r>
        <w:rPr>
          <w:rFonts w:ascii="Calibri" w:hAnsi="Calibri"/>
          <w:sz w:val="22"/>
        </w:rPr>
        <w:t>Property B - Beach House (Former Main Residence)</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Address</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28 Oceanview Drive, Coolum QLD 4573</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Purchase Date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 June 2012</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Purchase Price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$420,000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Lived In Period</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 Jun 2012 to 28 Feb 2016 (3.75 years)</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Rental Period</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1 Mar 2016 to 15 Oct 2024 (8.6 years)</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Sale Date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15 October 2024</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Sale Price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$980,000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Capital Gain</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$480,000 (approximately)</w:t>
            </w:r>
          </w:p>
        </w:tc>
      </w:tr>
    </w:tbl>
    <w:p/>
    <w:p>
      <w:r>
        <w:rPr>
          <w:rFonts w:ascii="Calibri" w:hAnsi="Calibri"/>
          <w:sz w:val="22"/>
        </w:rPr>
        <w:t>Property C - Investment Unit</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Address</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505/100 City Road, Brisbane QLD 4000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Purchase Date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15 August 2018</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Purchase Price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$385,000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Status</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Investment (never lived in)</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Sale Date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1 December 2024</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Sale Price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$495,000</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Capital Gain</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$75,000 (approximately)</w:t>
            </w:r>
          </w:p>
        </w:tc>
      </w:tr>
    </w:tbl>
    <w:p/>
    <w:p>
      <w:r>
        <w:rPr>
          <w:rFonts w:ascii="Calibri" w:hAnsi="Calibri"/>
          <w:sz w:val="22"/>
        </w:rPr>
        <w:t>Property D - Inherited Farm</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Address</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1200 Rural Highway, Roma QLD 4455</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Inheritance Date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1 September 2022</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Market Value at Death</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$580,000</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Parent's MR Status</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Was deceased's main residence</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Sale Date</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20 December 2024</w:t>
            </w:r>
          </w:p>
        </w:tc>
      </w:tr>
      <w:tr>
        <w:tc>
          <w:tcPr>
            <w:tcW w:type="dxa" w:w="5040"/>
            <w:shd w:fill="FFFFFF"/>
            <w:tcBorders>
              <w:top w:val="single" w:sz="4" w:color="CCCCCC"/>
              <w:left w:val="single" w:sz="4" w:color="CCCCCC"/>
              <w:bottom w:val="single" w:sz="4" w:color="CCCCCC"/>
              <w:right w:val="single" w:sz="4" w:color="CCCCCC"/>
            </w:tcBorders>
          </w:tcPr>
          <w:p>
            <w:pPr>
              <w:jc w:val="left"/>
            </w:pPr>
            <w:r>
              <w:rPr>
                <w:sz w:val="20"/>
              </w:rPr>
              <w:t>Sale Price</w:t>
            </w:r>
          </w:p>
        </w:tc>
        <w:tc>
          <w:tcPr>
            <w:tcW w:type="dxa" w:w="5040"/>
            <w:shd w:fill="FFFFFF"/>
            <w:tcBorders>
              <w:top w:val="single" w:sz="4" w:color="CCCCCC"/>
              <w:left w:val="single" w:sz="4" w:color="CCCCCC"/>
              <w:bottom w:val="single" w:sz="4" w:color="CCCCCC"/>
              <w:right w:val="single" w:sz="4" w:color="CCCCCC"/>
            </w:tcBorders>
          </w:tcPr>
          <w:p>
            <w:pPr>
              <w:jc w:val="left"/>
            </w:pPr>
            <w:r>
              <w:rPr>
                <w:sz w:val="20"/>
              </w:rPr>
              <w:t>$650,000</w:t>
            </w:r>
          </w:p>
        </w:tc>
      </w:tr>
      <w:tr>
        <w:tc>
          <w:tcPr>
            <w:tcW w:type="dxa" w:w="5040"/>
            <w:shd w:fill="F0F4F8"/>
            <w:tcBorders>
              <w:top w:val="single" w:sz="4" w:color="CCCCCC"/>
              <w:left w:val="single" w:sz="4" w:color="CCCCCC"/>
              <w:bottom w:val="single" w:sz="4" w:color="CCCCCC"/>
              <w:right w:val="single" w:sz="4" w:color="CCCCCC"/>
            </w:tcBorders>
          </w:tcPr>
          <w:p>
            <w:pPr>
              <w:jc w:val="left"/>
            </w:pPr>
            <w:r>
              <w:rPr>
                <w:sz w:val="20"/>
              </w:rPr>
              <w:t>Capital Gain</w:t>
            </w:r>
          </w:p>
        </w:tc>
        <w:tc>
          <w:tcPr>
            <w:tcW w:type="dxa" w:w="5040"/>
            <w:shd w:fill="F0F4F8"/>
            <w:tcBorders>
              <w:top w:val="single" w:sz="4" w:color="CCCCCC"/>
              <w:left w:val="single" w:sz="4" w:color="CCCCCC"/>
              <w:bottom w:val="single" w:sz="4" w:color="CCCCCC"/>
              <w:right w:val="single" w:sz="4" w:color="CCCCCC"/>
            </w:tcBorders>
          </w:tcPr>
          <w:p>
            <w:pPr>
              <w:jc w:val="left"/>
            </w:pPr>
            <w:r>
              <w:rPr>
                <w:sz w:val="20"/>
              </w:rPr>
              <w:t>$55,000 (approximately)</w:t>
            </w:r>
          </w:p>
        </w:tc>
      </w:tr>
    </w:tbl>
    <w:p/>
    <w:p>
      <w:pPr>
        <w:pStyle w:val="Heading2"/>
      </w:pPr>
      <w:r>
        <w:t>Strategic Analysis</w:t>
      </w:r>
    </w:p>
    <w:p>
      <w:r>
        <w:rPr>
          <w:rFonts w:ascii="Calibri" w:hAnsi="Calibri"/>
          <w:sz w:val="22"/>
        </w:rPr>
        <w:t>Option 1: Claim MRE on Family Home (Current)</w:t>
      </w:r>
    </w:p>
    <w:p>
      <w:r>
        <w:rPr>
          <w:rFonts w:ascii="Calibri" w:hAnsi="Calibri"/>
          <w:sz w:val="22"/>
        </w:rPr>
        <w:t>Property A: FULL EXEMPTION (current main residence)</w:t>
      </w:r>
    </w:p>
    <w:p>
      <w:r>
        <w:rPr>
          <w:rFonts w:ascii="Calibri" w:hAnsi="Calibri"/>
          <w:sz w:val="22"/>
        </w:rPr>
        <w:t>Property B: Rental exceeded 6 years = PARTIAL EXEMPTION</w:t>
      </w:r>
    </w:p>
    <w:p>
      <w:r>
        <w:rPr>
          <w:rFonts w:ascii="Calibri" w:hAnsi="Calibri"/>
          <w:sz w:val="22"/>
        </w:rPr>
        <w:t>Property C: No MRE (investment)</w:t>
      </w:r>
    </w:p>
    <w:p>
      <w:r>
        <w:rPr>
          <w:rFonts w:ascii="Calibri" w:hAnsi="Calibri"/>
          <w:sz w:val="22"/>
        </w:rPr>
        <w:t>Property D: Sold within 2 years of death = FULL EXEMPTION</w:t>
      </w:r>
    </w:p>
    <w:p>
      <w:r>
        <w:rPr>
          <w:rFonts w:ascii="Calibri" w:hAnsi="Calibri"/>
          <w:sz w:val="22"/>
        </w:rPr>
        <w:t>Option 2: Claim MRE on Beach House (Six-Year Rule)</w:t>
      </w:r>
    </w:p>
    <w:p>
      <w:r>
        <w:rPr>
          <w:rFonts w:ascii="Calibri" w:hAnsi="Calibri"/>
          <w:sz w:val="22"/>
        </w:rPr>
        <w:t>Not available: Cannot claim MRE on beach house AND family home simultaneously</w:t>
      </w:r>
    </w:p>
    <w:p>
      <w:r>
        <w:rPr>
          <w:rFonts w:ascii="Calibri" w:hAnsi="Calibri"/>
          <w:sz w:val="22"/>
        </w:rPr>
        <w:t>Beach house rental (8.6 years) exceeds 6-year limit anyway</w:t>
      </w:r>
    </w:p>
    <w:p>
      <w:pPr>
        <w:pStyle w:val="Heading2"/>
      </w:pPr>
      <w:r>
        <w:t>CGT Calculation - Optimal Strategy (Option 1)</w:t>
      </w:r>
    </w:p>
    <w:p>
      <w:pPr>
        <w:spacing w:after="40" w:before="0"/>
        <w:ind w:left="360"/>
      </w:pPr>
      <w:r>
        <w:rPr>
          <w:rFonts w:ascii="Calibri" w:hAnsi="Calibri"/>
          <w:sz w:val="22"/>
        </w:rPr>
        <w:t>Property A (Family Home): $0 CGT (Full MRE)</w:t>
      </w:r>
    </w:p>
    <w:p>
      <w:pPr>
        <w:spacing w:after="40" w:before="0"/>
        <w:ind w:left="360"/>
      </w:pPr>
      <w:r>
        <w:rPr>
          <w:rFonts w:ascii="Calibri" w:hAnsi="Calibri"/>
          <w:sz w:val="22"/>
        </w:rPr>
        <w:t>Property B (Beach House):</w:t>
      </w:r>
    </w:p>
    <w:p>
      <w:pPr>
        <w:spacing w:after="40" w:before="0"/>
        <w:ind w:left="360"/>
      </w:pPr>
      <w:r>
        <w:rPr>
          <w:rFonts w:ascii="Calibri" w:hAnsi="Calibri"/>
          <w:sz w:val="22"/>
        </w:rPr>
        <w:t>Total ownership: 4,520 days</w:t>
      </w:r>
    </w:p>
    <w:p>
      <w:pPr>
        <w:spacing w:after="40" w:before="0"/>
        <w:ind w:left="360"/>
      </w:pPr>
      <w:r>
        <w:rPr>
          <w:rFonts w:ascii="Calibri" w:hAnsi="Calibri"/>
          <w:sz w:val="22"/>
        </w:rPr>
        <w:t>Rental period: 3,150 days (8.6 years)</w:t>
      </w:r>
    </w:p>
    <w:p>
      <w:pPr>
        <w:spacing w:after="40" w:before="0"/>
        <w:ind w:left="360"/>
      </w:pPr>
      <w:r>
        <w:rPr>
          <w:rFonts w:ascii="Calibri" w:hAnsi="Calibri"/>
          <w:sz w:val="22"/>
        </w:rPr>
        <w:t>Six-year exemption: 2,192 days</w:t>
      </w:r>
    </w:p>
    <w:p>
      <w:pPr>
        <w:spacing w:after="40" w:before="0"/>
        <w:ind w:left="360"/>
      </w:pPr>
      <w:r>
        <w:rPr>
          <w:rFonts w:ascii="Calibri" w:hAnsi="Calibri"/>
          <w:sz w:val="22"/>
        </w:rPr>
        <w:t>Excess: 958 days</w:t>
      </w:r>
    </w:p>
    <w:p>
      <w:pPr>
        <w:spacing w:after="40" w:before="0"/>
        <w:ind w:left="360"/>
      </w:pPr>
      <w:r>
        <w:rPr>
          <w:rFonts w:ascii="Calibri" w:hAnsi="Calibri"/>
          <w:sz w:val="22"/>
        </w:rPr>
        <w:t>First use to produce income applies:</w:t>
      </w:r>
    </w:p>
    <w:p>
      <w:pPr>
        <w:spacing w:after="40" w:before="0"/>
        <w:ind w:left="360"/>
      </w:pPr>
      <w:r>
        <w:rPr>
          <w:rFonts w:ascii="Calibri" w:hAnsi="Calibri"/>
          <w:sz w:val="22"/>
        </w:rPr>
        <w:t>Deemed acquisition: 1 March 2016</w:t>
      </w:r>
    </w:p>
    <w:p>
      <w:pPr>
        <w:spacing w:after="40" w:before="0"/>
        <w:ind w:left="360"/>
      </w:pPr>
      <w:r>
        <w:rPr>
          <w:rFonts w:ascii="Calibri" w:hAnsi="Calibri"/>
          <w:sz w:val="22"/>
        </w:rPr>
        <w:t>Market value: $580,000</w:t>
      </w:r>
    </w:p>
    <w:p>
      <w:pPr>
        <w:spacing w:after="40" w:before="0"/>
        <w:ind w:left="360"/>
      </w:pPr>
      <w:r>
        <w:rPr>
          <w:rFonts w:ascii="Calibri" w:hAnsi="Calibri"/>
          <w:sz w:val="22"/>
        </w:rPr>
        <w:t>Capital Gain from deemed date: $980,000 - $620,000 = $360,000</w:t>
      </w:r>
    </w:p>
    <w:p>
      <w:pPr>
        <w:spacing w:after="40" w:before="0"/>
        <w:ind w:left="360"/>
      </w:pPr>
      <w:r>
        <w:rPr>
          <w:rFonts w:ascii="Calibri" w:hAnsi="Calibri"/>
          <w:sz w:val="22"/>
        </w:rPr>
        <w:t>Taxable proportion: 958 / 3,150 = 30.41%</w:t>
      </w:r>
    </w:p>
    <w:p>
      <w:pPr>
        <w:spacing w:after="40" w:before="0"/>
        <w:ind w:left="360"/>
      </w:pPr>
      <w:r>
        <w:rPr>
          <w:rFonts w:ascii="Calibri" w:hAnsi="Calibri"/>
          <w:sz w:val="22"/>
        </w:rPr>
        <w:t>Taxable gain: $360,000 x 30.41% = $109,476</w:t>
      </w:r>
    </w:p>
    <w:p>
      <w:pPr>
        <w:spacing w:after="40" w:before="0"/>
        <w:ind w:left="360"/>
      </w:pPr>
      <w:r>
        <w:rPr>
          <w:rFonts w:ascii="Calibri" w:hAnsi="Calibri"/>
          <w:sz w:val="22"/>
        </w:rPr>
        <w:t>After 50% discount: $54,738</w:t>
      </w:r>
    </w:p>
    <w:p>
      <w:pPr>
        <w:spacing w:after="40" w:before="0"/>
        <w:ind w:left="360"/>
      </w:pPr>
      <w:r>
        <w:rPr>
          <w:rFonts w:ascii="Calibri" w:hAnsi="Calibri"/>
          <w:sz w:val="22"/>
        </w:rPr>
        <w:t>Property C (Investment Unit):</w:t>
      </w:r>
    </w:p>
    <w:p>
      <w:pPr>
        <w:spacing w:after="40" w:before="0"/>
        <w:ind w:left="360"/>
      </w:pPr>
      <w:r>
        <w:rPr>
          <w:rFonts w:ascii="Calibri" w:hAnsi="Calibri"/>
          <w:sz w:val="22"/>
        </w:rPr>
        <w:t>Capital Gain: $75,000</w:t>
      </w:r>
    </w:p>
    <w:p>
      <w:pPr>
        <w:spacing w:after="40" w:before="0"/>
        <w:ind w:left="360"/>
      </w:pPr>
      <w:r>
        <w:rPr>
          <w:rFonts w:ascii="Calibri" w:hAnsi="Calibri"/>
          <w:sz w:val="22"/>
        </w:rPr>
        <w:t>No MRE applies</w:t>
      </w:r>
    </w:p>
    <w:p>
      <w:pPr>
        <w:spacing w:after="40" w:before="0"/>
        <w:ind w:left="360"/>
      </w:pPr>
      <w:r>
        <w:rPr>
          <w:rFonts w:ascii="Calibri" w:hAnsi="Calibri"/>
          <w:sz w:val="22"/>
        </w:rPr>
        <w:t>After 50% discount: $37,500</w:t>
      </w:r>
    </w:p>
    <w:p>
      <w:pPr>
        <w:spacing w:after="40" w:before="0"/>
        <w:ind w:left="360"/>
      </w:pPr>
      <w:r>
        <w:rPr>
          <w:rFonts w:ascii="Calibri" w:hAnsi="Calibri"/>
          <w:sz w:val="22"/>
        </w:rPr>
        <w:t>Property D (Inherited Farm):</w:t>
      </w:r>
    </w:p>
    <w:p>
      <w:pPr>
        <w:spacing w:after="40" w:before="0"/>
        <w:ind w:left="360"/>
      </w:pPr>
      <w:r>
        <w:rPr>
          <w:rFonts w:ascii="Calibri" w:hAnsi="Calibri"/>
          <w:sz w:val="22"/>
        </w:rPr>
        <w:t>Sold within 2 years of death: YES (2.3 years, but within extension)</w:t>
      </w:r>
    </w:p>
    <w:p>
      <w:pPr>
        <w:spacing w:after="40" w:before="0"/>
        <w:ind w:left="360"/>
      </w:pPr>
      <w:r>
        <w:rPr>
          <w:rFonts w:ascii="Calibri" w:hAnsi="Calibri"/>
          <w:sz w:val="22"/>
        </w:rPr>
        <w:t>Was deceased's main residence: YES</w:t>
      </w:r>
    </w:p>
    <w:p>
      <w:pPr>
        <w:spacing w:after="40" w:before="0"/>
        <w:ind w:left="360"/>
      </w:pPr>
      <w:r>
        <w:rPr>
          <w:rFonts w:ascii="Calibri" w:hAnsi="Calibri"/>
          <w:sz w:val="22"/>
        </w:rPr>
        <w:t>2-year rule applies: FULL EXEMPTION</w:t>
      </w:r>
    </w:p>
    <w:p>
      <w:pPr>
        <w:spacing w:after="40" w:before="0"/>
        <w:ind w:left="360"/>
      </w:pPr>
      <w:r>
        <w:rPr>
          <w:rFonts w:ascii="Calibri" w:hAnsi="Calibri"/>
          <w:sz w:val="22"/>
        </w:rPr>
        <w:t>CGT: $0</w:t>
      </w:r>
    </w:p>
    <w:p>
      <w:pPr>
        <w:pStyle w:val="Heading2"/>
      </w:pPr>
      <w:r>
        <w:t>Portfolio Summary</w:t>
      </w:r>
    </w:p>
    <w:tbl>
      <w:tblPr>
        <w:tblStyle w:val="TableGrid"/>
        <w:tblW w:type="auto" w:w="0"/>
        <w:jc w:val="left"/>
        <w:tblLayout w:type="autofit"/>
        <w:tblLook w:firstColumn="1" w:firstRow="1" w:lastColumn="0" w:lastRow="0" w:noHBand="0" w:noVBand="1" w:val="04A0"/>
      </w:tblPr>
      <w:tblGrid>
        <w:gridCol w:w="2520"/>
        <w:gridCol w:w="2520"/>
        <w:gridCol w:w="2520"/>
        <w:gridCol w:w="2520"/>
      </w:tblGrid>
      <w:tr>
        <w:tc>
          <w:tcPr>
            <w:tcW w:type="dxa" w:w="2520"/>
            <w:shd w:fill="003366"/>
            <w:tcBorders>
              <w:top w:val="single" w:sz="4" w:color="003366"/>
              <w:left w:val="single" w:sz="4" w:color="003366"/>
              <w:bottom w:val="single" w:sz="4" w:color="003366"/>
              <w:right w:val="single" w:sz="4" w:color="003366"/>
            </w:tcBorders>
          </w:tcPr>
          <w:p>
            <w:pPr>
              <w:jc w:val="left"/>
            </w:pPr>
            <w:r>
              <w:rPr>
                <w:b/>
                <w:color w:val="FFFFFF"/>
                <w:sz w:val="20"/>
              </w:rPr>
              <w:t>Property</w:t>
            </w:r>
          </w:p>
        </w:tc>
        <w:tc>
          <w:tcPr>
            <w:tcW w:type="dxa" w:w="2520"/>
            <w:shd w:fill="003366"/>
            <w:tcBorders>
              <w:top w:val="single" w:sz="4" w:color="003366"/>
              <w:left w:val="single" w:sz="4" w:color="003366"/>
              <w:bottom w:val="single" w:sz="4" w:color="003366"/>
              <w:right w:val="single" w:sz="4" w:color="003366"/>
            </w:tcBorders>
          </w:tcPr>
          <w:p>
            <w:pPr>
              <w:jc w:val="left"/>
            </w:pPr>
            <w:r>
              <w:rPr>
                <w:b/>
                <w:color w:val="FFFFFF"/>
                <w:sz w:val="20"/>
              </w:rPr>
              <w:t>Capital Gain</w:t>
            </w:r>
          </w:p>
        </w:tc>
        <w:tc>
          <w:tcPr>
            <w:tcW w:type="dxa" w:w="2520"/>
            <w:shd w:fill="003366"/>
            <w:tcBorders>
              <w:top w:val="single" w:sz="4" w:color="003366"/>
              <w:left w:val="single" w:sz="4" w:color="003366"/>
              <w:bottom w:val="single" w:sz="4" w:color="003366"/>
              <w:right w:val="single" w:sz="4" w:color="003366"/>
            </w:tcBorders>
          </w:tcPr>
          <w:p>
            <w:pPr>
              <w:jc w:val="left"/>
            </w:pPr>
            <w:r>
              <w:rPr>
                <w:b/>
                <w:color w:val="FFFFFF"/>
                <w:sz w:val="20"/>
              </w:rPr>
              <w:t>Exemption</w:t>
            </w:r>
          </w:p>
        </w:tc>
        <w:tc>
          <w:tcPr>
            <w:tcW w:type="dxa" w:w="2520"/>
            <w:shd w:fill="003366"/>
            <w:tcBorders>
              <w:top w:val="single" w:sz="4" w:color="003366"/>
              <w:left w:val="single" w:sz="4" w:color="003366"/>
              <w:bottom w:val="single" w:sz="4" w:color="003366"/>
              <w:right w:val="single" w:sz="4" w:color="003366"/>
            </w:tcBorders>
          </w:tcPr>
          <w:p>
            <w:pPr>
              <w:jc w:val="left"/>
            </w:pPr>
            <w:r>
              <w:rPr>
                <w:b/>
                <w:color w:val="FFFFFF"/>
                <w:sz w:val="20"/>
              </w:rPr>
              <w:t>Net CGT</w:t>
            </w:r>
          </w:p>
        </w:tc>
      </w:tr>
      <w:tr>
        <w:tc>
          <w:tcPr>
            <w:tcW w:type="dxa" w:w="2520"/>
            <w:shd w:fill="F0F4F8"/>
            <w:tcBorders>
              <w:top w:val="single" w:sz="4" w:color="CCCCCC"/>
              <w:left w:val="single" w:sz="4" w:color="CCCCCC"/>
              <w:bottom w:val="single" w:sz="4" w:color="CCCCCC"/>
              <w:right w:val="single" w:sz="4" w:color="CCCCCC"/>
            </w:tcBorders>
          </w:tcPr>
          <w:p>
            <w:pPr>
              <w:jc w:val="left"/>
            </w:pPr>
            <w:r>
              <w:rPr>
                <w:sz w:val="20"/>
              </w:rPr>
              <w:t>A - Family Home</w:t>
            </w:r>
          </w:p>
        </w:tc>
        <w:tc>
          <w:tcPr>
            <w:tcW w:type="dxa" w:w="2520"/>
            <w:shd w:fill="F0F4F8"/>
            <w:tcBorders>
              <w:top w:val="single" w:sz="4" w:color="CCCCCC"/>
              <w:left w:val="single" w:sz="4" w:color="CCCCCC"/>
              <w:bottom w:val="single" w:sz="4" w:color="CCCCCC"/>
              <w:right w:val="single" w:sz="4" w:color="CCCCCC"/>
            </w:tcBorders>
          </w:tcPr>
          <w:p>
            <w:pPr>
              <w:jc w:val="left"/>
            </w:pPr>
            <w:r>
              <w:rPr>
                <w:sz w:val="20"/>
              </w:rPr>
              <w:t>$680,000</w:t>
            </w:r>
          </w:p>
        </w:tc>
        <w:tc>
          <w:tcPr>
            <w:tcW w:type="dxa" w:w="2520"/>
            <w:shd w:fill="F0F4F8"/>
            <w:tcBorders>
              <w:top w:val="single" w:sz="4" w:color="CCCCCC"/>
              <w:left w:val="single" w:sz="4" w:color="CCCCCC"/>
              <w:bottom w:val="single" w:sz="4" w:color="CCCCCC"/>
              <w:right w:val="single" w:sz="4" w:color="CCCCCC"/>
            </w:tcBorders>
          </w:tcPr>
          <w:p>
            <w:pPr>
              <w:jc w:val="left"/>
            </w:pPr>
            <w:r>
              <w:rPr>
                <w:sz w:val="20"/>
              </w:rPr>
              <w:t>Full MRE</w:t>
            </w:r>
          </w:p>
        </w:tc>
        <w:tc>
          <w:tcPr>
            <w:tcW w:type="dxa" w:w="2520"/>
            <w:shd w:fill="F0F4F8"/>
            <w:tcBorders>
              <w:top w:val="single" w:sz="4" w:color="CCCCCC"/>
              <w:left w:val="single" w:sz="4" w:color="CCCCCC"/>
              <w:bottom w:val="single" w:sz="4" w:color="CCCCCC"/>
              <w:right w:val="single" w:sz="4" w:color="CCCCCC"/>
            </w:tcBorders>
          </w:tcPr>
          <w:p>
            <w:pPr>
              <w:jc w:val="left"/>
            </w:pPr>
            <w:r>
              <w:rPr>
                <w:sz w:val="20"/>
              </w:rPr>
              <w:t>$0</w:t>
            </w:r>
          </w:p>
        </w:tc>
      </w:tr>
      <w:tr>
        <w:tc>
          <w:tcPr>
            <w:tcW w:type="dxa" w:w="2520"/>
            <w:shd w:fill="FFFFFF"/>
            <w:tcBorders>
              <w:top w:val="single" w:sz="4" w:color="CCCCCC"/>
              <w:left w:val="single" w:sz="4" w:color="CCCCCC"/>
              <w:bottom w:val="single" w:sz="4" w:color="CCCCCC"/>
              <w:right w:val="single" w:sz="4" w:color="CCCCCC"/>
            </w:tcBorders>
          </w:tcPr>
          <w:p>
            <w:pPr>
              <w:jc w:val="left"/>
            </w:pPr>
            <w:r>
              <w:rPr>
                <w:sz w:val="20"/>
              </w:rPr>
              <w:t>B - Beach House</w:t>
            </w:r>
          </w:p>
        </w:tc>
        <w:tc>
          <w:tcPr>
            <w:tcW w:type="dxa" w:w="2520"/>
            <w:shd w:fill="FFFFFF"/>
            <w:tcBorders>
              <w:top w:val="single" w:sz="4" w:color="CCCCCC"/>
              <w:left w:val="single" w:sz="4" w:color="CCCCCC"/>
              <w:bottom w:val="single" w:sz="4" w:color="CCCCCC"/>
              <w:right w:val="single" w:sz="4" w:color="CCCCCC"/>
            </w:tcBorders>
          </w:tcPr>
          <w:p>
            <w:pPr>
              <w:jc w:val="left"/>
            </w:pPr>
            <w:r>
              <w:rPr>
                <w:sz w:val="20"/>
              </w:rPr>
              <w:t>$360,000</w:t>
            </w:r>
          </w:p>
        </w:tc>
        <w:tc>
          <w:tcPr>
            <w:tcW w:type="dxa" w:w="2520"/>
            <w:shd w:fill="FFFFFF"/>
            <w:tcBorders>
              <w:top w:val="single" w:sz="4" w:color="CCCCCC"/>
              <w:left w:val="single" w:sz="4" w:color="CCCCCC"/>
              <w:bottom w:val="single" w:sz="4" w:color="CCCCCC"/>
              <w:right w:val="single" w:sz="4" w:color="CCCCCC"/>
            </w:tcBorders>
          </w:tcPr>
          <w:p>
            <w:pPr>
              <w:jc w:val="left"/>
            </w:pPr>
            <w:r>
              <w:rPr>
                <w:sz w:val="20"/>
              </w:rPr>
              <w:t>Partial (69.59%)</w:t>
            </w:r>
          </w:p>
        </w:tc>
        <w:tc>
          <w:tcPr>
            <w:tcW w:type="dxa" w:w="2520"/>
            <w:shd w:fill="FFFFFF"/>
            <w:tcBorders>
              <w:top w:val="single" w:sz="4" w:color="CCCCCC"/>
              <w:left w:val="single" w:sz="4" w:color="CCCCCC"/>
              <w:bottom w:val="single" w:sz="4" w:color="CCCCCC"/>
              <w:right w:val="single" w:sz="4" w:color="CCCCCC"/>
            </w:tcBorders>
          </w:tcPr>
          <w:p>
            <w:pPr>
              <w:jc w:val="left"/>
            </w:pPr>
            <w:r>
              <w:rPr>
                <w:sz w:val="20"/>
              </w:rPr>
              <w:t>$54,738</w:t>
            </w:r>
          </w:p>
        </w:tc>
      </w:tr>
      <w:tr>
        <w:tc>
          <w:tcPr>
            <w:tcW w:type="dxa" w:w="2520"/>
            <w:shd w:fill="F0F4F8"/>
            <w:tcBorders>
              <w:top w:val="single" w:sz="4" w:color="CCCCCC"/>
              <w:left w:val="single" w:sz="4" w:color="CCCCCC"/>
              <w:bottom w:val="single" w:sz="4" w:color="CCCCCC"/>
              <w:right w:val="single" w:sz="4" w:color="CCCCCC"/>
            </w:tcBorders>
          </w:tcPr>
          <w:p>
            <w:pPr>
              <w:jc w:val="left"/>
            </w:pPr>
            <w:r>
              <w:rPr>
                <w:sz w:val="20"/>
              </w:rPr>
              <w:t>C - Investment Unit</w:t>
            </w:r>
          </w:p>
        </w:tc>
        <w:tc>
          <w:tcPr>
            <w:tcW w:type="dxa" w:w="2520"/>
            <w:shd w:fill="F0F4F8"/>
            <w:tcBorders>
              <w:top w:val="single" w:sz="4" w:color="CCCCCC"/>
              <w:left w:val="single" w:sz="4" w:color="CCCCCC"/>
              <w:bottom w:val="single" w:sz="4" w:color="CCCCCC"/>
              <w:right w:val="single" w:sz="4" w:color="CCCCCC"/>
            </w:tcBorders>
          </w:tcPr>
          <w:p>
            <w:pPr>
              <w:jc w:val="left"/>
            </w:pPr>
            <w:r>
              <w:rPr>
                <w:sz w:val="20"/>
              </w:rPr>
              <w:t>$75,000</w:t>
            </w:r>
          </w:p>
        </w:tc>
        <w:tc>
          <w:tcPr>
            <w:tcW w:type="dxa" w:w="2520"/>
            <w:shd w:fill="F0F4F8"/>
            <w:tcBorders>
              <w:top w:val="single" w:sz="4" w:color="CCCCCC"/>
              <w:left w:val="single" w:sz="4" w:color="CCCCCC"/>
              <w:bottom w:val="single" w:sz="4" w:color="CCCCCC"/>
              <w:right w:val="single" w:sz="4" w:color="CCCCCC"/>
            </w:tcBorders>
          </w:tcPr>
          <w:p>
            <w:pPr>
              <w:jc w:val="left"/>
            </w:pPr>
            <w:r>
              <w:rPr>
                <w:sz w:val="20"/>
              </w:rPr>
              <w:t>None</w:t>
            </w:r>
          </w:p>
        </w:tc>
        <w:tc>
          <w:tcPr>
            <w:tcW w:type="dxa" w:w="2520"/>
            <w:shd w:fill="F0F4F8"/>
            <w:tcBorders>
              <w:top w:val="single" w:sz="4" w:color="CCCCCC"/>
              <w:left w:val="single" w:sz="4" w:color="CCCCCC"/>
              <w:bottom w:val="single" w:sz="4" w:color="CCCCCC"/>
              <w:right w:val="single" w:sz="4" w:color="CCCCCC"/>
            </w:tcBorders>
          </w:tcPr>
          <w:p>
            <w:pPr>
              <w:jc w:val="left"/>
            </w:pPr>
            <w:r>
              <w:rPr>
                <w:sz w:val="20"/>
              </w:rPr>
              <w:t>$37,500</w:t>
            </w:r>
          </w:p>
        </w:tc>
      </w:tr>
      <w:tr>
        <w:tc>
          <w:tcPr>
            <w:tcW w:type="dxa" w:w="2520"/>
            <w:shd w:fill="FFFFFF"/>
            <w:tcBorders>
              <w:top w:val="single" w:sz="4" w:color="CCCCCC"/>
              <w:left w:val="single" w:sz="4" w:color="CCCCCC"/>
              <w:bottom w:val="single" w:sz="4" w:color="CCCCCC"/>
              <w:right w:val="single" w:sz="4" w:color="CCCCCC"/>
            </w:tcBorders>
          </w:tcPr>
          <w:p>
            <w:pPr>
              <w:jc w:val="left"/>
            </w:pPr>
            <w:r>
              <w:rPr>
                <w:sz w:val="20"/>
              </w:rPr>
              <w:t>D - Inherited Farm</w:t>
            </w:r>
          </w:p>
        </w:tc>
        <w:tc>
          <w:tcPr>
            <w:tcW w:type="dxa" w:w="2520"/>
            <w:shd w:fill="FFFFFF"/>
            <w:tcBorders>
              <w:top w:val="single" w:sz="4" w:color="CCCCCC"/>
              <w:left w:val="single" w:sz="4" w:color="CCCCCC"/>
              <w:bottom w:val="single" w:sz="4" w:color="CCCCCC"/>
              <w:right w:val="single" w:sz="4" w:color="CCCCCC"/>
            </w:tcBorders>
          </w:tcPr>
          <w:p>
            <w:pPr>
              <w:jc w:val="left"/>
            </w:pPr>
            <w:r>
              <w:rPr>
                <w:sz w:val="20"/>
              </w:rPr>
              <w:t>$55,000</w:t>
            </w:r>
          </w:p>
        </w:tc>
        <w:tc>
          <w:tcPr>
            <w:tcW w:type="dxa" w:w="2520"/>
            <w:shd w:fill="FFFFFF"/>
            <w:tcBorders>
              <w:top w:val="single" w:sz="4" w:color="CCCCCC"/>
              <w:left w:val="single" w:sz="4" w:color="CCCCCC"/>
              <w:bottom w:val="single" w:sz="4" w:color="CCCCCC"/>
              <w:right w:val="single" w:sz="4" w:color="CCCCCC"/>
            </w:tcBorders>
          </w:tcPr>
          <w:p>
            <w:pPr>
              <w:jc w:val="left"/>
            </w:pPr>
            <w:r>
              <w:rPr>
                <w:sz w:val="20"/>
              </w:rPr>
              <w:t>Full (2-yr rule)</w:t>
            </w:r>
          </w:p>
        </w:tc>
        <w:tc>
          <w:tcPr>
            <w:tcW w:type="dxa" w:w="2520"/>
            <w:shd w:fill="FFFFFF"/>
            <w:tcBorders>
              <w:top w:val="single" w:sz="4" w:color="CCCCCC"/>
              <w:left w:val="single" w:sz="4" w:color="CCCCCC"/>
              <w:bottom w:val="single" w:sz="4" w:color="CCCCCC"/>
              <w:right w:val="single" w:sz="4" w:color="CCCCCC"/>
            </w:tcBorders>
          </w:tcPr>
          <w:p>
            <w:pPr>
              <w:jc w:val="left"/>
            </w:pPr>
            <w:r>
              <w:rPr>
                <w:sz w:val="20"/>
              </w:rPr>
              <w:t>$0</w:t>
            </w:r>
          </w:p>
        </w:tc>
      </w:tr>
      <w:tr>
        <w:tc>
          <w:tcPr>
            <w:tcW w:type="dxa" w:w="2520"/>
            <w:shd w:fill="F0F4F8"/>
            <w:tcBorders>
              <w:top w:val="single" w:sz="4" w:color="CCCCCC"/>
              <w:left w:val="single" w:sz="4" w:color="CCCCCC"/>
              <w:bottom w:val="single" w:sz="4" w:color="CCCCCC"/>
              <w:right w:val="single" w:sz="4" w:color="CCCCCC"/>
            </w:tcBorders>
          </w:tcPr>
          <w:p>
            <w:pPr>
              <w:jc w:val="left"/>
            </w:pPr>
            <w:r>
              <w:rPr>
                <w:sz w:val="20"/>
              </w:rPr>
              <w:t>**TOTAL**</w:t>
            </w:r>
          </w:p>
        </w:tc>
        <w:tc>
          <w:tcPr>
            <w:tcW w:type="dxa" w:w="2520"/>
            <w:shd w:fill="F0F4F8"/>
            <w:tcBorders>
              <w:top w:val="single" w:sz="4" w:color="CCCCCC"/>
              <w:left w:val="single" w:sz="4" w:color="CCCCCC"/>
              <w:bottom w:val="single" w:sz="4" w:color="CCCCCC"/>
              <w:right w:val="single" w:sz="4" w:color="CCCCCC"/>
            </w:tcBorders>
          </w:tcPr>
          <w:p>
            <w:pPr>
              <w:jc w:val="left"/>
            </w:pPr>
            <w:r>
              <w:rPr>
                <w:sz w:val="20"/>
              </w:rPr>
              <w:t>**$1,170,000**</w:t>
            </w:r>
          </w:p>
        </w:tc>
        <w:tc>
          <w:tcPr>
            <w:tcW w:type="dxa" w:w="2520"/>
            <w:shd w:fill="F0F4F8"/>
            <w:tcBorders>
              <w:top w:val="single" w:sz="4" w:color="CCCCCC"/>
              <w:left w:val="single" w:sz="4" w:color="CCCCCC"/>
              <w:bottom w:val="single" w:sz="4" w:color="CCCCCC"/>
              <w:right w:val="single" w:sz="4" w:color="CCCCCC"/>
            </w:tcBorders>
          </w:tcPr>
          <w:p>
            <w:pPr>
              <w:jc w:val="left"/>
            </w:pPr>
            <w:r>
              <w:rPr>
                <w:sz w:val="20"/>
              </w:rPr>
            </w:r>
          </w:p>
        </w:tc>
        <w:tc>
          <w:tcPr>
            <w:tcW w:type="dxa" w:w="2520"/>
            <w:shd w:fill="F0F4F8"/>
            <w:tcBorders>
              <w:top w:val="single" w:sz="4" w:color="CCCCCC"/>
              <w:left w:val="single" w:sz="4" w:color="CCCCCC"/>
              <w:bottom w:val="single" w:sz="4" w:color="CCCCCC"/>
              <w:right w:val="single" w:sz="4" w:color="CCCCCC"/>
            </w:tcBorders>
          </w:tcPr>
          <w:p>
            <w:pPr>
              <w:jc w:val="left"/>
            </w:pPr>
            <w:r>
              <w:rPr>
                <w:sz w:val="20"/>
              </w:rPr>
              <w:t>**$92,238**</w:t>
            </w:r>
          </w:p>
        </w:tc>
      </w:tr>
    </w:tbl>
    <w:p/>
    <w:p>
      <w:r>
        <w:rPr>
          <w:rFonts w:ascii="Calibri" w:hAnsi="Calibri"/>
          <w:sz w:val="22"/>
        </w:rPr>
        <w:t>TOTAL NET CAPITAL GAIN: $92,238</w:t>
      </w:r>
    </w:p>
    <w:p>
      <w:pPr>
        <w:pStyle w:val="Heading2"/>
      </w:pPr>
      <w:r>
        <w:t>Applicable Rules</w:t>
      </w:r>
    </w:p>
    <w:p>
      <w:r>
        <w:rPr>
          <w:rFonts w:ascii="Calibri" w:hAnsi="Calibri"/>
          <w:sz w:val="22"/>
        </w:rPr>
        <w:t>Property A: ITAA97 s118.110 - Full main residence exemption</w:t>
      </w:r>
    </w:p>
    <w:p>
      <w:r>
        <w:rPr>
          <w:rFonts w:ascii="Calibri" w:hAnsi="Calibri"/>
          <w:sz w:val="22"/>
        </w:rPr>
        <w:t>Property B: ITAA97 s118.145 - Six-year rule exceeded (partial)</w:t>
      </w:r>
    </w:p>
    <w:p>
      <w:r>
        <w:rPr>
          <w:rFonts w:ascii="Calibri" w:hAnsi="Calibri"/>
          <w:sz w:val="22"/>
        </w:rPr>
        <w:t>ITAA97 s118.192 - First use to produce income</w:t>
      </w:r>
    </w:p>
    <w:p>
      <w:r>
        <w:rPr>
          <w:rFonts w:ascii="Calibri" w:hAnsi="Calibri"/>
          <w:sz w:val="22"/>
        </w:rPr>
        <w:t>Property C: No exemption - pure investment property</w:t>
      </w:r>
    </w:p>
    <w:p>
      <w:r>
        <w:rPr>
          <w:rFonts w:ascii="Calibri" w:hAnsi="Calibri"/>
          <w:sz w:val="22"/>
        </w:rPr>
        <w:t>Property D: ITAA97 s118.195 - Deceased estate 2-year rule</w:t>
      </w:r>
    </w:p>
    <w:p>
      <w:r>
        <w:rPr>
          <w:rFonts w:ascii="Calibri" w:hAnsi="Calibri"/>
          <w:sz w:val="22"/>
        </w:rPr>
        <w:t>ITAA97 s115.25: 50% CGT discount applies to all taxable portions</w:t>
      </w:r>
    </w:p>
    <w:p>
      <w:pPr>
        <w:spacing w:before="120" w:after="120"/>
      </w:pPr>
      <w:r>
        <w:rPr>
          <w:color w:val="B4B4B4"/>
          <w:sz w:val="12"/>
        </w:rPr>
        <w:t>────────────────────────────────────────────────────────────────────────────────────────────────────</w:t>
      </w:r>
    </w:p>
    <w:p>
      <w:pPr>
        <w:pStyle w:val="Heading1"/>
      </w:pPr>
      <w:r>
        <w:t>Summary Table - All 20 Scenarios</w:t>
      </w:r>
    </w:p>
    <w:tbl>
      <w:tblPr>
        <w:tblStyle w:val="TableGrid"/>
        <w:tblW w:type="auto" w:w="0"/>
        <w:jc w:val="left"/>
        <w:tblLayout w:type="autofit"/>
        <w:tblLook w:firstColumn="1" w:firstRow="1" w:lastColumn="0" w:lastRow="0" w:noHBand="0" w:noVBand="1" w:val="04A0"/>
      </w:tblPr>
      <w:tblGrid>
        <w:gridCol w:w="2016"/>
        <w:gridCol w:w="2016"/>
        <w:gridCol w:w="2016"/>
        <w:gridCol w:w="2016"/>
        <w:gridCol w:w="2016"/>
      </w:tblGrid>
      <w:tr>
        <w:tc>
          <w:tcPr>
            <w:tcW w:type="dxa" w:w="2016"/>
            <w:shd w:fill="003366"/>
            <w:tcBorders>
              <w:top w:val="single" w:sz="4" w:color="003366"/>
              <w:left w:val="single" w:sz="4" w:color="003366"/>
              <w:bottom w:val="single" w:sz="4" w:color="003366"/>
              <w:right w:val="single" w:sz="4" w:color="003366"/>
            </w:tcBorders>
          </w:tcPr>
          <w:p>
            <w:pPr>
              <w:jc w:val="left"/>
            </w:pPr>
            <w:r>
              <w:rPr>
                <w:b/>
                <w:color w:val="FFFFFF"/>
                <w:sz w:val="20"/>
              </w:rPr>
              <w:t>#</w:t>
            </w:r>
          </w:p>
        </w:tc>
        <w:tc>
          <w:tcPr>
            <w:tcW w:type="dxa" w:w="2016"/>
            <w:shd w:fill="003366"/>
            <w:tcBorders>
              <w:top w:val="single" w:sz="4" w:color="003366"/>
              <w:left w:val="single" w:sz="4" w:color="003366"/>
              <w:bottom w:val="single" w:sz="4" w:color="003366"/>
              <w:right w:val="single" w:sz="4" w:color="003366"/>
            </w:tcBorders>
          </w:tcPr>
          <w:p>
            <w:pPr>
              <w:jc w:val="left"/>
            </w:pPr>
            <w:r>
              <w:rPr>
                <w:b/>
                <w:color w:val="FFFFFF"/>
                <w:sz w:val="20"/>
              </w:rPr>
              <w:t>Scenario</w:t>
            </w:r>
          </w:p>
        </w:tc>
        <w:tc>
          <w:tcPr>
            <w:tcW w:type="dxa" w:w="2016"/>
            <w:shd w:fill="003366"/>
            <w:tcBorders>
              <w:top w:val="single" w:sz="4" w:color="003366"/>
              <w:left w:val="single" w:sz="4" w:color="003366"/>
              <w:bottom w:val="single" w:sz="4" w:color="003366"/>
              <w:right w:val="single" w:sz="4" w:color="003366"/>
            </w:tcBorders>
          </w:tcPr>
          <w:p>
            <w:pPr>
              <w:jc w:val="left"/>
            </w:pPr>
            <w:r>
              <w:rPr>
                <w:b/>
                <w:color w:val="FFFFFF"/>
                <w:sz w:val="20"/>
              </w:rPr>
              <w:t>Key Rule</w:t>
            </w:r>
          </w:p>
        </w:tc>
        <w:tc>
          <w:tcPr>
            <w:tcW w:type="dxa" w:w="2016"/>
            <w:shd w:fill="003366"/>
            <w:tcBorders>
              <w:top w:val="single" w:sz="4" w:color="003366"/>
              <w:left w:val="single" w:sz="4" w:color="003366"/>
              <w:bottom w:val="single" w:sz="4" w:color="003366"/>
              <w:right w:val="single" w:sz="4" w:color="003366"/>
            </w:tcBorders>
          </w:tcPr>
          <w:p>
            <w:pPr>
              <w:jc w:val="left"/>
            </w:pPr>
            <w:r>
              <w:rPr>
                <w:b/>
                <w:color w:val="FFFFFF"/>
                <w:sz w:val="20"/>
              </w:rPr>
              <w:t>Exemption</w:t>
            </w:r>
          </w:p>
        </w:tc>
        <w:tc>
          <w:tcPr>
            <w:tcW w:type="dxa" w:w="2016"/>
            <w:shd w:fill="003366"/>
            <w:tcBorders>
              <w:top w:val="single" w:sz="4" w:color="003366"/>
              <w:left w:val="single" w:sz="4" w:color="003366"/>
              <w:bottom w:val="single" w:sz="4" w:color="003366"/>
              <w:right w:val="single" w:sz="4" w:color="003366"/>
            </w:tcBorders>
          </w:tcPr>
          <w:p>
            <w:pPr>
              <w:jc w:val="left"/>
            </w:pPr>
            <w:r>
              <w:rPr>
                <w:b/>
                <w:color w:val="FFFFFF"/>
                <w:sz w:val="20"/>
              </w:rPr>
              <w:t>Net Capital Gain</w:t>
            </w:r>
          </w:p>
        </w:tc>
      </w:tr>
      <w:tr>
        <w:tc>
          <w:tcPr>
            <w:tcW w:type="dxa" w:w="2016"/>
            <w:shd w:fill="F0F4F8"/>
            <w:tcBorders>
              <w:top w:val="single" w:sz="4" w:color="CCCCCC"/>
              <w:left w:val="single" w:sz="4" w:color="CCCCCC"/>
              <w:bottom w:val="single" w:sz="4" w:color="CCCCCC"/>
              <w:right w:val="single" w:sz="4" w:color="CCCCCC"/>
            </w:tcBorders>
          </w:tcPr>
          <w:p>
            <w:pPr>
              <w:jc w:val="left"/>
            </w:pPr>
            <w:r>
              <w:rPr>
                <w:sz w:val="20"/>
              </w:rPr>
              <w:t>1</w:t>
            </w:r>
          </w:p>
        </w:tc>
        <w:tc>
          <w:tcPr>
            <w:tcW w:type="dxa" w:w="2016"/>
            <w:shd w:fill="F0F4F8"/>
            <w:tcBorders>
              <w:top w:val="single" w:sz="4" w:color="CCCCCC"/>
              <w:left w:val="single" w:sz="4" w:color="CCCCCC"/>
              <w:bottom w:val="single" w:sz="4" w:color="CCCCCC"/>
              <w:right w:val="single" w:sz="4" w:color="CCCCCC"/>
            </w:tcBorders>
          </w:tcPr>
          <w:p>
            <w:pPr>
              <w:jc w:val="left"/>
            </w:pPr>
            <w:r>
              <w:rPr>
                <w:sz w:val="20"/>
              </w:rPr>
              <w:t>Aged Care Entry (Indefinite Absence)</w:t>
            </w:r>
          </w:p>
        </w:tc>
        <w:tc>
          <w:tcPr>
            <w:tcW w:type="dxa" w:w="2016"/>
            <w:shd w:fill="F0F4F8"/>
            <w:tcBorders>
              <w:top w:val="single" w:sz="4" w:color="CCCCCC"/>
              <w:left w:val="single" w:sz="4" w:color="CCCCCC"/>
              <w:bottom w:val="single" w:sz="4" w:color="CCCCCC"/>
              <w:right w:val="single" w:sz="4" w:color="CCCCCC"/>
            </w:tcBorders>
          </w:tcPr>
          <w:p>
            <w:pPr>
              <w:jc w:val="left"/>
            </w:pPr>
            <w:r>
              <w:rPr>
                <w:sz w:val="20"/>
              </w:rPr>
              <w:t>s118.145</w:t>
            </w:r>
          </w:p>
        </w:tc>
        <w:tc>
          <w:tcPr>
            <w:tcW w:type="dxa" w:w="2016"/>
            <w:shd w:fill="F0F4F8"/>
            <w:tcBorders>
              <w:top w:val="single" w:sz="4" w:color="CCCCCC"/>
              <w:left w:val="single" w:sz="4" w:color="CCCCCC"/>
              <w:bottom w:val="single" w:sz="4" w:color="CCCCCC"/>
              <w:right w:val="single" w:sz="4" w:color="CCCCCC"/>
            </w:tcBorders>
          </w:tcPr>
          <w:p>
            <w:pPr>
              <w:jc w:val="left"/>
            </w:pPr>
            <w:r>
              <w:rPr>
                <w:sz w:val="20"/>
              </w:rPr>
              <w:t>100%</w:t>
            </w:r>
          </w:p>
        </w:tc>
        <w:tc>
          <w:tcPr>
            <w:tcW w:type="dxa" w:w="2016"/>
            <w:shd w:fill="F0F4F8"/>
            <w:tcBorders>
              <w:top w:val="single" w:sz="4" w:color="CCCCCC"/>
              <w:left w:val="single" w:sz="4" w:color="CCCCCC"/>
              <w:bottom w:val="single" w:sz="4" w:color="CCCCCC"/>
              <w:right w:val="single" w:sz="4" w:color="CCCCCC"/>
            </w:tcBorders>
          </w:tcPr>
          <w:p>
            <w:pPr>
              <w:jc w:val="left"/>
            </w:pPr>
            <w:r>
              <w:rPr>
                <w:sz w:val="20"/>
              </w:rPr>
              <w:t>$0</w:t>
            </w:r>
          </w:p>
        </w:tc>
      </w:tr>
      <w:tr>
        <w:tc>
          <w:tcPr>
            <w:tcW w:type="dxa" w:w="2016"/>
            <w:shd w:fill="FFFFFF"/>
            <w:tcBorders>
              <w:top w:val="single" w:sz="4" w:color="CCCCCC"/>
              <w:left w:val="single" w:sz="4" w:color="CCCCCC"/>
              <w:bottom w:val="single" w:sz="4" w:color="CCCCCC"/>
              <w:right w:val="single" w:sz="4" w:color="CCCCCC"/>
            </w:tcBorders>
          </w:tcPr>
          <w:p>
            <w:pPr>
              <w:jc w:val="left"/>
            </w:pPr>
            <w:r>
              <w:rPr>
                <w:sz w:val="20"/>
              </w:rPr>
              <w:t>2</w:t>
            </w:r>
          </w:p>
        </w:tc>
        <w:tc>
          <w:tcPr>
            <w:tcW w:type="dxa" w:w="2016"/>
            <w:shd w:fill="FFFFFF"/>
            <w:tcBorders>
              <w:top w:val="single" w:sz="4" w:color="CCCCCC"/>
              <w:left w:val="single" w:sz="4" w:color="CCCCCC"/>
              <w:bottom w:val="single" w:sz="4" w:color="CCCCCC"/>
              <w:right w:val="single" w:sz="4" w:color="CCCCCC"/>
            </w:tcBorders>
          </w:tcPr>
          <w:p>
            <w:pPr>
              <w:jc w:val="left"/>
            </w:pPr>
            <w:r>
              <w:rPr>
                <w:sz w:val="20"/>
              </w:rPr>
              <w:t>Delayed Move-In (Work Assignment)</w:t>
            </w:r>
          </w:p>
        </w:tc>
        <w:tc>
          <w:tcPr>
            <w:tcW w:type="dxa" w:w="2016"/>
            <w:shd w:fill="FFFFFF"/>
            <w:tcBorders>
              <w:top w:val="single" w:sz="4" w:color="CCCCCC"/>
              <w:left w:val="single" w:sz="4" w:color="CCCCCC"/>
              <w:bottom w:val="single" w:sz="4" w:color="CCCCCC"/>
              <w:right w:val="single" w:sz="4" w:color="CCCCCC"/>
            </w:tcBorders>
          </w:tcPr>
          <w:p>
            <w:pPr>
              <w:jc w:val="left"/>
            </w:pPr>
            <w:r>
              <w:rPr>
                <w:sz w:val="20"/>
              </w:rPr>
              <w:t>ATO guidance</w:t>
            </w:r>
          </w:p>
        </w:tc>
        <w:tc>
          <w:tcPr>
            <w:tcW w:type="dxa" w:w="2016"/>
            <w:shd w:fill="FFFFFF"/>
            <w:tcBorders>
              <w:top w:val="single" w:sz="4" w:color="CCCCCC"/>
              <w:left w:val="single" w:sz="4" w:color="CCCCCC"/>
              <w:bottom w:val="single" w:sz="4" w:color="CCCCCC"/>
              <w:right w:val="single" w:sz="4" w:color="CCCCCC"/>
            </w:tcBorders>
          </w:tcPr>
          <w:p>
            <w:pPr>
              <w:jc w:val="left"/>
            </w:pPr>
            <w:r>
              <w:rPr>
                <w:sz w:val="20"/>
              </w:rPr>
              <w:t>100%</w:t>
            </w:r>
          </w:p>
        </w:tc>
        <w:tc>
          <w:tcPr>
            <w:tcW w:type="dxa" w:w="2016"/>
            <w:shd w:fill="FFFFFF"/>
            <w:tcBorders>
              <w:top w:val="single" w:sz="4" w:color="CCCCCC"/>
              <w:left w:val="single" w:sz="4" w:color="CCCCCC"/>
              <w:bottom w:val="single" w:sz="4" w:color="CCCCCC"/>
              <w:right w:val="single" w:sz="4" w:color="CCCCCC"/>
            </w:tcBorders>
          </w:tcPr>
          <w:p>
            <w:pPr>
              <w:jc w:val="left"/>
            </w:pPr>
            <w:r>
              <w:rPr>
                <w:sz w:val="20"/>
              </w:rPr>
              <w:t>$0</w:t>
            </w:r>
          </w:p>
        </w:tc>
      </w:tr>
      <w:tr>
        <w:tc>
          <w:tcPr>
            <w:tcW w:type="dxa" w:w="2016"/>
            <w:shd w:fill="F0F4F8"/>
            <w:tcBorders>
              <w:top w:val="single" w:sz="4" w:color="CCCCCC"/>
              <w:left w:val="single" w:sz="4" w:color="CCCCCC"/>
              <w:bottom w:val="single" w:sz="4" w:color="CCCCCC"/>
              <w:right w:val="single" w:sz="4" w:color="CCCCCC"/>
            </w:tcBorders>
          </w:tcPr>
          <w:p>
            <w:pPr>
              <w:jc w:val="left"/>
            </w:pPr>
            <w:r>
              <w:rPr>
                <w:sz w:val="20"/>
              </w:rPr>
              <w:t>3</w:t>
            </w:r>
          </w:p>
        </w:tc>
        <w:tc>
          <w:tcPr>
            <w:tcW w:type="dxa" w:w="2016"/>
            <w:shd w:fill="F0F4F8"/>
            <w:tcBorders>
              <w:top w:val="single" w:sz="4" w:color="CCCCCC"/>
              <w:left w:val="single" w:sz="4" w:color="CCCCCC"/>
              <w:bottom w:val="single" w:sz="4" w:color="CCCCCC"/>
              <w:right w:val="single" w:sz="4" w:color="CCCCCC"/>
            </w:tcBorders>
          </w:tcPr>
          <w:p>
            <w:pPr>
              <w:jc w:val="left"/>
            </w:pPr>
            <w:r>
              <w:rPr>
                <w:sz w:val="20"/>
              </w:rPr>
              <w:t>Multiple Six-Year Periods Reset</w:t>
            </w:r>
          </w:p>
        </w:tc>
        <w:tc>
          <w:tcPr>
            <w:tcW w:type="dxa" w:w="2016"/>
            <w:shd w:fill="F0F4F8"/>
            <w:tcBorders>
              <w:top w:val="single" w:sz="4" w:color="CCCCCC"/>
              <w:left w:val="single" w:sz="4" w:color="CCCCCC"/>
              <w:bottom w:val="single" w:sz="4" w:color="CCCCCC"/>
              <w:right w:val="single" w:sz="4" w:color="CCCCCC"/>
            </w:tcBorders>
          </w:tcPr>
          <w:p>
            <w:pPr>
              <w:jc w:val="left"/>
            </w:pPr>
            <w:r>
              <w:rPr>
                <w:sz w:val="20"/>
              </w:rPr>
              <w:t>s118.145</w:t>
            </w:r>
          </w:p>
        </w:tc>
        <w:tc>
          <w:tcPr>
            <w:tcW w:type="dxa" w:w="2016"/>
            <w:shd w:fill="F0F4F8"/>
            <w:tcBorders>
              <w:top w:val="single" w:sz="4" w:color="CCCCCC"/>
              <w:left w:val="single" w:sz="4" w:color="CCCCCC"/>
              <w:bottom w:val="single" w:sz="4" w:color="CCCCCC"/>
              <w:right w:val="single" w:sz="4" w:color="CCCCCC"/>
            </w:tcBorders>
          </w:tcPr>
          <w:p>
            <w:pPr>
              <w:jc w:val="left"/>
            </w:pPr>
            <w:r>
              <w:rPr>
                <w:sz w:val="20"/>
              </w:rPr>
              <w:t>100%</w:t>
            </w:r>
          </w:p>
        </w:tc>
        <w:tc>
          <w:tcPr>
            <w:tcW w:type="dxa" w:w="2016"/>
            <w:shd w:fill="F0F4F8"/>
            <w:tcBorders>
              <w:top w:val="single" w:sz="4" w:color="CCCCCC"/>
              <w:left w:val="single" w:sz="4" w:color="CCCCCC"/>
              <w:bottom w:val="single" w:sz="4" w:color="CCCCCC"/>
              <w:right w:val="single" w:sz="4" w:color="CCCCCC"/>
            </w:tcBorders>
          </w:tcPr>
          <w:p>
            <w:pPr>
              <w:jc w:val="left"/>
            </w:pPr>
            <w:r>
              <w:rPr>
                <w:sz w:val="20"/>
              </w:rPr>
              <w:t>$0</w:t>
            </w:r>
          </w:p>
        </w:tc>
      </w:tr>
      <w:tr>
        <w:tc>
          <w:tcPr>
            <w:tcW w:type="dxa" w:w="2016"/>
            <w:shd w:fill="FFFFFF"/>
            <w:tcBorders>
              <w:top w:val="single" w:sz="4" w:color="CCCCCC"/>
              <w:left w:val="single" w:sz="4" w:color="CCCCCC"/>
              <w:bottom w:val="single" w:sz="4" w:color="CCCCCC"/>
              <w:right w:val="single" w:sz="4" w:color="CCCCCC"/>
            </w:tcBorders>
          </w:tcPr>
          <w:p>
            <w:pPr>
              <w:jc w:val="left"/>
            </w:pPr>
            <w:r>
              <w:rPr>
                <w:sz w:val="20"/>
              </w:rPr>
              <w:t>4</w:t>
            </w:r>
          </w:p>
        </w:tc>
        <w:tc>
          <w:tcPr>
            <w:tcW w:type="dxa" w:w="2016"/>
            <w:shd w:fill="FFFFFF"/>
            <w:tcBorders>
              <w:top w:val="single" w:sz="4" w:color="CCCCCC"/>
              <w:left w:val="single" w:sz="4" w:color="CCCCCC"/>
              <w:bottom w:val="single" w:sz="4" w:color="CCCCCC"/>
              <w:right w:val="single" w:sz="4" w:color="CCCCCC"/>
            </w:tcBorders>
          </w:tcPr>
          <w:p>
            <w:pPr>
              <w:jc w:val="left"/>
            </w:pPr>
            <w:r>
              <w:rPr>
                <w:sz w:val="20"/>
              </w:rPr>
              <w:t>Deceased Estate (Within 2 Years)</w:t>
            </w:r>
          </w:p>
        </w:tc>
        <w:tc>
          <w:tcPr>
            <w:tcW w:type="dxa" w:w="2016"/>
            <w:shd w:fill="FFFFFF"/>
            <w:tcBorders>
              <w:top w:val="single" w:sz="4" w:color="CCCCCC"/>
              <w:left w:val="single" w:sz="4" w:color="CCCCCC"/>
              <w:bottom w:val="single" w:sz="4" w:color="CCCCCC"/>
              <w:right w:val="single" w:sz="4" w:color="CCCCCC"/>
            </w:tcBorders>
          </w:tcPr>
          <w:p>
            <w:pPr>
              <w:jc w:val="left"/>
            </w:pPr>
            <w:r>
              <w:rPr>
                <w:sz w:val="20"/>
              </w:rPr>
              <w:t>s118.195</w:t>
            </w:r>
          </w:p>
        </w:tc>
        <w:tc>
          <w:tcPr>
            <w:tcW w:type="dxa" w:w="2016"/>
            <w:shd w:fill="FFFFFF"/>
            <w:tcBorders>
              <w:top w:val="single" w:sz="4" w:color="CCCCCC"/>
              <w:left w:val="single" w:sz="4" w:color="CCCCCC"/>
              <w:bottom w:val="single" w:sz="4" w:color="CCCCCC"/>
              <w:right w:val="single" w:sz="4" w:color="CCCCCC"/>
            </w:tcBorders>
          </w:tcPr>
          <w:p>
            <w:pPr>
              <w:jc w:val="left"/>
            </w:pPr>
            <w:r>
              <w:rPr>
                <w:sz w:val="20"/>
              </w:rPr>
              <w:t>100%</w:t>
            </w:r>
          </w:p>
        </w:tc>
        <w:tc>
          <w:tcPr>
            <w:tcW w:type="dxa" w:w="2016"/>
            <w:shd w:fill="FFFFFF"/>
            <w:tcBorders>
              <w:top w:val="single" w:sz="4" w:color="CCCCCC"/>
              <w:left w:val="single" w:sz="4" w:color="CCCCCC"/>
              <w:bottom w:val="single" w:sz="4" w:color="CCCCCC"/>
              <w:right w:val="single" w:sz="4" w:color="CCCCCC"/>
            </w:tcBorders>
          </w:tcPr>
          <w:p>
            <w:pPr>
              <w:jc w:val="left"/>
            </w:pPr>
            <w:r>
              <w:rPr>
                <w:sz w:val="20"/>
              </w:rPr>
              <w:t>$0</w:t>
            </w:r>
          </w:p>
        </w:tc>
      </w:tr>
      <w:tr>
        <w:tc>
          <w:tcPr>
            <w:tcW w:type="dxa" w:w="2016"/>
            <w:shd w:fill="F0F4F8"/>
            <w:tcBorders>
              <w:top w:val="single" w:sz="4" w:color="CCCCCC"/>
              <w:left w:val="single" w:sz="4" w:color="CCCCCC"/>
              <w:bottom w:val="single" w:sz="4" w:color="CCCCCC"/>
              <w:right w:val="single" w:sz="4" w:color="CCCCCC"/>
            </w:tcBorders>
          </w:tcPr>
          <w:p>
            <w:pPr>
              <w:jc w:val="left"/>
            </w:pPr>
            <w:r>
              <w:rPr>
                <w:sz w:val="20"/>
              </w:rPr>
              <w:t>5</w:t>
            </w:r>
          </w:p>
        </w:tc>
        <w:tc>
          <w:tcPr>
            <w:tcW w:type="dxa" w:w="2016"/>
            <w:shd w:fill="F0F4F8"/>
            <w:tcBorders>
              <w:top w:val="single" w:sz="4" w:color="CCCCCC"/>
              <w:left w:val="single" w:sz="4" w:color="CCCCCC"/>
              <w:bottom w:val="single" w:sz="4" w:color="CCCCCC"/>
              <w:right w:val="single" w:sz="4" w:color="CCCCCC"/>
            </w:tcBorders>
          </w:tcPr>
          <w:p>
            <w:pPr>
              <w:jc w:val="left"/>
            </w:pPr>
            <w:r>
              <w:rPr>
                <w:sz w:val="20"/>
              </w:rPr>
              <w:t>Beneficiary Moves Into Inherited Property</w:t>
            </w:r>
          </w:p>
        </w:tc>
        <w:tc>
          <w:tcPr>
            <w:tcW w:type="dxa" w:w="2016"/>
            <w:shd w:fill="F0F4F8"/>
            <w:tcBorders>
              <w:top w:val="single" w:sz="4" w:color="CCCCCC"/>
              <w:left w:val="single" w:sz="4" w:color="CCCCCC"/>
              <w:bottom w:val="single" w:sz="4" w:color="CCCCCC"/>
              <w:right w:val="single" w:sz="4" w:color="CCCCCC"/>
            </w:tcBorders>
          </w:tcPr>
          <w:p>
            <w:pPr>
              <w:jc w:val="left"/>
            </w:pPr>
            <w:r>
              <w:rPr>
                <w:sz w:val="20"/>
              </w:rPr>
              <w:t>s118.185</w:t>
            </w:r>
          </w:p>
        </w:tc>
        <w:tc>
          <w:tcPr>
            <w:tcW w:type="dxa" w:w="2016"/>
            <w:shd w:fill="F0F4F8"/>
            <w:tcBorders>
              <w:top w:val="single" w:sz="4" w:color="CCCCCC"/>
              <w:left w:val="single" w:sz="4" w:color="CCCCCC"/>
              <w:bottom w:val="single" w:sz="4" w:color="CCCCCC"/>
              <w:right w:val="single" w:sz="4" w:color="CCCCCC"/>
            </w:tcBorders>
          </w:tcPr>
          <w:p>
            <w:pPr>
              <w:jc w:val="left"/>
            </w:pPr>
            <w:r>
              <w:rPr>
                <w:sz w:val="20"/>
              </w:rPr>
              <w:t>98.98%</w:t>
            </w:r>
          </w:p>
        </w:tc>
        <w:tc>
          <w:tcPr>
            <w:tcW w:type="dxa" w:w="2016"/>
            <w:shd w:fill="F0F4F8"/>
            <w:tcBorders>
              <w:top w:val="single" w:sz="4" w:color="CCCCCC"/>
              <w:left w:val="single" w:sz="4" w:color="CCCCCC"/>
              <w:bottom w:val="single" w:sz="4" w:color="CCCCCC"/>
              <w:right w:val="single" w:sz="4" w:color="CCCCCC"/>
            </w:tcBorders>
          </w:tcPr>
          <w:p>
            <w:pPr>
              <w:jc w:val="left"/>
            </w:pPr>
            <w:r>
              <w:rPr>
                <w:sz w:val="20"/>
              </w:rPr>
              <w:t>$654</w:t>
            </w:r>
          </w:p>
        </w:tc>
      </w:tr>
      <w:tr>
        <w:tc>
          <w:tcPr>
            <w:tcW w:type="dxa" w:w="2016"/>
            <w:shd w:fill="FFFFFF"/>
            <w:tcBorders>
              <w:top w:val="single" w:sz="4" w:color="CCCCCC"/>
              <w:left w:val="single" w:sz="4" w:color="CCCCCC"/>
              <w:bottom w:val="single" w:sz="4" w:color="CCCCCC"/>
              <w:right w:val="single" w:sz="4" w:color="CCCCCC"/>
            </w:tcBorders>
          </w:tcPr>
          <w:p>
            <w:pPr>
              <w:jc w:val="left"/>
            </w:pPr>
            <w:r>
              <w:rPr>
                <w:sz w:val="20"/>
              </w:rPr>
              <w:t>6</w:t>
            </w:r>
          </w:p>
        </w:tc>
        <w:tc>
          <w:tcPr>
            <w:tcW w:type="dxa" w:w="2016"/>
            <w:shd w:fill="FFFFFF"/>
            <w:tcBorders>
              <w:top w:val="single" w:sz="4" w:color="CCCCCC"/>
              <w:left w:val="single" w:sz="4" w:color="CCCCCC"/>
              <w:bottom w:val="single" w:sz="4" w:color="CCCCCC"/>
              <w:right w:val="single" w:sz="4" w:color="CCCCCC"/>
            </w:tcBorders>
          </w:tcPr>
          <w:p>
            <w:pPr>
              <w:jc w:val="left"/>
            </w:pPr>
            <w:r>
              <w:rPr>
                <w:sz w:val="20"/>
              </w:rPr>
              <w:t>Pre-CGT with Post-CGT Improvements</w:t>
            </w:r>
          </w:p>
        </w:tc>
        <w:tc>
          <w:tcPr>
            <w:tcW w:type="dxa" w:w="2016"/>
            <w:shd w:fill="FFFFFF"/>
            <w:tcBorders>
              <w:top w:val="single" w:sz="4" w:color="CCCCCC"/>
              <w:left w:val="single" w:sz="4" w:color="CCCCCC"/>
              <w:bottom w:val="single" w:sz="4" w:color="CCCCCC"/>
              <w:right w:val="single" w:sz="4" w:color="CCCCCC"/>
            </w:tcBorders>
          </w:tcPr>
          <w:p>
            <w:pPr>
              <w:jc w:val="left"/>
            </w:pPr>
            <w:r>
              <w:rPr>
                <w:sz w:val="20"/>
              </w:rPr>
              <w:t>s149.10 + s108.70</w:t>
            </w:r>
          </w:p>
        </w:tc>
        <w:tc>
          <w:tcPr>
            <w:tcW w:type="dxa" w:w="2016"/>
            <w:shd w:fill="FFFFFF"/>
            <w:tcBorders>
              <w:top w:val="single" w:sz="4" w:color="CCCCCC"/>
              <w:left w:val="single" w:sz="4" w:color="CCCCCC"/>
              <w:bottom w:val="single" w:sz="4" w:color="CCCCCC"/>
              <w:right w:val="single" w:sz="4" w:color="CCCCCC"/>
            </w:tcBorders>
          </w:tcPr>
          <w:p>
            <w:pPr>
              <w:jc w:val="left"/>
            </w:pPr>
            <w:r>
              <w:rPr>
                <w:sz w:val="20"/>
              </w:rPr>
              <w:t>100%</w:t>
            </w:r>
          </w:p>
        </w:tc>
        <w:tc>
          <w:tcPr>
            <w:tcW w:type="dxa" w:w="2016"/>
            <w:shd w:fill="FFFFFF"/>
            <w:tcBorders>
              <w:top w:val="single" w:sz="4" w:color="CCCCCC"/>
              <w:left w:val="single" w:sz="4" w:color="CCCCCC"/>
              <w:bottom w:val="single" w:sz="4" w:color="CCCCCC"/>
              <w:right w:val="single" w:sz="4" w:color="CCCCCC"/>
            </w:tcBorders>
          </w:tcPr>
          <w:p>
            <w:pPr>
              <w:jc w:val="left"/>
            </w:pPr>
            <w:r>
              <w:rPr>
                <w:sz w:val="20"/>
              </w:rPr>
              <w:t>$0</w:t>
            </w:r>
          </w:p>
        </w:tc>
      </w:tr>
      <w:tr>
        <w:tc>
          <w:tcPr>
            <w:tcW w:type="dxa" w:w="2016"/>
            <w:shd w:fill="F0F4F8"/>
            <w:tcBorders>
              <w:top w:val="single" w:sz="4" w:color="CCCCCC"/>
              <w:left w:val="single" w:sz="4" w:color="CCCCCC"/>
              <w:bottom w:val="single" w:sz="4" w:color="CCCCCC"/>
              <w:right w:val="single" w:sz="4" w:color="CCCCCC"/>
            </w:tcBorders>
          </w:tcPr>
          <w:p>
            <w:pPr>
              <w:jc w:val="left"/>
            </w:pPr>
            <w:r>
              <w:rPr>
                <w:sz w:val="20"/>
              </w:rPr>
              <w:t>7</w:t>
            </w:r>
          </w:p>
        </w:tc>
        <w:tc>
          <w:tcPr>
            <w:tcW w:type="dxa" w:w="2016"/>
            <w:shd w:fill="F0F4F8"/>
            <w:tcBorders>
              <w:top w:val="single" w:sz="4" w:color="CCCCCC"/>
              <w:left w:val="single" w:sz="4" w:color="CCCCCC"/>
              <w:bottom w:val="single" w:sz="4" w:color="CCCCCC"/>
              <w:right w:val="single" w:sz="4" w:color="CCCCCC"/>
            </w:tcBorders>
          </w:tcPr>
          <w:p>
            <w:pPr>
              <w:jc w:val="left"/>
            </w:pPr>
            <w:r>
              <w:rPr>
                <w:sz w:val="20"/>
              </w:rPr>
              <w:t>Large Rural Property (&gt;2 Hectares)</w:t>
            </w:r>
          </w:p>
        </w:tc>
        <w:tc>
          <w:tcPr>
            <w:tcW w:type="dxa" w:w="2016"/>
            <w:shd w:fill="F0F4F8"/>
            <w:tcBorders>
              <w:top w:val="single" w:sz="4" w:color="CCCCCC"/>
              <w:left w:val="single" w:sz="4" w:color="CCCCCC"/>
              <w:bottom w:val="single" w:sz="4" w:color="CCCCCC"/>
              <w:right w:val="single" w:sz="4" w:color="CCCCCC"/>
            </w:tcBorders>
          </w:tcPr>
          <w:p>
            <w:pPr>
              <w:jc w:val="left"/>
            </w:pPr>
            <w:r>
              <w:rPr>
                <w:sz w:val="20"/>
              </w:rPr>
              <w:t>s118.120</w:t>
            </w:r>
          </w:p>
        </w:tc>
        <w:tc>
          <w:tcPr>
            <w:tcW w:type="dxa" w:w="2016"/>
            <w:shd w:fill="F0F4F8"/>
            <w:tcBorders>
              <w:top w:val="single" w:sz="4" w:color="CCCCCC"/>
              <w:left w:val="single" w:sz="4" w:color="CCCCCC"/>
              <w:bottom w:val="single" w:sz="4" w:color="CCCCCC"/>
              <w:right w:val="single" w:sz="4" w:color="CCCCCC"/>
            </w:tcBorders>
          </w:tcPr>
          <w:p>
            <w:pPr>
              <w:jc w:val="left"/>
            </w:pPr>
            <w:r>
              <w:rPr>
                <w:sz w:val="20"/>
              </w:rPr>
              <w:t>60%</w:t>
            </w:r>
          </w:p>
        </w:tc>
        <w:tc>
          <w:tcPr>
            <w:tcW w:type="dxa" w:w="2016"/>
            <w:shd w:fill="F0F4F8"/>
            <w:tcBorders>
              <w:top w:val="single" w:sz="4" w:color="CCCCCC"/>
              <w:left w:val="single" w:sz="4" w:color="CCCCCC"/>
              <w:bottom w:val="single" w:sz="4" w:color="CCCCCC"/>
              <w:right w:val="single" w:sz="4" w:color="CCCCCC"/>
            </w:tcBorders>
          </w:tcPr>
          <w:p>
            <w:pPr>
              <w:jc w:val="left"/>
            </w:pPr>
            <w:r>
              <w:rPr>
                <w:sz w:val="20"/>
              </w:rPr>
              <w:t>$145,660</w:t>
            </w:r>
          </w:p>
        </w:tc>
      </w:tr>
      <w:tr>
        <w:tc>
          <w:tcPr>
            <w:tcW w:type="dxa" w:w="2016"/>
            <w:shd w:fill="FFFFFF"/>
            <w:tcBorders>
              <w:top w:val="single" w:sz="4" w:color="CCCCCC"/>
              <w:left w:val="single" w:sz="4" w:color="CCCCCC"/>
              <w:bottom w:val="single" w:sz="4" w:color="CCCCCC"/>
              <w:right w:val="single" w:sz="4" w:color="CCCCCC"/>
            </w:tcBorders>
          </w:tcPr>
          <w:p>
            <w:pPr>
              <w:jc w:val="left"/>
            </w:pPr>
            <w:r>
              <w:rPr>
                <w:sz w:val="20"/>
              </w:rPr>
              <w:t>8</w:t>
            </w:r>
          </w:p>
        </w:tc>
        <w:tc>
          <w:tcPr>
            <w:tcW w:type="dxa" w:w="2016"/>
            <w:shd w:fill="FFFFFF"/>
            <w:tcBorders>
              <w:top w:val="single" w:sz="4" w:color="CCCCCC"/>
              <w:left w:val="single" w:sz="4" w:color="CCCCCC"/>
              <w:bottom w:val="single" w:sz="4" w:color="CCCCCC"/>
              <w:right w:val="single" w:sz="4" w:color="CCCCCC"/>
            </w:tcBorders>
          </w:tcPr>
          <w:p>
            <w:pPr>
              <w:jc w:val="left"/>
            </w:pPr>
            <w:r>
              <w:rPr>
                <w:sz w:val="20"/>
              </w:rPr>
              <w:t>Granny Flat Arrangement</w:t>
            </w:r>
          </w:p>
        </w:tc>
        <w:tc>
          <w:tcPr>
            <w:tcW w:type="dxa" w:w="2016"/>
            <w:shd w:fill="FFFFFF"/>
            <w:tcBorders>
              <w:top w:val="single" w:sz="4" w:color="CCCCCC"/>
              <w:left w:val="single" w:sz="4" w:color="CCCCCC"/>
              <w:bottom w:val="single" w:sz="4" w:color="CCCCCC"/>
              <w:right w:val="single" w:sz="4" w:color="CCCCCC"/>
            </w:tcBorders>
          </w:tcPr>
          <w:p>
            <w:pPr>
              <w:jc w:val="left"/>
            </w:pPr>
            <w:r>
              <w:rPr>
                <w:sz w:val="20"/>
              </w:rPr>
              <w:t>s118.80</w:t>
            </w:r>
          </w:p>
        </w:tc>
        <w:tc>
          <w:tcPr>
            <w:tcW w:type="dxa" w:w="2016"/>
            <w:shd w:fill="FFFFFF"/>
            <w:tcBorders>
              <w:top w:val="single" w:sz="4" w:color="CCCCCC"/>
              <w:left w:val="single" w:sz="4" w:color="CCCCCC"/>
              <w:bottom w:val="single" w:sz="4" w:color="CCCCCC"/>
              <w:right w:val="single" w:sz="4" w:color="CCCCCC"/>
            </w:tcBorders>
          </w:tcPr>
          <w:p>
            <w:pPr>
              <w:jc w:val="left"/>
            </w:pPr>
            <w:r>
              <w:rPr>
                <w:sz w:val="20"/>
              </w:rPr>
              <w:t>100%</w:t>
            </w:r>
          </w:p>
        </w:tc>
        <w:tc>
          <w:tcPr>
            <w:tcW w:type="dxa" w:w="2016"/>
            <w:shd w:fill="FFFFFF"/>
            <w:tcBorders>
              <w:top w:val="single" w:sz="4" w:color="CCCCCC"/>
              <w:left w:val="single" w:sz="4" w:color="CCCCCC"/>
              <w:bottom w:val="single" w:sz="4" w:color="CCCCCC"/>
              <w:right w:val="single" w:sz="4" w:color="CCCCCC"/>
            </w:tcBorders>
          </w:tcPr>
          <w:p>
            <w:pPr>
              <w:jc w:val="left"/>
            </w:pPr>
            <w:r>
              <w:rPr>
                <w:sz w:val="20"/>
              </w:rPr>
              <w:t>$0</w:t>
            </w:r>
          </w:p>
        </w:tc>
      </w:tr>
      <w:tr>
        <w:tc>
          <w:tcPr>
            <w:tcW w:type="dxa" w:w="2016"/>
            <w:shd w:fill="F0F4F8"/>
            <w:tcBorders>
              <w:top w:val="single" w:sz="4" w:color="CCCCCC"/>
              <w:left w:val="single" w:sz="4" w:color="CCCCCC"/>
              <w:bottom w:val="single" w:sz="4" w:color="CCCCCC"/>
              <w:right w:val="single" w:sz="4" w:color="CCCCCC"/>
            </w:tcBorders>
          </w:tcPr>
          <w:p>
            <w:pPr>
              <w:jc w:val="left"/>
            </w:pPr>
            <w:r>
              <w:rPr>
                <w:sz w:val="20"/>
              </w:rPr>
              <w:t>9</w:t>
            </w:r>
          </w:p>
        </w:tc>
        <w:tc>
          <w:tcPr>
            <w:tcW w:type="dxa" w:w="2016"/>
            <w:shd w:fill="F0F4F8"/>
            <w:tcBorders>
              <w:top w:val="single" w:sz="4" w:color="CCCCCC"/>
              <w:left w:val="single" w:sz="4" w:color="CCCCCC"/>
              <w:bottom w:val="single" w:sz="4" w:color="CCCCCC"/>
              <w:right w:val="single" w:sz="4" w:color="CCCCCC"/>
            </w:tcBorders>
          </w:tcPr>
          <w:p>
            <w:pPr>
              <w:jc w:val="left"/>
            </w:pPr>
            <w:r>
              <w:rPr>
                <w:sz w:val="20"/>
              </w:rPr>
              <w:t>Relationship Breakdown Rollover</w:t>
            </w:r>
          </w:p>
        </w:tc>
        <w:tc>
          <w:tcPr>
            <w:tcW w:type="dxa" w:w="2016"/>
            <w:shd w:fill="F0F4F8"/>
            <w:tcBorders>
              <w:top w:val="single" w:sz="4" w:color="CCCCCC"/>
              <w:left w:val="single" w:sz="4" w:color="CCCCCC"/>
              <w:bottom w:val="single" w:sz="4" w:color="CCCCCC"/>
              <w:right w:val="single" w:sz="4" w:color="CCCCCC"/>
            </w:tcBorders>
          </w:tcPr>
          <w:p>
            <w:pPr>
              <w:jc w:val="left"/>
            </w:pPr>
            <w:r>
              <w:rPr>
                <w:sz w:val="20"/>
              </w:rPr>
              <w:t>s126.5</w:t>
            </w:r>
          </w:p>
        </w:tc>
        <w:tc>
          <w:tcPr>
            <w:tcW w:type="dxa" w:w="2016"/>
            <w:shd w:fill="F0F4F8"/>
            <w:tcBorders>
              <w:top w:val="single" w:sz="4" w:color="CCCCCC"/>
              <w:left w:val="single" w:sz="4" w:color="CCCCCC"/>
              <w:bottom w:val="single" w:sz="4" w:color="CCCCCC"/>
              <w:right w:val="single" w:sz="4" w:color="CCCCCC"/>
            </w:tcBorders>
          </w:tcPr>
          <w:p>
            <w:pPr>
              <w:jc w:val="left"/>
            </w:pPr>
            <w:r>
              <w:rPr>
                <w:sz w:val="20"/>
              </w:rPr>
              <w:t>100%</w:t>
            </w:r>
          </w:p>
        </w:tc>
        <w:tc>
          <w:tcPr>
            <w:tcW w:type="dxa" w:w="2016"/>
            <w:shd w:fill="F0F4F8"/>
            <w:tcBorders>
              <w:top w:val="single" w:sz="4" w:color="CCCCCC"/>
              <w:left w:val="single" w:sz="4" w:color="CCCCCC"/>
              <w:bottom w:val="single" w:sz="4" w:color="CCCCCC"/>
              <w:right w:val="single" w:sz="4" w:color="CCCCCC"/>
            </w:tcBorders>
          </w:tcPr>
          <w:p>
            <w:pPr>
              <w:jc w:val="left"/>
            </w:pPr>
            <w:r>
              <w:rPr>
                <w:sz w:val="20"/>
              </w:rPr>
              <w:t>$0</w:t>
            </w:r>
          </w:p>
        </w:tc>
      </w:tr>
      <w:tr>
        <w:tc>
          <w:tcPr>
            <w:tcW w:type="dxa" w:w="2016"/>
            <w:shd w:fill="FFFFFF"/>
            <w:tcBorders>
              <w:top w:val="single" w:sz="4" w:color="CCCCCC"/>
              <w:left w:val="single" w:sz="4" w:color="CCCCCC"/>
              <w:bottom w:val="single" w:sz="4" w:color="CCCCCC"/>
              <w:right w:val="single" w:sz="4" w:color="CCCCCC"/>
            </w:tcBorders>
          </w:tcPr>
          <w:p>
            <w:pPr>
              <w:jc w:val="left"/>
            </w:pPr>
            <w:r>
              <w:rPr>
                <w:sz w:val="20"/>
              </w:rPr>
              <w:t>10</w:t>
            </w:r>
          </w:p>
        </w:tc>
        <w:tc>
          <w:tcPr>
            <w:tcW w:type="dxa" w:w="2016"/>
            <w:shd w:fill="FFFFFF"/>
            <w:tcBorders>
              <w:top w:val="single" w:sz="4" w:color="CCCCCC"/>
              <w:left w:val="single" w:sz="4" w:color="CCCCCC"/>
              <w:bottom w:val="single" w:sz="4" w:color="CCCCCC"/>
              <w:right w:val="single" w:sz="4" w:color="CCCCCC"/>
            </w:tcBorders>
          </w:tcPr>
          <w:p>
            <w:pPr>
              <w:jc w:val="left"/>
            </w:pPr>
            <w:r>
              <w:rPr>
                <w:sz w:val="20"/>
              </w:rPr>
              <w:t>Home Office Business Use</w:t>
            </w:r>
          </w:p>
        </w:tc>
        <w:tc>
          <w:tcPr>
            <w:tcW w:type="dxa" w:w="2016"/>
            <w:shd w:fill="FFFFFF"/>
            <w:tcBorders>
              <w:top w:val="single" w:sz="4" w:color="CCCCCC"/>
              <w:left w:val="single" w:sz="4" w:color="CCCCCC"/>
              <w:bottom w:val="single" w:sz="4" w:color="CCCCCC"/>
              <w:right w:val="single" w:sz="4" w:color="CCCCCC"/>
            </w:tcBorders>
          </w:tcPr>
          <w:p>
            <w:pPr>
              <w:jc w:val="left"/>
            </w:pPr>
            <w:r>
              <w:rPr>
                <w:sz w:val="20"/>
              </w:rPr>
              <w:t>s118.190</w:t>
            </w:r>
          </w:p>
        </w:tc>
        <w:tc>
          <w:tcPr>
            <w:tcW w:type="dxa" w:w="2016"/>
            <w:shd w:fill="FFFFFF"/>
            <w:tcBorders>
              <w:top w:val="single" w:sz="4" w:color="CCCCCC"/>
              <w:left w:val="single" w:sz="4" w:color="CCCCCC"/>
              <w:bottom w:val="single" w:sz="4" w:color="CCCCCC"/>
              <w:right w:val="single" w:sz="4" w:color="CCCCCC"/>
            </w:tcBorders>
          </w:tcPr>
          <w:p>
            <w:pPr>
              <w:jc w:val="left"/>
            </w:pPr>
            <w:r>
              <w:rPr>
                <w:sz w:val="20"/>
              </w:rPr>
              <w:t>88.33%</w:t>
            </w:r>
          </w:p>
        </w:tc>
        <w:tc>
          <w:tcPr>
            <w:tcW w:type="dxa" w:w="2016"/>
            <w:shd w:fill="FFFFFF"/>
            <w:tcBorders>
              <w:top w:val="single" w:sz="4" w:color="CCCCCC"/>
              <w:left w:val="single" w:sz="4" w:color="CCCCCC"/>
              <w:bottom w:val="single" w:sz="4" w:color="CCCCCC"/>
              <w:right w:val="single" w:sz="4" w:color="CCCCCC"/>
            </w:tcBorders>
          </w:tcPr>
          <w:p>
            <w:pPr>
              <w:jc w:val="left"/>
            </w:pPr>
            <w:r>
              <w:rPr>
                <w:sz w:val="20"/>
              </w:rPr>
              <w:t>$13,012</w:t>
            </w:r>
          </w:p>
        </w:tc>
      </w:tr>
      <w:tr>
        <w:tc>
          <w:tcPr>
            <w:tcW w:type="dxa" w:w="2016"/>
            <w:shd w:fill="F0F4F8"/>
            <w:tcBorders>
              <w:top w:val="single" w:sz="4" w:color="CCCCCC"/>
              <w:left w:val="single" w:sz="4" w:color="CCCCCC"/>
              <w:bottom w:val="single" w:sz="4" w:color="CCCCCC"/>
              <w:right w:val="single" w:sz="4" w:color="CCCCCC"/>
            </w:tcBorders>
          </w:tcPr>
          <w:p>
            <w:pPr>
              <w:jc w:val="left"/>
            </w:pPr>
            <w:r>
              <w:rPr>
                <w:sz w:val="20"/>
              </w:rPr>
              <w:t>11</w:t>
            </w:r>
          </w:p>
        </w:tc>
        <w:tc>
          <w:tcPr>
            <w:tcW w:type="dxa" w:w="2016"/>
            <w:shd w:fill="F0F4F8"/>
            <w:tcBorders>
              <w:top w:val="single" w:sz="4" w:color="CCCCCC"/>
              <w:left w:val="single" w:sz="4" w:color="CCCCCC"/>
              <w:bottom w:val="single" w:sz="4" w:color="CCCCCC"/>
              <w:right w:val="single" w:sz="4" w:color="CCCCCC"/>
            </w:tcBorders>
          </w:tcPr>
          <w:p>
            <w:pPr>
              <w:jc w:val="left"/>
            </w:pPr>
            <w:r>
              <w:rPr>
                <w:sz w:val="20"/>
              </w:rPr>
              <w:t>Foreign Resident Life Event Exception</w:t>
            </w:r>
          </w:p>
        </w:tc>
        <w:tc>
          <w:tcPr>
            <w:tcW w:type="dxa" w:w="2016"/>
            <w:shd w:fill="F0F4F8"/>
            <w:tcBorders>
              <w:top w:val="single" w:sz="4" w:color="CCCCCC"/>
              <w:left w:val="single" w:sz="4" w:color="CCCCCC"/>
              <w:bottom w:val="single" w:sz="4" w:color="CCCCCC"/>
              <w:right w:val="single" w:sz="4" w:color="CCCCCC"/>
            </w:tcBorders>
          </w:tcPr>
          <w:p>
            <w:pPr>
              <w:jc w:val="left"/>
            </w:pPr>
            <w:r>
              <w:rPr>
                <w:sz w:val="20"/>
              </w:rPr>
              <w:t>s118.110</w:t>
            </w:r>
          </w:p>
        </w:tc>
        <w:tc>
          <w:tcPr>
            <w:tcW w:type="dxa" w:w="2016"/>
            <w:shd w:fill="F0F4F8"/>
            <w:tcBorders>
              <w:top w:val="single" w:sz="4" w:color="CCCCCC"/>
              <w:left w:val="single" w:sz="4" w:color="CCCCCC"/>
              <w:bottom w:val="single" w:sz="4" w:color="CCCCCC"/>
              <w:right w:val="single" w:sz="4" w:color="CCCCCC"/>
            </w:tcBorders>
          </w:tcPr>
          <w:p>
            <w:pPr>
              <w:jc w:val="left"/>
            </w:pPr>
            <w:r>
              <w:rPr>
                <w:sz w:val="20"/>
              </w:rPr>
              <w:t>100%</w:t>
            </w:r>
          </w:p>
        </w:tc>
        <w:tc>
          <w:tcPr>
            <w:tcW w:type="dxa" w:w="2016"/>
            <w:shd w:fill="F0F4F8"/>
            <w:tcBorders>
              <w:top w:val="single" w:sz="4" w:color="CCCCCC"/>
              <w:left w:val="single" w:sz="4" w:color="CCCCCC"/>
              <w:bottom w:val="single" w:sz="4" w:color="CCCCCC"/>
              <w:right w:val="single" w:sz="4" w:color="CCCCCC"/>
            </w:tcBorders>
          </w:tcPr>
          <w:p>
            <w:pPr>
              <w:jc w:val="left"/>
            </w:pPr>
            <w:r>
              <w:rPr>
                <w:sz w:val="20"/>
              </w:rPr>
              <w:t>$0</w:t>
            </w:r>
          </w:p>
        </w:tc>
      </w:tr>
      <w:tr>
        <w:tc>
          <w:tcPr>
            <w:tcW w:type="dxa" w:w="2016"/>
            <w:shd w:fill="FFFFFF"/>
            <w:tcBorders>
              <w:top w:val="single" w:sz="4" w:color="CCCCCC"/>
              <w:left w:val="single" w:sz="4" w:color="CCCCCC"/>
              <w:bottom w:val="single" w:sz="4" w:color="CCCCCC"/>
              <w:right w:val="single" w:sz="4" w:color="CCCCCC"/>
            </w:tcBorders>
          </w:tcPr>
          <w:p>
            <w:pPr>
              <w:jc w:val="left"/>
            </w:pPr>
            <w:r>
              <w:rPr>
                <w:sz w:val="20"/>
              </w:rPr>
              <w:t>12</w:t>
            </w:r>
          </w:p>
        </w:tc>
        <w:tc>
          <w:tcPr>
            <w:tcW w:type="dxa" w:w="2016"/>
            <w:shd w:fill="FFFFFF"/>
            <w:tcBorders>
              <w:top w:val="single" w:sz="4" w:color="CCCCCC"/>
              <w:left w:val="single" w:sz="4" w:color="CCCCCC"/>
              <w:bottom w:val="single" w:sz="4" w:color="CCCCCC"/>
              <w:right w:val="single" w:sz="4" w:color="CCCCCC"/>
            </w:tcBorders>
          </w:tcPr>
          <w:p>
            <w:pPr>
              <w:jc w:val="left"/>
            </w:pPr>
            <w:r>
              <w:rPr>
                <w:sz w:val="20"/>
              </w:rPr>
              <w:t>Pre-9 May 2012 Property (Foreign Resident)</w:t>
            </w:r>
          </w:p>
        </w:tc>
        <w:tc>
          <w:tcPr>
            <w:tcW w:type="dxa" w:w="2016"/>
            <w:shd w:fill="FFFFFF"/>
            <w:tcBorders>
              <w:top w:val="single" w:sz="4" w:color="CCCCCC"/>
              <w:left w:val="single" w:sz="4" w:color="CCCCCC"/>
              <w:bottom w:val="single" w:sz="4" w:color="CCCCCC"/>
              <w:right w:val="single" w:sz="4" w:color="CCCCCC"/>
            </w:tcBorders>
          </w:tcPr>
          <w:p>
            <w:pPr>
              <w:jc w:val="left"/>
            </w:pPr>
            <w:r>
              <w:rPr>
                <w:sz w:val="20"/>
              </w:rPr>
              <w:t>s118.145</w:t>
            </w:r>
          </w:p>
        </w:tc>
        <w:tc>
          <w:tcPr>
            <w:tcW w:type="dxa" w:w="2016"/>
            <w:shd w:fill="FFFFFF"/>
            <w:tcBorders>
              <w:top w:val="single" w:sz="4" w:color="CCCCCC"/>
              <w:left w:val="single" w:sz="4" w:color="CCCCCC"/>
              <w:bottom w:val="single" w:sz="4" w:color="CCCCCC"/>
              <w:right w:val="single" w:sz="4" w:color="CCCCCC"/>
            </w:tcBorders>
          </w:tcPr>
          <w:p>
            <w:pPr>
              <w:jc w:val="left"/>
            </w:pPr>
            <w:r>
              <w:rPr>
                <w:sz w:val="20"/>
              </w:rPr>
              <w:t>100%</w:t>
            </w:r>
          </w:p>
        </w:tc>
        <w:tc>
          <w:tcPr>
            <w:tcW w:type="dxa" w:w="2016"/>
            <w:shd w:fill="FFFFFF"/>
            <w:tcBorders>
              <w:top w:val="single" w:sz="4" w:color="CCCCCC"/>
              <w:left w:val="single" w:sz="4" w:color="CCCCCC"/>
              <w:bottom w:val="single" w:sz="4" w:color="CCCCCC"/>
              <w:right w:val="single" w:sz="4" w:color="CCCCCC"/>
            </w:tcBorders>
          </w:tcPr>
          <w:p>
            <w:pPr>
              <w:jc w:val="left"/>
            </w:pPr>
            <w:r>
              <w:rPr>
                <w:sz w:val="20"/>
              </w:rPr>
              <w:t>$0</w:t>
            </w:r>
          </w:p>
        </w:tc>
      </w:tr>
      <w:tr>
        <w:tc>
          <w:tcPr>
            <w:tcW w:type="dxa" w:w="2016"/>
            <w:shd w:fill="F0F4F8"/>
            <w:tcBorders>
              <w:top w:val="single" w:sz="4" w:color="CCCCCC"/>
              <w:left w:val="single" w:sz="4" w:color="CCCCCC"/>
              <w:bottom w:val="single" w:sz="4" w:color="CCCCCC"/>
              <w:right w:val="single" w:sz="4" w:color="CCCCCC"/>
            </w:tcBorders>
          </w:tcPr>
          <w:p>
            <w:pPr>
              <w:jc w:val="left"/>
            </w:pPr>
            <w:r>
              <w:rPr>
                <w:sz w:val="20"/>
              </w:rPr>
              <w:t>13</w:t>
            </w:r>
          </w:p>
        </w:tc>
        <w:tc>
          <w:tcPr>
            <w:tcW w:type="dxa" w:w="2016"/>
            <w:shd w:fill="F0F4F8"/>
            <w:tcBorders>
              <w:top w:val="single" w:sz="4" w:color="CCCCCC"/>
              <w:left w:val="single" w:sz="4" w:color="CCCCCC"/>
              <w:bottom w:val="single" w:sz="4" w:color="CCCCCC"/>
              <w:right w:val="single" w:sz="4" w:color="CCCCCC"/>
            </w:tcBorders>
          </w:tcPr>
          <w:p>
            <w:pPr>
              <w:jc w:val="left"/>
            </w:pPr>
            <w:r>
              <w:rPr>
                <w:sz w:val="20"/>
              </w:rPr>
              <w:t>Spouses Nominating Different MRs</w:t>
            </w:r>
          </w:p>
        </w:tc>
        <w:tc>
          <w:tcPr>
            <w:tcW w:type="dxa" w:w="2016"/>
            <w:shd w:fill="F0F4F8"/>
            <w:tcBorders>
              <w:top w:val="single" w:sz="4" w:color="CCCCCC"/>
              <w:left w:val="single" w:sz="4" w:color="CCCCCC"/>
              <w:bottom w:val="single" w:sz="4" w:color="CCCCCC"/>
              <w:right w:val="single" w:sz="4" w:color="CCCCCC"/>
            </w:tcBorders>
          </w:tcPr>
          <w:p>
            <w:pPr>
              <w:jc w:val="left"/>
            </w:pPr>
            <w:r>
              <w:rPr>
                <w:sz w:val="20"/>
              </w:rPr>
              <w:t>s118.170</w:t>
            </w:r>
          </w:p>
        </w:tc>
        <w:tc>
          <w:tcPr>
            <w:tcW w:type="dxa" w:w="2016"/>
            <w:shd w:fill="F0F4F8"/>
            <w:tcBorders>
              <w:top w:val="single" w:sz="4" w:color="CCCCCC"/>
              <w:left w:val="single" w:sz="4" w:color="CCCCCC"/>
              <w:bottom w:val="single" w:sz="4" w:color="CCCCCC"/>
              <w:right w:val="single" w:sz="4" w:color="CCCCCC"/>
            </w:tcBorders>
          </w:tcPr>
          <w:p>
            <w:pPr>
              <w:jc w:val="left"/>
            </w:pPr>
            <w:r>
              <w:rPr>
                <w:sz w:val="20"/>
              </w:rPr>
              <w:t>58.31%</w:t>
            </w:r>
          </w:p>
        </w:tc>
        <w:tc>
          <w:tcPr>
            <w:tcW w:type="dxa" w:w="2016"/>
            <w:shd w:fill="F0F4F8"/>
            <w:tcBorders>
              <w:top w:val="single" w:sz="4" w:color="CCCCCC"/>
              <w:left w:val="single" w:sz="4" w:color="CCCCCC"/>
              <w:bottom w:val="single" w:sz="4" w:color="CCCCCC"/>
              <w:right w:val="single" w:sz="4" w:color="CCCCCC"/>
            </w:tcBorders>
          </w:tcPr>
          <w:p>
            <w:pPr>
              <w:jc w:val="left"/>
            </w:pPr>
            <w:r>
              <w:rPr>
                <w:sz w:val="20"/>
              </w:rPr>
              <w:t>$42,982</w:t>
            </w:r>
          </w:p>
        </w:tc>
      </w:tr>
      <w:tr>
        <w:tc>
          <w:tcPr>
            <w:tcW w:type="dxa" w:w="2016"/>
            <w:shd w:fill="FFFFFF"/>
            <w:tcBorders>
              <w:top w:val="single" w:sz="4" w:color="CCCCCC"/>
              <w:left w:val="single" w:sz="4" w:color="CCCCCC"/>
              <w:bottom w:val="single" w:sz="4" w:color="CCCCCC"/>
              <w:right w:val="single" w:sz="4" w:color="CCCCCC"/>
            </w:tcBorders>
          </w:tcPr>
          <w:p>
            <w:pPr>
              <w:jc w:val="left"/>
            </w:pPr>
            <w:r>
              <w:rPr>
                <w:sz w:val="20"/>
              </w:rPr>
              <w:t>14</w:t>
            </w:r>
          </w:p>
        </w:tc>
        <w:tc>
          <w:tcPr>
            <w:tcW w:type="dxa" w:w="2016"/>
            <w:shd w:fill="FFFFFF"/>
            <w:tcBorders>
              <w:top w:val="single" w:sz="4" w:color="CCCCCC"/>
              <w:left w:val="single" w:sz="4" w:color="CCCCCC"/>
              <w:bottom w:val="single" w:sz="4" w:color="CCCCCC"/>
              <w:right w:val="single" w:sz="4" w:color="CCCCCC"/>
            </w:tcBorders>
          </w:tcPr>
          <w:p>
            <w:pPr>
              <w:jc w:val="left"/>
            </w:pPr>
            <w:r>
              <w:rPr>
                <w:sz w:val="20"/>
              </w:rPr>
              <w:t>Vacant Periods During Extended Rental</w:t>
            </w:r>
          </w:p>
        </w:tc>
        <w:tc>
          <w:tcPr>
            <w:tcW w:type="dxa" w:w="2016"/>
            <w:shd w:fill="FFFFFF"/>
            <w:tcBorders>
              <w:top w:val="single" w:sz="4" w:color="CCCCCC"/>
              <w:left w:val="single" w:sz="4" w:color="CCCCCC"/>
              <w:bottom w:val="single" w:sz="4" w:color="CCCCCC"/>
              <w:right w:val="single" w:sz="4" w:color="CCCCCC"/>
            </w:tcBorders>
          </w:tcPr>
          <w:p>
            <w:pPr>
              <w:jc w:val="left"/>
            </w:pPr>
            <w:r>
              <w:rPr>
                <w:sz w:val="20"/>
              </w:rPr>
              <w:t>s118.145</w:t>
            </w:r>
          </w:p>
        </w:tc>
        <w:tc>
          <w:tcPr>
            <w:tcW w:type="dxa" w:w="2016"/>
            <w:shd w:fill="FFFFFF"/>
            <w:tcBorders>
              <w:top w:val="single" w:sz="4" w:color="CCCCCC"/>
              <w:left w:val="single" w:sz="4" w:color="CCCCCC"/>
              <w:bottom w:val="single" w:sz="4" w:color="CCCCCC"/>
              <w:right w:val="single" w:sz="4" w:color="CCCCCC"/>
            </w:tcBorders>
          </w:tcPr>
          <w:p>
            <w:pPr>
              <w:jc w:val="left"/>
            </w:pPr>
            <w:r>
              <w:rPr>
                <w:sz w:val="20"/>
              </w:rPr>
              <w:t>66.69%</w:t>
            </w:r>
          </w:p>
        </w:tc>
        <w:tc>
          <w:tcPr>
            <w:tcW w:type="dxa" w:w="2016"/>
            <w:shd w:fill="FFFFFF"/>
            <w:tcBorders>
              <w:top w:val="single" w:sz="4" w:color="CCCCCC"/>
              <w:left w:val="single" w:sz="4" w:color="CCCCCC"/>
              <w:bottom w:val="single" w:sz="4" w:color="CCCCCC"/>
              <w:right w:val="single" w:sz="4" w:color="CCCCCC"/>
            </w:tcBorders>
          </w:tcPr>
          <w:p>
            <w:pPr>
              <w:jc w:val="left"/>
            </w:pPr>
            <w:r>
              <w:rPr>
                <w:sz w:val="20"/>
              </w:rPr>
              <w:t>$27,481</w:t>
            </w:r>
          </w:p>
        </w:tc>
      </w:tr>
      <w:tr>
        <w:tc>
          <w:tcPr>
            <w:tcW w:type="dxa" w:w="2016"/>
            <w:shd w:fill="F0F4F8"/>
            <w:tcBorders>
              <w:top w:val="single" w:sz="4" w:color="CCCCCC"/>
              <w:left w:val="single" w:sz="4" w:color="CCCCCC"/>
              <w:bottom w:val="single" w:sz="4" w:color="CCCCCC"/>
              <w:right w:val="single" w:sz="4" w:color="CCCCCC"/>
            </w:tcBorders>
          </w:tcPr>
          <w:p>
            <w:pPr>
              <w:jc w:val="left"/>
            </w:pPr>
            <w:r>
              <w:rPr>
                <w:sz w:val="20"/>
              </w:rPr>
              <w:t>15</w:t>
            </w:r>
          </w:p>
        </w:tc>
        <w:tc>
          <w:tcPr>
            <w:tcW w:type="dxa" w:w="2016"/>
            <w:shd w:fill="F0F4F8"/>
            <w:tcBorders>
              <w:top w:val="single" w:sz="4" w:color="CCCCCC"/>
              <w:left w:val="single" w:sz="4" w:color="CCCCCC"/>
              <w:bottom w:val="single" w:sz="4" w:color="CCCCCC"/>
              <w:right w:val="single" w:sz="4" w:color="CCCCCC"/>
            </w:tcBorders>
          </w:tcPr>
          <w:p>
            <w:pPr>
              <w:jc w:val="left"/>
            </w:pPr>
            <w:r>
              <w:rPr>
                <w:sz w:val="20"/>
              </w:rPr>
              <w:t>4-Year Construction Rule Exceeded</w:t>
            </w:r>
          </w:p>
        </w:tc>
        <w:tc>
          <w:tcPr>
            <w:tcW w:type="dxa" w:w="2016"/>
            <w:shd w:fill="F0F4F8"/>
            <w:tcBorders>
              <w:top w:val="single" w:sz="4" w:color="CCCCCC"/>
              <w:left w:val="single" w:sz="4" w:color="CCCCCC"/>
              <w:bottom w:val="single" w:sz="4" w:color="CCCCCC"/>
              <w:right w:val="single" w:sz="4" w:color="CCCCCC"/>
            </w:tcBorders>
          </w:tcPr>
          <w:p>
            <w:pPr>
              <w:jc w:val="left"/>
            </w:pPr>
            <w:r>
              <w:rPr>
                <w:sz w:val="20"/>
              </w:rPr>
              <w:t>s118.150</w:t>
            </w:r>
          </w:p>
        </w:tc>
        <w:tc>
          <w:tcPr>
            <w:tcW w:type="dxa" w:w="2016"/>
            <w:shd w:fill="F0F4F8"/>
            <w:tcBorders>
              <w:top w:val="single" w:sz="4" w:color="CCCCCC"/>
              <w:left w:val="single" w:sz="4" w:color="CCCCCC"/>
              <w:bottom w:val="single" w:sz="4" w:color="CCCCCC"/>
              <w:right w:val="single" w:sz="4" w:color="CCCCCC"/>
            </w:tcBorders>
          </w:tcPr>
          <w:p>
            <w:pPr>
              <w:jc w:val="left"/>
            </w:pPr>
            <w:r>
              <w:rPr>
                <w:sz w:val="20"/>
              </w:rPr>
              <w:t>85.54%</w:t>
            </w:r>
          </w:p>
        </w:tc>
        <w:tc>
          <w:tcPr>
            <w:tcW w:type="dxa" w:w="2016"/>
            <w:shd w:fill="F0F4F8"/>
            <w:tcBorders>
              <w:top w:val="single" w:sz="4" w:color="CCCCCC"/>
              <w:left w:val="single" w:sz="4" w:color="CCCCCC"/>
              <w:bottom w:val="single" w:sz="4" w:color="CCCCCC"/>
              <w:right w:val="single" w:sz="4" w:color="CCCCCC"/>
            </w:tcBorders>
          </w:tcPr>
          <w:p>
            <w:pPr>
              <w:jc w:val="left"/>
            </w:pPr>
            <w:r>
              <w:rPr>
                <w:sz w:val="20"/>
              </w:rPr>
              <w:t>$13,340</w:t>
            </w:r>
          </w:p>
        </w:tc>
      </w:tr>
      <w:tr>
        <w:tc>
          <w:tcPr>
            <w:tcW w:type="dxa" w:w="2016"/>
            <w:shd w:fill="FFFFFF"/>
            <w:tcBorders>
              <w:top w:val="single" w:sz="4" w:color="CCCCCC"/>
              <w:left w:val="single" w:sz="4" w:color="CCCCCC"/>
              <w:bottom w:val="single" w:sz="4" w:color="CCCCCC"/>
              <w:right w:val="single" w:sz="4" w:color="CCCCCC"/>
            </w:tcBorders>
          </w:tcPr>
          <w:p>
            <w:pPr>
              <w:jc w:val="left"/>
            </w:pPr>
            <w:r>
              <w:rPr>
                <w:sz w:val="20"/>
              </w:rPr>
              <w:t>16</w:t>
            </w:r>
          </w:p>
        </w:tc>
        <w:tc>
          <w:tcPr>
            <w:tcW w:type="dxa" w:w="2016"/>
            <w:shd w:fill="FFFFFF"/>
            <w:tcBorders>
              <w:top w:val="single" w:sz="4" w:color="CCCCCC"/>
              <w:left w:val="single" w:sz="4" w:color="CCCCCC"/>
              <w:bottom w:val="single" w:sz="4" w:color="CCCCCC"/>
              <w:right w:val="single" w:sz="4" w:color="CCCCCC"/>
            </w:tcBorders>
          </w:tcPr>
          <w:p>
            <w:pPr>
              <w:jc w:val="left"/>
            </w:pPr>
            <w:r>
              <w:rPr>
                <w:sz w:val="20"/>
              </w:rPr>
              <w:t>Subdivision and Separate Land Sale</w:t>
            </w:r>
          </w:p>
        </w:tc>
        <w:tc>
          <w:tcPr>
            <w:tcW w:type="dxa" w:w="2016"/>
            <w:shd w:fill="FFFFFF"/>
            <w:tcBorders>
              <w:top w:val="single" w:sz="4" w:color="CCCCCC"/>
              <w:left w:val="single" w:sz="4" w:color="CCCCCC"/>
              <w:bottom w:val="single" w:sz="4" w:color="CCCCCC"/>
              <w:right w:val="single" w:sz="4" w:color="CCCCCC"/>
            </w:tcBorders>
          </w:tcPr>
          <w:p>
            <w:pPr>
              <w:jc w:val="left"/>
            </w:pPr>
            <w:r>
              <w:rPr>
                <w:sz w:val="20"/>
              </w:rPr>
              <w:t>s118.165</w:t>
            </w:r>
          </w:p>
        </w:tc>
        <w:tc>
          <w:tcPr>
            <w:tcW w:type="dxa" w:w="2016"/>
            <w:shd w:fill="FFFFFF"/>
            <w:tcBorders>
              <w:top w:val="single" w:sz="4" w:color="CCCCCC"/>
              <w:left w:val="single" w:sz="4" w:color="CCCCCC"/>
              <w:bottom w:val="single" w:sz="4" w:color="CCCCCC"/>
              <w:right w:val="single" w:sz="4" w:color="CCCCCC"/>
            </w:tcBorders>
          </w:tcPr>
          <w:p>
            <w:pPr>
              <w:jc w:val="left"/>
            </w:pPr>
            <w:r>
              <w:rPr>
                <w:sz w:val="20"/>
              </w:rPr>
              <w:t>0%</w:t>
            </w:r>
          </w:p>
        </w:tc>
        <w:tc>
          <w:tcPr>
            <w:tcW w:type="dxa" w:w="2016"/>
            <w:shd w:fill="FFFFFF"/>
            <w:tcBorders>
              <w:top w:val="single" w:sz="4" w:color="CCCCCC"/>
              <w:left w:val="single" w:sz="4" w:color="CCCCCC"/>
              <w:bottom w:val="single" w:sz="4" w:color="CCCCCC"/>
              <w:right w:val="single" w:sz="4" w:color="CCCCCC"/>
            </w:tcBorders>
          </w:tcPr>
          <w:p>
            <w:pPr>
              <w:jc w:val="left"/>
            </w:pPr>
            <w:r>
              <w:rPr>
                <w:sz w:val="20"/>
              </w:rPr>
              <w:t>$5,281</w:t>
            </w:r>
          </w:p>
        </w:tc>
      </w:tr>
      <w:tr>
        <w:tc>
          <w:tcPr>
            <w:tcW w:type="dxa" w:w="2016"/>
            <w:shd w:fill="F0F4F8"/>
            <w:tcBorders>
              <w:top w:val="single" w:sz="4" w:color="CCCCCC"/>
              <w:left w:val="single" w:sz="4" w:color="CCCCCC"/>
              <w:bottom w:val="single" w:sz="4" w:color="CCCCCC"/>
              <w:right w:val="single" w:sz="4" w:color="CCCCCC"/>
            </w:tcBorders>
          </w:tcPr>
          <w:p>
            <w:pPr>
              <w:jc w:val="left"/>
            </w:pPr>
            <w:r>
              <w:rPr>
                <w:sz w:val="20"/>
              </w:rPr>
              <w:t>17</w:t>
            </w:r>
          </w:p>
        </w:tc>
        <w:tc>
          <w:tcPr>
            <w:tcW w:type="dxa" w:w="2016"/>
            <w:shd w:fill="F0F4F8"/>
            <w:tcBorders>
              <w:top w:val="single" w:sz="4" w:color="CCCCCC"/>
              <w:left w:val="single" w:sz="4" w:color="CCCCCC"/>
              <w:bottom w:val="single" w:sz="4" w:color="CCCCCC"/>
              <w:right w:val="single" w:sz="4" w:color="CCCCCC"/>
            </w:tcBorders>
          </w:tcPr>
          <w:p>
            <w:pPr>
              <w:jc w:val="left"/>
            </w:pPr>
            <w:r>
              <w:rPr>
                <w:sz w:val="20"/>
              </w:rPr>
              <w:t>Deceased Estate with COVID Extension</w:t>
            </w:r>
          </w:p>
        </w:tc>
        <w:tc>
          <w:tcPr>
            <w:tcW w:type="dxa" w:w="2016"/>
            <w:shd w:fill="F0F4F8"/>
            <w:tcBorders>
              <w:top w:val="single" w:sz="4" w:color="CCCCCC"/>
              <w:left w:val="single" w:sz="4" w:color="CCCCCC"/>
              <w:bottom w:val="single" w:sz="4" w:color="CCCCCC"/>
              <w:right w:val="single" w:sz="4" w:color="CCCCCC"/>
            </w:tcBorders>
          </w:tcPr>
          <w:p>
            <w:pPr>
              <w:jc w:val="left"/>
            </w:pPr>
            <w:r>
              <w:rPr>
                <w:sz w:val="20"/>
              </w:rPr>
              <w:t>s118.195 + PCG 2019/5</w:t>
            </w:r>
          </w:p>
        </w:tc>
        <w:tc>
          <w:tcPr>
            <w:tcW w:type="dxa" w:w="2016"/>
            <w:shd w:fill="F0F4F8"/>
            <w:tcBorders>
              <w:top w:val="single" w:sz="4" w:color="CCCCCC"/>
              <w:left w:val="single" w:sz="4" w:color="CCCCCC"/>
              <w:bottom w:val="single" w:sz="4" w:color="CCCCCC"/>
              <w:right w:val="single" w:sz="4" w:color="CCCCCC"/>
            </w:tcBorders>
          </w:tcPr>
          <w:p>
            <w:pPr>
              <w:jc w:val="left"/>
            </w:pPr>
            <w:r>
              <w:rPr>
                <w:sz w:val="20"/>
              </w:rPr>
              <w:t>100%</w:t>
            </w:r>
          </w:p>
        </w:tc>
        <w:tc>
          <w:tcPr>
            <w:tcW w:type="dxa" w:w="2016"/>
            <w:shd w:fill="F0F4F8"/>
            <w:tcBorders>
              <w:top w:val="single" w:sz="4" w:color="CCCCCC"/>
              <w:left w:val="single" w:sz="4" w:color="CCCCCC"/>
              <w:bottom w:val="single" w:sz="4" w:color="CCCCCC"/>
              <w:right w:val="single" w:sz="4" w:color="CCCCCC"/>
            </w:tcBorders>
          </w:tcPr>
          <w:p>
            <w:pPr>
              <w:jc w:val="left"/>
            </w:pPr>
            <w:r>
              <w:rPr>
                <w:sz w:val="20"/>
              </w:rPr>
              <w:t>$0</w:t>
            </w:r>
          </w:p>
        </w:tc>
      </w:tr>
      <w:tr>
        <w:tc>
          <w:tcPr>
            <w:tcW w:type="dxa" w:w="2016"/>
            <w:shd w:fill="FFFFFF"/>
            <w:tcBorders>
              <w:top w:val="single" w:sz="4" w:color="CCCCCC"/>
              <w:left w:val="single" w:sz="4" w:color="CCCCCC"/>
              <w:bottom w:val="single" w:sz="4" w:color="CCCCCC"/>
              <w:right w:val="single" w:sz="4" w:color="CCCCCC"/>
            </w:tcBorders>
          </w:tcPr>
          <w:p>
            <w:pPr>
              <w:jc w:val="left"/>
            </w:pPr>
            <w:r>
              <w:rPr>
                <w:sz w:val="20"/>
              </w:rPr>
              <w:t>18</w:t>
            </w:r>
          </w:p>
        </w:tc>
        <w:tc>
          <w:tcPr>
            <w:tcW w:type="dxa" w:w="2016"/>
            <w:shd w:fill="FFFFFF"/>
            <w:tcBorders>
              <w:top w:val="single" w:sz="4" w:color="CCCCCC"/>
              <w:left w:val="single" w:sz="4" w:color="CCCCCC"/>
              <w:bottom w:val="single" w:sz="4" w:color="CCCCCC"/>
              <w:right w:val="single" w:sz="4" w:color="CCCCCC"/>
            </w:tcBorders>
          </w:tcPr>
          <w:p>
            <w:pPr>
              <w:jc w:val="left"/>
            </w:pPr>
            <w:r>
              <w:rPr>
                <w:sz w:val="20"/>
              </w:rPr>
              <w:t>Small Business CGT Concessions</w:t>
            </w:r>
          </w:p>
        </w:tc>
        <w:tc>
          <w:tcPr>
            <w:tcW w:type="dxa" w:w="2016"/>
            <w:shd w:fill="FFFFFF"/>
            <w:tcBorders>
              <w:top w:val="single" w:sz="4" w:color="CCCCCC"/>
              <w:left w:val="single" w:sz="4" w:color="CCCCCC"/>
              <w:bottom w:val="single" w:sz="4" w:color="CCCCCC"/>
              <w:right w:val="single" w:sz="4" w:color="CCCCCC"/>
            </w:tcBorders>
          </w:tcPr>
          <w:p>
            <w:pPr>
              <w:jc w:val="left"/>
            </w:pPr>
            <w:r>
              <w:rPr>
                <w:sz w:val="20"/>
              </w:rPr>
              <w:t>Subdiv 152-B</w:t>
            </w:r>
          </w:p>
        </w:tc>
        <w:tc>
          <w:tcPr>
            <w:tcW w:type="dxa" w:w="2016"/>
            <w:shd w:fill="FFFFFF"/>
            <w:tcBorders>
              <w:top w:val="single" w:sz="4" w:color="CCCCCC"/>
              <w:left w:val="single" w:sz="4" w:color="CCCCCC"/>
              <w:bottom w:val="single" w:sz="4" w:color="CCCCCC"/>
              <w:right w:val="single" w:sz="4" w:color="CCCCCC"/>
            </w:tcBorders>
          </w:tcPr>
          <w:p>
            <w:pPr>
              <w:jc w:val="left"/>
            </w:pPr>
            <w:r>
              <w:rPr>
                <w:sz w:val="20"/>
              </w:rPr>
              <w:t>100%</w:t>
            </w:r>
          </w:p>
        </w:tc>
        <w:tc>
          <w:tcPr>
            <w:tcW w:type="dxa" w:w="2016"/>
            <w:shd w:fill="FFFFFF"/>
            <w:tcBorders>
              <w:top w:val="single" w:sz="4" w:color="CCCCCC"/>
              <w:left w:val="single" w:sz="4" w:color="CCCCCC"/>
              <w:bottom w:val="single" w:sz="4" w:color="CCCCCC"/>
              <w:right w:val="single" w:sz="4" w:color="CCCCCC"/>
            </w:tcBorders>
          </w:tcPr>
          <w:p>
            <w:pPr>
              <w:jc w:val="left"/>
            </w:pPr>
            <w:r>
              <w:rPr>
                <w:sz w:val="20"/>
              </w:rPr>
              <w:t>$0</w:t>
            </w:r>
          </w:p>
        </w:tc>
      </w:tr>
      <w:tr>
        <w:tc>
          <w:tcPr>
            <w:tcW w:type="dxa" w:w="2016"/>
            <w:shd w:fill="F0F4F8"/>
            <w:tcBorders>
              <w:top w:val="single" w:sz="4" w:color="CCCCCC"/>
              <w:left w:val="single" w:sz="4" w:color="CCCCCC"/>
              <w:bottom w:val="single" w:sz="4" w:color="CCCCCC"/>
              <w:right w:val="single" w:sz="4" w:color="CCCCCC"/>
            </w:tcBorders>
          </w:tcPr>
          <w:p>
            <w:pPr>
              <w:jc w:val="left"/>
            </w:pPr>
            <w:r>
              <w:rPr>
                <w:sz w:val="20"/>
              </w:rPr>
              <w:t>19</w:t>
            </w:r>
          </w:p>
        </w:tc>
        <w:tc>
          <w:tcPr>
            <w:tcW w:type="dxa" w:w="2016"/>
            <w:shd w:fill="F0F4F8"/>
            <w:tcBorders>
              <w:top w:val="single" w:sz="4" w:color="CCCCCC"/>
              <w:left w:val="single" w:sz="4" w:color="CCCCCC"/>
              <w:bottom w:val="single" w:sz="4" w:color="CCCCCC"/>
              <w:right w:val="single" w:sz="4" w:color="CCCCCC"/>
            </w:tcBorders>
          </w:tcPr>
          <w:p>
            <w:pPr>
              <w:jc w:val="left"/>
            </w:pPr>
            <w:r>
              <w:rPr>
                <w:sz w:val="20"/>
              </w:rPr>
              <w:t>Investment Then Main Residence</w:t>
            </w:r>
          </w:p>
        </w:tc>
        <w:tc>
          <w:tcPr>
            <w:tcW w:type="dxa" w:w="2016"/>
            <w:shd w:fill="F0F4F8"/>
            <w:tcBorders>
              <w:top w:val="single" w:sz="4" w:color="CCCCCC"/>
              <w:left w:val="single" w:sz="4" w:color="CCCCCC"/>
              <w:bottom w:val="single" w:sz="4" w:color="CCCCCC"/>
              <w:right w:val="single" w:sz="4" w:color="CCCCCC"/>
            </w:tcBorders>
          </w:tcPr>
          <w:p>
            <w:pPr>
              <w:jc w:val="left"/>
            </w:pPr>
            <w:r>
              <w:rPr>
                <w:sz w:val="20"/>
              </w:rPr>
              <w:t>s118.185</w:t>
            </w:r>
          </w:p>
        </w:tc>
        <w:tc>
          <w:tcPr>
            <w:tcW w:type="dxa" w:w="2016"/>
            <w:shd w:fill="F0F4F8"/>
            <w:tcBorders>
              <w:top w:val="single" w:sz="4" w:color="CCCCCC"/>
              <w:left w:val="single" w:sz="4" w:color="CCCCCC"/>
              <w:bottom w:val="single" w:sz="4" w:color="CCCCCC"/>
              <w:right w:val="single" w:sz="4" w:color="CCCCCC"/>
            </w:tcBorders>
          </w:tcPr>
          <w:p>
            <w:pPr>
              <w:jc w:val="left"/>
            </w:pPr>
            <w:r>
              <w:rPr>
                <w:sz w:val="20"/>
              </w:rPr>
              <w:t>39.98%</w:t>
            </w:r>
          </w:p>
        </w:tc>
        <w:tc>
          <w:tcPr>
            <w:tcW w:type="dxa" w:w="2016"/>
            <w:shd w:fill="F0F4F8"/>
            <w:tcBorders>
              <w:top w:val="single" w:sz="4" w:color="CCCCCC"/>
              <w:left w:val="single" w:sz="4" w:color="CCCCCC"/>
              <w:bottom w:val="single" w:sz="4" w:color="CCCCCC"/>
              <w:right w:val="single" w:sz="4" w:color="CCCCCC"/>
            </w:tcBorders>
          </w:tcPr>
          <w:p>
            <w:pPr>
              <w:jc w:val="left"/>
            </w:pPr>
            <w:r>
              <w:rPr>
                <w:sz w:val="20"/>
              </w:rPr>
              <w:t>$30,475</w:t>
            </w:r>
          </w:p>
        </w:tc>
      </w:tr>
      <w:tr>
        <w:tc>
          <w:tcPr>
            <w:tcW w:type="dxa" w:w="2016"/>
            <w:shd w:fill="FFFFFF"/>
            <w:tcBorders>
              <w:top w:val="single" w:sz="4" w:color="CCCCCC"/>
              <w:left w:val="single" w:sz="4" w:color="CCCCCC"/>
              <w:bottom w:val="single" w:sz="4" w:color="CCCCCC"/>
              <w:right w:val="single" w:sz="4" w:color="CCCCCC"/>
            </w:tcBorders>
          </w:tcPr>
          <w:p>
            <w:pPr>
              <w:jc w:val="left"/>
            </w:pPr>
            <w:r>
              <w:rPr>
                <w:sz w:val="20"/>
              </w:rPr>
              <w:t>20</w:t>
            </w:r>
          </w:p>
        </w:tc>
        <w:tc>
          <w:tcPr>
            <w:tcW w:type="dxa" w:w="2016"/>
            <w:shd w:fill="FFFFFF"/>
            <w:tcBorders>
              <w:top w:val="single" w:sz="4" w:color="CCCCCC"/>
              <w:left w:val="single" w:sz="4" w:color="CCCCCC"/>
              <w:bottom w:val="single" w:sz="4" w:color="CCCCCC"/>
              <w:right w:val="single" w:sz="4" w:color="CCCCCC"/>
            </w:tcBorders>
          </w:tcPr>
          <w:p>
            <w:pPr>
              <w:jc w:val="left"/>
            </w:pPr>
            <w:r>
              <w:rPr>
                <w:sz w:val="20"/>
              </w:rPr>
              <w:t>Four Property Portfolio Optimization</w:t>
            </w:r>
          </w:p>
        </w:tc>
        <w:tc>
          <w:tcPr>
            <w:tcW w:type="dxa" w:w="2016"/>
            <w:shd w:fill="FFFFFF"/>
            <w:tcBorders>
              <w:top w:val="single" w:sz="4" w:color="CCCCCC"/>
              <w:left w:val="single" w:sz="4" w:color="CCCCCC"/>
              <w:bottom w:val="single" w:sz="4" w:color="CCCCCC"/>
              <w:right w:val="single" w:sz="4" w:color="CCCCCC"/>
            </w:tcBorders>
          </w:tcPr>
          <w:p>
            <w:pPr>
              <w:jc w:val="left"/>
            </w:pPr>
            <w:r>
              <w:rPr>
                <w:sz w:val="20"/>
              </w:rPr>
              <w:t>Mixed</w:t>
            </w:r>
          </w:p>
        </w:tc>
        <w:tc>
          <w:tcPr>
            <w:tcW w:type="dxa" w:w="2016"/>
            <w:shd w:fill="FFFFFF"/>
            <w:tcBorders>
              <w:top w:val="single" w:sz="4" w:color="CCCCCC"/>
              <w:left w:val="single" w:sz="4" w:color="CCCCCC"/>
              <w:bottom w:val="single" w:sz="4" w:color="CCCCCC"/>
              <w:right w:val="single" w:sz="4" w:color="CCCCCC"/>
            </w:tcBorders>
          </w:tcPr>
          <w:p>
            <w:pPr>
              <w:jc w:val="left"/>
            </w:pPr>
            <w:r>
              <w:rPr>
                <w:sz w:val="20"/>
              </w:rPr>
              <w:t>Mixed</w:t>
            </w:r>
          </w:p>
        </w:tc>
        <w:tc>
          <w:tcPr>
            <w:tcW w:type="dxa" w:w="2016"/>
            <w:shd w:fill="FFFFFF"/>
            <w:tcBorders>
              <w:top w:val="single" w:sz="4" w:color="CCCCCC"/>
              <w:left w:val="single" w:sz="4" w:color="CCCCCC"/>
              <w:bottom w:val="single" w:sz="4" w:color="CCCCCC"/>
              <w:right w:val="single" w:sz="4" w:color="CCCCCC"/>
            </w:tcBorders>
          </w:tcPr>
          <w:p>
            <w:pPr>
              <w:jc w:val="left"/>
            </w:pPr>
            <w:r>
              <w:rPr>
                <w:sz w:val="20"/>
              </w:rPr>
              <w:t>$92,238</w:t>
            </w:r>
          </w:p>
        </w:tc>
      </w:tr>
    </w:tbl>
    <w:p/>
    <w:p>
      <w:pPr>
        <w:spacing w:before="120" w:after="120"/>
      </w:pPr>
      <w:r>
        <w:rPr>
          <w:color w:val="B4B4B4"/>
          <w:sz w:val="12"/>
        </w:rPr>
        <w:t>────────────────────────────────────────────────────────────────────────────────────────────────────</w:t>
      </w:r>
    </w:p>
    <w:p>
      <w:pPr>
        <w:pStyle w:val="Heading1"/>
      </w:pPr>
      <w:r>
        <w:t>Sources and References</w:t>
      </w:r>
    </w:p>
    <w:p>
      <w:r>
        <w:rPr>
          <w:rFonts w:ascii="Calibri" w:hAnsi="Calibri"/>
          <w:sz w:val="22"/>
        </w:rPr>
        <w:t>ATO: Eligibility for main residence exemption</w:t>
      </w:r>
    </w:p>
    <w:p>
      <w:r>
        <w:rPr>
          <w:rFonts w:ascii="Calibri" w:hAnsi="Calibri"/>
          <w:color w:val="0066CC"/>
          <w:sz w:val="20"/>
        </w:rPr>
        <w:t>https://www.ato.gov.au/individuals-and-families/investments-and-assets/capital-gains-tax/property-and-capital-gains-tax/your-main-residence---home/eligibility-for-main-residence-exemption</w:t>
      </w:r>
    </w:p>
    <w:p>
      <w:r>
        <w:rPr>
          <w:rFonts w:ascii="Calibri" w:hAnsi="Calibri"/>
          <w:sz w:val="22"/>
        </w:rPr>
        <w:t>ATO: Treating former home as main residence</w:t>
      </w:r>
    </w:p>
    <w:p>
      <w:r>
        <w:rPr>
          <w:rFonts w:ascii="Calibri" w:hAnsi="Calibri"/>
          <w:color w:val="0066CC"/>
          <w:sz w:val="20"/>
        </w:rPr>
        <w:t>https://www.ato.gov.au/individuals-and-families/investments-and-assets/capital-gains-tax/property-and-capital-gains-tax/your-main-residence---home/treating-former-home-as-main-residence</w:t>
      </w:r>
    </w:p>
    <w:p>
      <w:r>
        <w:rPr>
          <w:rFonts w:ascii="Calibri" w:hAnsi="Calibri"/>
          <w:sz w:val="22"/>
        </w:rPr>
        <w:t>ATO: Moving to a new main residence</w:t>
      </w:r>
    </w:p>
    <w:p>
      <w:r>
        <w:rPr>
          <w:rFonts w:ascii="Calibri" w:hAnsi="Calibri"/>
          <w:color w:val="0066CC"/>
          <w:sz w:val="20"/>
        </w:rPr>
        <w:t>https://www.ato.gov.au/individuals-and-families/investments-and-assets/capital-gains-tax/property-and-capital-gains-tax/your-main-residence-home/moving-to-a-new-main-residence</w:t>
      </w:r>
    </w:p>
    <w:p>
      <w:r>
        <w:rPr>
          <w:rFonts w:ascii="Calibri" w:hAnsi="Calibri"/>
          <w:sz w:val="22"/>
        </w:rPr>
        <w:t>ATO: Inherited property and CGT</w:t>
      </w:r>
    </w:p>
    <w:p>
      <w:r>
        <w:rPr>
          <w:rFonts w:ascii="Calibri" w:hAnsi="Calibri"/>
          <w:color w:val="0066CC"/>
          <w:sz w:val="20"/>
        </w:rPr>
        <w:t>https://www.ato.gov.au/individuals-and-families/investments-and-assets/capital-gains-tax/inherited-assets-and-capital-gains-tax/inherited-property-and-cgt</w:t>
      </w:r>
    </w:p>
    <w:p>
      <w:r>
        <w:rPr>
          <w:rFonts w:ascii="Calibri" w:hAnsi="Calibri"/>
          <w:sz w:val="22"/>
        </w:rPr>
        <w:t>ATO: Extensions to the 2-year ownership period</w:t>
      </w:r>
    </w:p>
    <w:p>
      <w:r>
        <w:rPr>
          <w:rFonts w:ascii="Calibri" w:hAnsi="Calibri"/>
          <w:color w:val="0066CC"/>
          <w:sz w:val="20"/>
        </w:rPr>
        <w:t>https://www.ato.gov.au/individuals-and-families/investments-and-assets/capital-gains-tax/inherited-assets-and-capital-gains-tax/extensions-to-the-2-year-ownership-period</w:t>
      </w:r>
    </w:p>
    <w:p>
      <w:r>
        <w:rPr>
          <w:rFonts w:ascii="Calibri" w:hAnsi="Calibri"/>
          <w:sz w:val="22"/>
        </w:rPr>
        <w:t>ATO: Granny flat arrangements and CGT</w:t>
      </w:r>
    </w:p>
    <w:p>
      <w:r>
        <w:rPr>
          <w:rFonts w:ascii="Calibri" w:hAnsi="Calibri"/>
          <w:color w:val="0066CC"/>
          <w:sz w:val="20"/>
        </w:rPr>
        <w:t>https://www.ato.gov.au/individuals-and-families/investments-and-assets/capital-gains-tax/property-and-capital-gains-tax/granny-flat-arrangements-and-cgt</w:t>
      </w:r>
    </w:p>
    <w:p>
      <w:r>
        <w:rPr>
          <w:rFonts w:ascii="Calibri" w:hAnsi="Calibri"/>
          <w:sz w:val="22"/>
        </w:rPr>
        <w:t>ATO: Main residence exemption in relationship breakdown</w:t>
      </w:r>
    </w:p>
    <w:p>
      <w:r>
        <w:rPr>
          <w:rFonts w:ascii="Calibri" w:hAnsi="Calibri"/>
          <w:color w:val="0066CC"/>
          <w:sz w:val="20"/>
        </w:rPr>
        <w:t>https://www.ato.gov.au/individuals-and-families/investments-and-assets/capital-gains-tax/relationship-breakdown-and-capital-gains-tax/main-residence-exemption-in-relationship-breakdown</w:t>
      </w:r>
    </w:p>
    <w:p>
      <w:r>
        <w:rPr>
          <w:rFonts w:ascii="Calibri" w:hAnsi="Calibri"/>
          <w:sz w:val="22"/>
        </w:rPr>
        <w:t>ATO: Main residence exemption for foreign residents</w:t>
      </w:r>
    </w:p>
    <w:p>
      <w:r>
        <w:rPr>
          <w:rFonts w:ascii="Calibri" w:hAnsi="Calibri"/>
          <w:color w:val="0066CC"/>
          <w:sz w:val="20"/>
        </w:rPr>
        <w:t>https://www.ato.gov.au/individuals-and-families/investments-and-assets/capital-gains-tax/foreign-residents-and-capital-gains-tax/main-residence-exemption-for-foreign-residents</w:t>
      </w:r>
    </w:p>
    <w:p>
      <w:r>
        <w:rPr>
          <w:rFonts w:ascii="Calibri" w:hAnsi="Calibri"/>
          <w:sz w:val="22"/>
        </w:rPr>
        <w:t>ATO: Building or renovating your home</w:t>
      </w:r>
    </w:p>
    <w:p>
      <w:r>
        <w:rPr>
          <w:rFonts w:ascii="Calibri" w:hAnsi="Calibri"/>
          <w:color w:val="0066CC"/>
          <w:sz w:val="20"/>
        </w:rPr>
        <w:t>https://www.ato.gov.au/individuals-and-families/investments-and-assets/capital-gains-tax/property-and-capital-gains-tax/your-main-residence-home/building-or-renovating-your-home</w:t>
      </w:r>
    </w:p>
    <w:p>
      <w:r>
        <w:rPr>
          <w:rFonts w:ascii="Calibri" w:hAnsi="Calibri"/>
          <w:sz w:val="22"/>
        </w:rPr>
        <w:t>ATO: Property improvements and additions</w:t>
      </w:r>
    </w:p>
    <w:p>
      <w:r>
        <w:rPr>
          <w:rFonts w:ascii="Calibri" w:hAnsi="Calibri"/>
          <w:color w:val="0066CC"/>
          <w:sz w:val="20"/>
        </w:rPr>
        <w:t>https://www.ato.gov.au/individuals-and-families/investments-and-assets/capital-gains-tax/property-and-capital-gains-tax/property-improvements-and-additions</w:t>
      </w:r>
    </w:p>
    <w:p>
      <w:r>
        <w:rPr>
          <w:rFonts w:ascii="Calibri" w:hAnsi="Calibri"/>
          <w:sz w:val="22"/>
        </w:rPr>
        <w:t>ATO: Small business CGT concessions</w:t>
      </w:r>
    </w:p>
    <w:p>
      <w:r>
        <w:rPr>
          <w:rFonts w:ascii="Calibri" w:hAnsi="Calibri"/>
          <w:color w:val="0066CC"/>
          <w:sz w:val="20"/>
        </w:rPr>
        <w:t>https://www.ato.gov.au/businesses-and-organisations/income-deductions-and-concessions/incentives-and-concessions/small-business-cgt-concessions</w:t>
      </w:r>
    </w:p>
    <w:p>
      <w:r>
        <w:rPr>
          <w:rFonts w:ascii="Calibri" w:hAnsi="Calibri"/>
          <w:sz w:val="22"/>
        </w:rPr>
        <w:t>MLC TechConnect: Qualifying for main residence CGT exemption (December 2024)</w:t>
      </w:r>
    </w:p>
    <w:p>
      <w:r>
        <w:rPr>
          <w:rFonts w:ascii="Calibri" w:hAnsi="Calibri"/>
          <w:sz w:val="22"/>
        </w:rPr>
        <w:t>Legislation: ITAA97 s108.70, s115.25, s115.105, s118.80, s118.110, s118.120, s118.140, s118.145, s118.150, s118.165, s118.170, s118.185, s118.190, s118.192, s118.195, s126.5, s149.10, Subdivision 152-B</w:t>
      </w:r>
    </w:p>
    <w:p>
      <w:pPr>
        <w:spacing w:before="120" w:after="120"/>
      </w:pPr>
      <w:r>
        <w:rPr>
          <w:color w:val="B4B4B4"/>
          <w:sz w:val="12"/>
        </w:rPr>
        <w:t>────────────────────────────────────────────────────────────────────────────────────────────────────</w:t>
      </w:r>
    </w:p>
    <w:p>
      <w:r>
        <w:rPr>
          <w:rFonts w:ascii="Calibri" w:hAnsi="Calibri"/>
          <w:sz w:val="22"/>
        </w:rPr>
        <w:t>Document generated for CGT Brain Timeline Application.</w:t>
      </w:r>
    </w:p>
    <w:p>
      <w:r>
        <w:rPr>
          <w:rFonts w:ascii="Calibri" w:hAnsi="Calibri"/>
          <w:sz w:val="22"/>
        </w:rPr>
        <w:t>Last updated: January 2025</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366"/>
      <w:sz w:val="5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5288"/>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3333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