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tl w:val="0"/>
        </w:rPr>
        <w:t xml:space="preserve">Proyecto AquaSample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004V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Six Sevenardos / 16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09/09/2026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Tomas Herrera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Ignacio Retamales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AquaTraz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Logo_AquaTraz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combinación entre el entorno acuícola y la trazabilidad de las muestras. El concepto utiliza elementos relacionados con el agua y el registro de información para representar una aplicación tecnológica orientada al monitoreo y seguimiento de muestras de choritos. 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#0077B6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principales, elementos destacados y acciones importantes.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#00B4D8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Iconos, elementos secundarios y estados informativos.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#F5F9FC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de las pantallas.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#1B1B1B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Textos principales y títulos.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#48CAE4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Detalles visuales, indicadores y elementos de apoyo.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La paleta utiliza tonos asociados al agua y al entorno acuícola, transmitiendo una identidad tecnológica, limpia y profesional. Los colores principales facilitan la identificación de acciones importantes y mantienen una interfaz clara para su utilización en terreno.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con usuario y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al 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crear una nueva muestra e ingresar los datos de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o capturar fotografía y agregar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y guardar la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la muestra en el 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/ 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9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364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381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6.78985595703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Permitir el acceso seguro según el usuario y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las funciones disponibles según el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Navegar por la aplicación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Registrar los datos principales de una nueva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Completar formulario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o capturar fotografía y registrar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fotografía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los datos antes de guardar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Operador de muestreo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Confirmar muestra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de muestras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registros anteriores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/ Analista / Operador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Buscar y filtrar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toda la información de una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Usuarios autorizados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o modificar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 o solicitar correcciones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Supervisor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Cambiar estado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Administrar usuarios ficticios y permisos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académico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o eliminar usuario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y visualizar información resumida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Analista /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Consultar o exportar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E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F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B0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Acceder rápidamente a Inicio, Historial y Perfil según el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MVP tendrá pocas secciones principales y no requiere un menú lateral complejo.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título de la pantalla y acciones secundarias.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rápidamente una nueva muestra desde el inicio o historial.</w:t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35"/>
        <w:gridCol w:w="2565"/>
        <w:tblGridChange w:id="0">
          <w:tblGrid>
            <w:gridCol w:w="2550"/>
            <w:gridCol w:w="2550"/>
            <w:gridCol w:w="2535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Ajuste de colores y nombre de la aplicación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Adaptación de opciones según rol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crear-muestra.png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campos requeridos por el caso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fotografía y observaciones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filtros y estados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detalle-muestra.png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Adaptación para visualizar toda la información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revision.png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estados de revisión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reportes.png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Adaptación para consulta y exportación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resumen-muestra.png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Ajuste de campos según datos ingresados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gestion-usuarios.png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Google AI Studio / Stitch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Adaptación para creación/eliminación de usuarios ficticios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F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usuario y contraseña y acceder a la aplicación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 / Card / 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navegación y funciones disponibles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Crear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 / Button /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datos de centro, tren, línea, fecha y otros campos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Button / Icon /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Adjuntar fotografía y mostrar evidencia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 / Card / TextField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registros y facilitar búsquedas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Text /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los datos completos de la muestra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muestra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Button / 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Validar, observar o solicitar correcciones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Card /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resúmenes y permitir exportación simulada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16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1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2A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Tomas Herrera – Backend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Retamales – Frontend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Kotlin, Jetpack Compose, arquitectura MVVM, Room/DataStore, Material Design 3</w:t>
            </w:r>
          </w:p>
        </w:tc>
      </w:tr>
    </w:tbl>
    <w:p w:rsidR="00000000" w:rsidDel="00000000" w:rsidP="00000000" w:rsidRDefault="00000000" w:rsidRPr="00000000" w14:paraId="000001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48">
      <w:pPr>
        <w:spacing w:after="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</w:p>
    <w:p w:rsidR="00000000" w:rsidDel="00000000" w:rsidP="00000000" w:rsidRDefault="00000000" w:rsidRPr="00000000" w14:paraId="00000149">
      <w:pPr>
        <w:spacing w:after="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Respuesta: </w:t>
      </w:r>
    </w:p>
    <w:p w:rsidR="00000000" w:rsidDel="00000000" w:rsidP="00000000" w:rsidRDefault="00000000" w:rsidRPr="00000000" w14:paraId="0000014B">
      <w:pPr>
        <w:spacing w:after="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Sí. La documentación permite comprender el propósito de AquaTraz, sus usuarios, el flujo principal de navegación, las pantallas necesarias y la identidad visual definida para el MVP. Además, el repositorio contará con los diseños y el diagrama UML necesarios como referencia para la futura implementación en Android.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aistudio.google.com/" TargetMode="External"/><Relationship Id="rId14" Type="http://schemas.openxmlformats.org/officeDocument/2006/relationships/hyperlink" Target="https://aistudio.google.com/" TargetMode="External"/><Relationship Id="rId17" Type="http://schemas.openxmlformats.org/officeDocument/2006/relationships/hyperlink" Target="https://m3.material.io/components" TargetMode="External"/><Relationship Id="rId16" Type="http://schemas.openxmlformats.org/officeDocument/2006/relationships/hyperlink" Target="https://stitch.withgoogle.com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7cISFC5d4lfXFgegqQBlfekAA==">CgMxLjA4AHIhMXNhMjhLUnBzQ2dRRGdDZHdvUVVYVkdjb0d5TnJ0bVNI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