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77777777"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t>David S. Hippocampus</w:t>
      </w:r>
      <w:r>
        <w:rPr>
          <w:b/>
          <w:bCs/>
          <w:spacing w:val="5"/>
          <w:kern w:val="1"/>
          <w:vertAlign w:val="superscript"/>
        </w:rPr>
        <w:tab/>
      </w:r>
      <w:r>
        <w:rPr>
          <w:b/>
          <w:bCs/>
          <w:spacing w:val="5"/>
          <w:kern w:val="1"/>
        </w:rPr>
        <w:t>Coauthor</w:t>
      </w:r>
    </w:p>
    <w:p w14:paraId="3A5177DF" w14:textId="147CEEFD"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Pr>
          <w:spacing w:val="5"/>
          <w:kern w:val="1"/>
        </w:rPr>
        <w:tab/>
        <w:t>Affiliation</w:t>
      </w:r>
    </w:p>
    <w:p w14:paraId="62708731" w14:textId="78EDF645"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t>Address</w:t>
      </w:r>
    </w:p>
    <w:p w14:paraId="11FF5332" w14:textId="77777777"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Pr>
          <w:i/>
          <w:iCs/>
          <w:spacing w:val="5"/>
          <w:kern w:val="1"/>
        </w:rPr>
        <w:t>email</w:t>
      </w:r>
    </w:p>
    <w:p w14:paraId="257F86D5" w14:textId="5EDDD7DC"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i/>
          <w:iCs/>
          <w:spacing w:val="5"/>
          <w:kern w:val="1"/>
        </w:rPr>
        <w:t>hippo@cs.cranberry.lemon.edu</w:t>
      </w:r>
      <w:r>
        <w:rPr>
          <w:spacing w:val="5"/>
          <w:kern w:val="1"/>
        </w:rPr>
        <w:tab/>
      </w:r>
      <w:r>
        <w:rPr>
          <w:spacing w:val="5"/>
          <w:kern w:val="1"/>
        </w:rPr>
        <w:tab/>
      </w:r>
      <w:r>
        <w:rPr>
          <w:b/>
          <w:bCs/>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w:t>
      </w:r>
      <w:proofErr w:type="spellStart"/>
      <w:r w:rsidRPr="003D5905">
        <w:rPr>
          <w:spacing w:val="5"/>
          <w:kern w:val="1"/>
        </w:rPr>
        <w:t>vectorized</w:t>
      </w:r>
      <w:proofErr w:type="spellEnd"/>
      <w:r w:rsidRPr="003D5905">
        <w:rPr>
          <w:spacing w:val="5"/>
          <w:kern w:val="1"/>
        </w:rPr>
        <w:t xml:space="preserve">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neighbors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D110C2"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D110C2"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D110C2"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5" w:tooltip="Argument of a function" w:history="1">
        <w:r w:rsidRPr="00D110C2">
          <w:rPr>
            <w:spacing w:val="5"/>
            <w:kern w:val="1"/>
          </w:rPr>
          <w:t>in</w:t>
        </w:r>
        <w:r w:rsidRPr="00D110C2">
          <w:rPr>
            <w:spacing w:val="5"/>
            <w:kern w:val="1"/>
          </w:rPr>
          <w:t>p</w:t>
        </w:r>
        <w:r w:rsidRPr="00D110C2">
          <w:rPr>
            <w:spacing w:val="5"/>
            <w:kern w:val="1"/>
          </w:rPr>
          <w:t>uts</w:t>
        </w:r>
      </w:hyperlink>
      <w:r w:rsidRPr="00D110C2">
        <w:rPr>
          <w:spacing w:val="5"/>
          <w:kern w:val="1"/>
        </w:rPr>
        <w:t> and known output label to train the training example. It is generally presented as systems of interconnected "</w:t>
      </w:r>
      <w:hyperlink r:id="rId6" w:tooltip="Artificial neuron" w:history="1">
        <w:r w:rsidRPr="00D110C2">
          <w:rPr>
            <w:spacing w:val="5"/>
            <w:kern w:val="1"/>
          </w:rPr>
          <w:t>neurons</w:t>
        </w:r>
      </w:hyperlink>
      <w:r w:rsidRPr="00D110C2">
        <w:rPr>
          <w:spacing w:val="5"/>
          <w:kern w:val="1"/>
        </w:rPr>
        <w:t>" which exchange messages between each other. The connections have numeric weights that can be tuned based on experience, making neural nets adaptive to inputs and capable of learning.</w:t>
      </w:r>
    </w:p>
    <w:p w14:paraId="62D8532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equations that we used in our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bookmarkStart w:id="4" w:name="_GoBack"/>
      <w:bookmarkEnd w:id="4"/>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We used gradient descent method to update node weight value. Here are the functions we used.</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77777777" w:rsidR="00D110C2" w:rsidRPr="00D110C2" w:rsidRDefault="00D110C2" w:rsidP="00D110C2">
      <w:pPr>
        <w:widowControl w:val="0"/>
        <w:autoSpaceDE w:val="0"/>
        <w:autoSpaceDN w:val="0"/>
        <w:adjustRightInd w:val="0"/>
        <w:spacing w:before="120" w:line="226" w:lineRule="auto"/>
        <w:jc w:val="both"/>
        <w:rPr>
          <w:rFonts w:hint="eastAsia"/>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w:t>
      </w:r>
      <w:proofErr w:type="spellStart"/>
      <w:r w:rsidRPr="00D110C2">
        <w:rPr>
          <w:spacing w:val="5"/>
          <w:kern w:val="1"/>
        </w:rPr>
        <w:t>i</w:t>
      </w:r>
      <w:proofErr w:type="spellEnd"/>
      <w:r w:rsidRPr="00D110C2">
        <w:rPr>
          <w:spacing w:val="5"/>
          <w:kern w:val="1"/>
        </w:rPr>
        <w:t xml:space="preserve"> to j and </w:t>
      </w:r>
      <m:oMath>
        <m:r>
          <m:rPr>
            <m:sty m:val="p"/>
          </m:rPr>
          <w:rPr>
            <w:rFonts w:ascii="Cambria Math" w:hAnsi="Cambria Math"/>
            <w:spacing w:val="5"/>
            <w:kern w:val="1"/>
          </w:rPr>
          <m:t>η</m:t>
        </m:r>
      </m:oMath>
      <w:r w:rsidRPr="00D110C2">
        <w:rPr>
          <w:spacing w:val="5"/>
          <w:kern w:val="1"/>
        </w:rPr>
        <w:t xml:space="preserve"> means study rate and equals to 0.1 in this neural network classifier.</w:t>
      </w:r>
    </w:p>
    <w:p w14:paraId="5AD82AE5" w14:textId="77777777" w:rsidR="00D110C2" w:rsidRPr="00D110C2" w:rsidRDefault="00D110C2" w:rsidP="00D110C2">
      <w:pPr>
        <w:widowControl w:val="0"/>
        <w:autoSpaceDE w:val="0"/>
        <w:autoSpaceDN w:val="0"/>
        <w:adjustRightInd w:val="0"/>
        <w:rPr>
          <w:b/>
          <w:bCs/>
          <w:spacing w:val="24"/>
          <w:kern w:val="1"/>
        </w:rPr>
      </w:pPr>
    </w:p>
    <w:p w14:paraId="7D7262FC" w14:textId="77777777" w:rsidR="00D110C2" w:rsidRDefault="00D110C2" w:rsidP="00775B1A">
      <w:pPr>
        <w:widowControl w:val="0"/>
        <w:autoSpaceDE w:val="0"/>
        <w:autoSpaceDN w:val="0"/>
        <w:adjustRightInd w:val="0"/>
        <w:spacing w:before="120"/>
        <w:jc w:val="both"/>
        <w:rPr>
          <w:spacing w:val="5"/>
          <w:kern w:val="1"/>
        </w:rPr>
      </w:pP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1C9EFE1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First level headings are lower case (except for first word and proper nouns), flush left, bold and in point size 12. One line space before the first level heading and ½ line space after the first level heading.</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Third level headings are lower case (except for first word and proper nouns), flush left, bold and in point size 10. One line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lastRenderedPageBreak/>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w:t>
      </w:r>
      <w:r>
        <w:rPr>
          <w:spacing w:val="5"/>
          <w:kern w:val="1"/>
        </w:rPr>
        <w:lastRenderedPageBreak/>
        <w:t xml:space="preserve">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D110C2" w:rsidP="00DB0664">
      <w:pPr>
        <w:widowControl w:val="0"/>
        <w:numPr>
          <w:ilvl w:val="1"/>
          <w:numId w:val="7"/>
        </w:numPr>
        <w:tabs>
          <w:tab w:val="left" w:pos="720"/>
        </w:tabs>
        <w:autoSpaceDE w:val="0"/>
        <w:autoSpaceDN w:val="0"/>
        <w:adjustRightInd w:val="0"/>
        <w:rPr>
          <w:spacing w:val="5"/>
          <w:kern w:val="1"/>
        </w:rPr>
      </w:pPr>
      <w:hyperlink r:id="rId7"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lastRenderedPageBreak/>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spellStart"/>
      <w:r>
        <w:rPr>
          <w:rFonts w:ascii="Courier New" w:hAnsi="Courier New" w:cs="Courier New"/>
          <w:spacing w:val="5"/>
          <w:kern w:val="1"/>
        </w:rPr>
        <w:t>linewidth</w:t>
      </w:r>
      <w:proofErr w:type="spell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E2352"/>
    <w:rsid w:val="00212B40"/>
    <w:rsid w:val="002D0824"/>
    <w:rsid w:val="0030284A"/>
    <w:rsid w:val="003D5905"/>
    <w:rsid w:val="00450B34"/>
    <w:rsid w:val="004643D0"/>
    <w:rsid w:val="00653095"/>
    <w:rsid w:val="00775B1A"/>
    <w:rsid w:val="007C2543"/>
    <w:rsid w:val="00943DDF"/>
    <w:rsid w:val="009A6637"/>
    <w:rsid w:val="00A667B5"/>
    <w:rsid w:val="00AB611F"/>
    <w:rsid w:val="00B33ADD"/>
    <w:rsid w:val="00BC1C8D"/>
    <w:rsid w:val="00BE0A2D"/>
    <w:rsid w:val="00C71ADE"/>
    <w:rsid w:val="00CD4CC7"/>
    <w:rsid w:val="00D110C2"/>
    <w:rsid w:val="00D16A4A"/>
    <w:rsid w:val="00DB0664"/>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rgument_of_a_function" TargetMode="External"/><Relationship Id="rId6" Type="http://schemas.openxmlformats.org/officeDocument/2006/relationships/hyperlink" Target="https://en.wikipedia.org/wiki/Artificial_neuron" TargetMode="External"/><Relationship Id="rId7" Type="http://schemas.openxmlformats.org/officeDocument/2006/relationships/hyperlink" Target="http://www.adobe.com/support/downloads/detail.jsp?ftpID=20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2152</Words>
  <Characters>12270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administrator</cp:lastModifiedBy>
  <cp:revision>15</cp:revision>
  <cp:lastPrinted>2015-12-01T21:33:00Z</cp:lastPrinted>
  <dcterms:created xsi:type="dcterms:W3CDTF">2015-12-01T21:33:00Z</dcterms:created>
  <dcterms:modified xsi:type="dcterms:W3CDTF">2015-12-03T02:34:00Z</dcterms:modified>
</cp:coreProperties>
</file>