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AF1A93D" w:rsidP="560E260D" w:rsidRDefault="0AF1A93D" w14:paraId="08A37E6A" w14:textId="0A14A379">
      <w:pPr>
        <w:pStyle w:val="Normal"/>
        <w:rPr>
          <w:noProof w:val="0"/>
          <w:lang w:val="en-US"/>
        </w:rPr>
      </w:pPr>
      <w:r w:rsidRPr="560E260D" w:rsidR="0AF1A93D">
        <w:rPr>
          <w:noProof w:val="0"/>
          <w:lang w:val="en-US"/>
        </w:rPr>
        <w:t>Taylor King</w:t>
      </w:r>
    </w:p>
    <w:p w:rsidR="0AF1A93D" w:rsidP="560E260D" w:rsidRDefault="0AF1A93D" w14:paraId="6F493881" w14:textId="1058B49A">
      <w:pPr>
        <w:pStyle w:val="Normal"/>
        <w:rPr>
          <w:noProof w:val="0"/>
          <w:lang w:val="en-US"/>
        </w:rPr>
      </w:pPr>
      <w:r w:rsidRPr="560E260D" w:rsidR="0AF1A93D">
        <w:rPr>
          <w:noProof w:val="0"/>
          <w:lang w:val="en-US"/>
        </w:rPr>
        <w:t>8/21/24</w:t>
      </w:r>
    </w:p>
    <w:p w:rsidR="560E260D" w:rsidP="560E260D" w:rsidRDefault="560E260D" w14:paraId="22084846" w14:textId="1FF910F0">
      <w:pPr>
        <w:pStyle w:val="Title"/>
        <w:jc w:val="center"/>
        <w:rPr>
          <w:noProof w:val="0"/>
          <w:lang w:val="en-US"/>
        </w:rPr>
      </w:pPr>
    </w:p>
    <w:p w:rsidR="0FC57461" w:rsidP="560E260D" w:rsidRDefault="0FC57461" w14:paraId="4AE257F5" w14:textId="184E5846">
      <w:pPr>
        <w:pStyle w:val="Title"/>
        <w:jc w:val="center"/>
        <w:rPr>
          <w:noProof w:val="0"/>
          <w:lang w:val="en-US"/>
        </w:rPr>
      </w:pPr>
      <w:r w:rsidRPr="560E260D" w:rsidR="0FC57461">
        <w:rPr>
          <w:noProof w:val="0"/>
          <w:lang w:val="en-US"/>
        </w:rPr>
        <w:t xml:space="preserve">Case Study: Operation </w:t>
      </w:r>
      <w:r w:rsidRPr="560E260D" w:rsidR="0FC57461">
        <w:rPr>
          <w:noProof w:val="0"/>
          <w:lang w:val="en-US"/>
        </w:rPr>
        <w:t>InVersion</w:t>
      </w:r>
      <w:r w:rsidRPr="560E260D" w:rsidR="0FC57461">
        <w:rPr>
          <w:noProof w:val="0"/>
          <w:lang w:val="en-US"/>
        </w:rPr>
        <w:t xml:space="preserve"> at LinkedIn (2011) </w:t>
      </w:r>
    </w:p>
    <w:p w:rsidR="0FC57461" w:rsidP="560E260D" w:rsidRDefault="0FC57461" w14:paraId="363A595C" w14:textId="538FB99D">
      <w:pPr>
        <w:pStyle w:val="Title"/>
        <w:jc w:val="center"/>
      </w:pPr>
      <w:r w:rsidRPr="560E260D" w:rsidR="0FC57461">
        <w:rPr>
          <w:noProof w:val="0"/>
          <w:lang w:val="en-US"/>
        </w:rPr>
        <w:t xml:space="preserve"> </w:t>
      </w:r>
    </w:p>
    <w:p w:rsidR="57F6CFEF" w:rsidP="560E260D" w:rsidRDefault="57F6CFEF" w14:paraId="70923F5A" w14:textId="3A480CF2">
      <w:pPr>
        <w:pStyle w:val="Heading1"/>
        <w:rPr>
          <w:noProof w:val="0"/>
          <w:lang w:val="en-US"/>
        </w:rPr>
      </w:pPr>
      <w:r w:rsidRPr="560E260D" w:rsidR="57F6CFEF">
        <w:rPr>
          <w:noProof w:val="0"/>
          <w:lang w:val="en-US"/>
        </w:rPr>
        <w:t>Summary of Main Points:</w:t>
      </w:r>
    </w:p>
    <w:p w:rsidR="0FC57461" w:rsidP="560E260D" w:rsidRDefault="0FC57461" w14:paraId="6EB871F1" w14:textId="18327F1B">
      <w:pPr>
        <w:spacing w:before="0" w:beforeAutospacing="off" w:after="0" w:afterAutospacing="off"/>
      </w:pPr>
      <w:r w:rsidRPr="560E260D" w:rsidR="0FC57461">
        <w:rPr>
          <w:rFonts w:ascii="Aptos" w:hAnsi="Aptos" w:eastAsia="Aptos" w:cs="Aptos"/>
          <w:noProof w:val="0"/>
          <w:color w:val="0E101A"/>
          <w:sz w:val="24"/>
          <w:szCs w:val="24"/>
          <w:lang w:val="en-US"/>
        </w:rPr>
        <w:t>InVersion</w:t>
      </w:r>
      <w:r w:rsidRPr="560E260D" w:rsidR="0FC57461">
        <w:rPr>
          <w:rFonts w:ascii="Aptos" w:hAnsi="Aptos" w:eastAsia="Aptos" w:cs="Aptos"/>
          <w:noProof w:val="0"/>
          <w:color w:val="0E101A"/>
          <w:sz w:val="24"/>
          <w:szCs w:val="24"/>
          <w:lang w:val="en-US"/>
        </w:rPr>
        <w:t xml:space="preserve"> was LinkedIn's initiative in 2011 to address the technical debt accumulated over time due to rapid growth and the need to roll out new features quickly. The primary goals were to improve LinkedIn's infrastructure's scalability, reliability, and maintainability. </w:t>
      </w:r>
    </w:p>
    <w:p w:rsidR="560E260D" w:rsidP="560E260D" w:rsidRDefault="560E260D" w14:paraId="56053A0B" w14:textId="486A60DC">
      <w:pPr>
        <w:spacing w:before="0" w:beforeAutospacing="off" w:after="0" w:afterAutospacing="off"/>
        <w:rPr>
          <w:rFonts w:ascii="Aptos" w:hAnsi="Aptos" w:eastAsia="Aptos" w:cs="Aptos"/>
          <w:noProof w:val="0"/>
          <w:color w:val="0E101A"/>
          <w:sz w:val="24"/>
          <w:szCs w:val="24"/>
          <w:lang w:val="en-US"/>
        </w:rPr>
      </w:pPr>
    </w:p>
    <w:p w:rsidR="0FC57461" w:rsidP="560E260D" w:rsidRDefault="0FC57461" w14:paraId="448F82CB" w14:textId="6F3377E8">
      <w:pPr>
        <w:pStyle w:val="ListParagraph"/>
        <w:numPr>
          <w:ilvl w:val="0"/>
          <w:numId w:val="1"/>
        </w:numPr>
        <w:spacing w:before="0" w:beforeAutospacing="off" w:after="0" w:afterAutospacing="off"/>
        <w:rPr/>
      </w:pPr>
      <w:r w:rsidRPr="560E260D" w:rsidR="0FC57461">
        <w:rPr>
          <w:rFonts w:ascii="Aptos" w:hAnsi="Aptos" w:eastAsia="Aptos" w:cs="Aptos"/>
          <w:b w:val="1"/>
          <w:bCs w:val="1"/>
          <w:noProof w:val="0"/>
          <w:color w:val="0E101A"/>
          <w:sz w:val="24"/>
          <w:szCs w:val="24"/>
          <w:lang w:val="en-US"/>
        </w:rPr>
        <w:t>Technical Debt:</w:t>
      </w:r>
      <w:r w:rsidRPr="560E260D" w:rsidR="0FC57461">
        <w:rPr>
          <w:rFonts w:ascii="Aptos" w:hAnsi="Aptos" w:eastAsia="Aptos" w:cs="Aptos"/>
          <w:noProof w:val="0"/>
          <w:color w:val="0E101A"/>
          <w:sz w:val="24"/>
          <w:szCs w:val="24"/>
          <w:lang w:val="en-US"/>
        </w:rPr>
        <w:t xml:space="preserve"> The author highlighted the challenges posed by technical debt, which included outdated code, monolithic architecture, and inefficient processes that hindered development and operations. </w:t>
      </w:r>
    </w:p>
    <w:p w:rsidR="560E260D" w:rsidP="560E260D" w:rsidRDefault="560E260D" w14:paraId="17E8ABC6" w14:textId="154A2560">
      <w:pPr>
        <w:spacing w:before="0" w:beforeAutospacing="off" w:after="0" w:afterAutospacing="off"/>
        <w:rPr>
          <w:rFonts w:ascii="Aptos" w:hAnsi="Aptos" w:eastAsia="Aptos" w:cs="Aptos"/>
          <w:noProof w:val="0"/>
          <w:color w:val="0E101A"/>
          <w:sz w:val="24"/>
          <w:szCs w:val="24"/>
          <w:lang w:val="en-US"/>
        </w:rPr>
      </w:pPr>
    </w:p>
    <w:p w:rsidR="0FC57461" w:rsidP="560E260D" w:rsidRDefault="0FC57461" w14:paraId="08E15831" w14:textId="671FA051">
      <w:pPr>
        <w:pStyle w:val="ListParagraph"/>
        <w:numPr>
          <w:ilvl w:val="0"/>
          <w:numId w:val="1"/>
        </w:numPr>
        <w:spacing w:before="0" w:beforeAutospacing="off" w:after="0" w:afterAutospacing="off"/>
        <w:rPr/>
      </w:pPr>
      <w:r w:rsidRPr="560E260D" w:rsidR="0FC57461">
        <w:rPr>
          <w:rFonts w:ascii="Aptos" w:hAnsi="Aptos" w:eastAsia="Aptos" w:cs="Aptos"/>
          <w:b w:val="1"/>
          <w:bCs w:val="1"/>
          <w:noProof w:val="0"/>
          <w:color w:val="0E101A"/>
          <w:sz w:val="24"/>
          <w:szCs w:val="24"/>
          <w:lang w:val="en-US"/>
        </w:rPr>
        <w:t>Architecture Transition:</w:t>
      </w:r>
      <w:r w:rsidRPr="560E260D" w:rsidR="0FC57461">
        <w:rPr>
          <w:rFonts w:ascii="Aptos" w:hAnsi="Aptos" w:eastAsia="Aptos" w:cs="Aptos"/>
          <w:noProof w:val="0"/>
          <w:color w:val="0E101A"/>
          <w:sz w:val="24"/>
          <w:szCs w:val="24"/>
          <w:lang w:val="en-US"/>
        </w:rPr>
        <w:t xml:space="preserve"> LinkedIn </w:t>
      </w:r>
      <w:r w:rsidRPr="560E260D" w:rsidR="1D7DED3B">
        <w:rPr>
          <w:rFonts w:ascii="Aptos" w:hAnsi="Aptos" w:eastAsia="Aptos" w:cs="Aptos"/>
          <w:noProof w:val="0"/>
          <w:color w:val="0E101A"/>
          <w:sz w:val="24"/>
          <w:szCs w:val="24"/>
          <w:lang w:val="en-US"/>
        </w:rPr>
        <w:t>needed</w:t>
      </w:r>
      <w:r w:rsidRPr="560E260D" w:rsidR="0FC57461">
        <w:rPr>
          <w:rFonts w:ascii="Aptos" w:hAnsi="Aptos" w:eastAsia="Aptos" w:cs="Aptos"/>
          <w:noProof w:val="0"/>
          <w:color w:val="0E101A"/>
          <w:sz w:val="24"/>
          <w:szCs w:val="24"/>
          <w:lang w:val="en-US"/>
        </w:rPr>
        <w:t xml:space="preserve"> </w:t>
      </w:r>
      <w:r w:rsidRPr="560E260D" w:rsidR="0FC57461">
        <w:rPr>
          <w:rFonts w:ascii="Aptos" w:hAnsi="Aptos" w:eastAsia="Aptos" w:cs="Aptos"/>
          <w:noProof w:val="0"/>
          <w:color w:val="0E101A"/>
          <w:sz w:val="24"/>
          <w:szCs w:val="24"/>
          <w:lang w:val="en-US"/>
        </w:rPr>
        <w:t xml:space="preserve">to transition from a monolithic architecture to a more service-oriented architecture (SOA). This transition was necessary to break down silos, improve scalability, and allow </w:t>
      </w:r>
      <w:r w:rsidRPr="560E260D" w:rsidR="0FC57461">
        <w:rPr>
          <w:rFonts w:ascii="Aptos" w:hAnsi="Aptos" w:eastAsia="Aptos" w:cs="Aptos"/>
          <w:noProof w:val="0"/>
          <w:color w:val="0E101A"/>
          <w:sz w:val="24"/>
          <w:szCs w:val="24"/>
          <w:lang w:val="en-US"/>
        </w:rPr>
        <w:t>different parts</w:t>
      </w:r>
      <w:r w:rsidRPr="560E260D" w:rsidR="0FC57461">
        <w:rPr>
          <w:rFonts w:ascii="Aptos" w:hAnsi="Aptos" w:eastAsia="Aptos" w:cs="Aptos"/>
          <w:noProof w:val="0"/>
          <w:color w:val="0E101A"/>
          <w:sz w:val="24"/>
          <w:szCs w:val="24"/>
          <w:lang w:val="en-US"/>
        </w:rPr>
        <w:t xml:space="preserve"> of the system to evolve independently. </w:t>
      </w:r>
    </w:p>
    <w:p w:rsidR="560E260D" w:rsidP="560E260D" w:rsidRDefault="560E260D" w14:paraId="6E3FA824" w14:textId="67F368C4">
      <w:pPr>
        <w:spacing w:before="0" w:beforeAutospacing="off" w:after="0" w:afterAutospacing="off"/>
        <w:rPr>
          <w:rFonts w:ascii="Aptos" w:hAnsi="Aptos" w:eastAsia="Aptos" w:cs="Aptos"/>
          <w:noProof w:val="0"/>
          <w:color w:val="0E101A"/>
          <w:sz w:val="24"/>
          <w:szCs w:val="24"/>
          <w:lang w:val="en-US"/>
        </w:rPr>
      </w:pPr>
    </w:p>
    <w:p w:rsidR="0FC57461" w:rsidP="560E260D" w:rsidRDefault="0FC57461" w14:paraId="3DB107DE" w14:textId="3BADEECA">
      <w:pPr>
        <w:pStyle w:val="ListParagraph"/>
        <w:numPr>
          <w:ilvl w:val="0"/>
          <w:numId w:val="1"/>
        </w:numPr>
        <w:spacing w:before="0" w:beforeAutospacing="off" w:after="0" w:afterAutospacing="off"/>
        <w:rPr/>
      </w:pPr>
      <w:r w:rsidRPr="560E260D" w:rsidR="0FC57461">
        <w:rPr>
          <w:rFonts w:ascii="Aptos" w:hAnsi="Aptos" w:eastAsia="Aptos" w:cs="Aptos"/>
          <w:b w:val="1"/>
          <w:bCs w:val="1"/>
          <w:noProof w:val="0"/>
          <w:color w:val="0E101A"/>
          <w:sz w:val="24"/>
          <w:szCs w:val="24"/>
          <w:lang w:val="en-US"/>
        </w:rPr>
        <w:t>Cultural Shift:</w:t>
      </w:r>
      <w:r w:rsidRPr="560E260D" w:rsidR="0FC57461">
        <w:rPr>
          <w:rFonts w:ascii="Aptos" w:hAnsi="Aptos" w:eastAsia="Aptos" w:cs="Aptos"/>
          <w:noProof w:val="0"/>
          <w:color w:val="0E101A"/>
          <w:sz w:val="24"/>
          <w:szCs w:val="24"/>
          <w:lang w:val="en-US"/>
        </w:rPr>
        <w:t xml:space="preserve"> The case study also emphasized the importance of a cultural shift within the organization. Engineers were encouraged to adopt new practices, collaborate more effectively, and prioritize long-term stability over short-term gains. </w:t>
      </w:r>
    </w:p>
    <w:p w:rsidR="560E260D" w:rsidP="560E260D" w:rsidRDefault="560E260D" w14:paraId="4718DA58" w14:textId="2AE2B2B1">
      <w:pPr>
        <w:spacing w:before="0" w:beforeAutospacing="off" w:after="0" w:afterAutospacing="off"/>
        <w:rPr>
          <w:rFonts w:ascii="Aptos" w:hAnsi="Aptos" w:eastAsia="Aptos" w:cs="Aptos"/>
          <w:noProof w:val="0"/>
          <w:color w:val="0E101A"/>
          <w:sz w:val="24"/>
          <w:szCs w:val="24"/>
          <w:lang w:val="en-US"/>
        </w:rPr>
      </w:pPr>
    </w:p>
    <w:p w:rsidR="0FC57461" w:rsidP="560E260D" w:rsidRDefault="0FC57461" w14:paraId="146F5F3D" w14:textId="306CC6B8">
      <w:pPr>
        <w:pStyle w:val="ListParagraph"/>
        <w:numPr>
          <w:ilvl w:val="0"/>
          <w:numId w:val="1"/>
        </w:numPr>
        <w:spacing w:before="0" w:beforeAutospacing="off" w:after="0" w:afterAutospacing="off"/>
        <w:rPr/>
      </w:pPr>
      <w:r w:rsidRPr="560E260D" w:rsidR="0FC57461">
        <w:rPr>
          <w:rFonts w:ascii="Aptos" w:hAnsi="Aptos" w:eastAsia="Aptos" w:cs="Aptos"/>
          <w:b w:val="1"/>
          <w:bCs w:val="1"/>
          <w:noProof w:val="0"/>
          <w:color w:val="0E101A"/>
          <w:sz w:val="24"/>
          <w:szCs w:val="24"/>
          <w:lang w:val="en-US"/>
        </w:rPr>
        <w:t>Tooling and Automation:</w:t>
      </w:r>
      <w:r w:rsidRPr="560E260D" w:rsidR="0FC57461">
        <w:rPr>
          <w:rFonts w:ascii="Aptos" w:hAnsi="Aptos" w:eastAsia="Aptos" w:cs="Aptos"/>
          <w:noProof w:val="0"/>
          <w:color w:val="0E101A"/>
          <w:sz w:val="24"/>
          <w:szCs w:val="24"/>
          <w:lang w:val="en-US"/>
        </w:rPr>
        <w:t xml:space="preserve"> To support the transition, LinkedIn invested in new tools and automation to improve deployment processes, reduce errors, and enhance monitoring and observability. </w:t>
      </w:r>
    </w:p>
    <w:p w:rsidR="560E260D" w:rsidP="560E260D" w:rsidRDefault="560E260D" w14:paraId="1E61C9C7" w14:textId="2A4A11D6">
      <w:pPr>
        <w:spacing w:before="0" w:beforeAutospacing="off" w:after="0" w:afterAutospacing="off"/>
        <w:rPr>
          <w:rFonts w:ascii="Aptos" w:hAnsi="Aptos" w:eastAsia="Aptos" w:cs="Aptos"/>
          <w:noProof w:val="0"/>
          <w:color w:val="0E101A"/>
          <w:sz w:val="24"/>
          <w:szCs w:val="24"/>
          <w:lang w:val="en-US"/>
        </w:rPr>
      </w:pPr>
    </w:p>
    <w:p w:rsidR="0FC57461" w:rsidP="560E260D" w:rsidRDefault="0FC57461" w14:paraId="10E58599" w14:textId="2878F29A">
      <w:pPr>
        <w:pStyle w:val="ListParagraph"/>
        <w:numPr>
          <w:ilvl w:val="0"/>
          <w:numId w:val="1"/>
        </w:numPr>
        <w:spacing w:before="0" w:beforeAutospacing="off" w:after="0" w:afterAutospacing="off"/>
        <w:rPr/>
      </w:pPr>
      <w:r w:rsidRPr="560E260D" w:rsidR="0FC57461">
        <w:rPr>
          <w:rFonts w:ascii="Aptos" w:hAnsi="Aptos" w:eastAsia="Aptos" w:cs="Aptos"/>
          <w:b w:val="1"/>
          <w:bCs w:val="1"/>
          <w:noProof w:val="0"/>
          <w:color w:val="0E101A"/>
          <w:sz w:val="24"/>
          <w:szCs w:val="24"/>
          <w:lang w:val="en-US"/>
        </w:rPr>
        <w:t>Incremental Progress:</w:t>
      </w:r>
      <w:r w:rsidRPr="560E260D" w:rsidR="0FC57461">
        <w:rPr>
          <w:rFonts w:ascii="Aptos" w:hAnsi="Aptos" w:eastAsia="Aptos" w:cs="Aptos"/>
          <w:noProof w:val="0"/>
          <w:color w:val="0E101A"/>
          <w:sz w:val="24"/>
          <w:szCs w:val="24"/>
          <w:lang w:val="en-US"/>
        </w:rPr>
        <w:t xml:space="preserve"> LinkedIn took an incremental approach rather than </w:t>
      </w:r>
      <w:r w:rsidRPr="560E260D" w:rsidR="0FC57461">
        <w:rPr>
          <w:rFonts w:ascii="Aptos" w:hAnsi="Aptos" w:eastAsia="Aptos" w:cs="Aptos"/>
          <w:noProof w:val="0"/>
          <w:color w:val="0E101A"/>
          <w:sz w:val="24"/>
          <w:szCs w:val="24"/>
          <w:lang w:val="en-US"/>
        </w:rPr>
        <w:t>attempting</w:t>
      </w:r>
      <w:r w:rsidRPr="560E260D" w:rsidR="0FC57461">
        <w:rPr>
          <w:rFonts w:ascii="Aptos" w:hAnsi="Aptos" w:eastAsia="Aptos" w:cs="Aptos"/>
          <w:noProof w:val="0"/>
          <w:color w:val="0E101A"/>
          <w:sz w:val="24"/>
          <w:szCs w:val="24"/>
          <w:lang w:val="en-US"/>
        </w:rPr>
        <w:t xml:space="preserve"> a complete overhaul all at once. They gradually refactored components, migrated services, and improved processes, ensuring that changes were manageable and did not disrupt ongoing operations. </w:t>
      </w:r>
    </w:p>
    <w:p w:rsidR="560E260D" w:rsidP="560E260D" w:rsidRDefault="560E260D" w14:paraId="037DBD55" w14:textId="537CA105">
      <w:pPr>
        <w:spacing w:before="0" w:beforeAutospacing="off" w:after="0" w:afterAutospacing="off"/>
        <w:rPr>
          <w:rFonts w:ascii="Aptos" w:hAnsi="Aptos" w:eastAsia="Aptos" w:cs="Aptos"/>
          <w:noProof w:val="0"/>
          <w:color w:val="0E101A"/>
          <w:sz w:val="24"/>
          <w:szCs w:val="24"/>
          <w:lang w:val="en-US"/>
        </w:rPr>
      </w:pPr>
    </w:p>
    <w:p w:rsidR="0FC57461" w:rsidP="560E260D" w:rsidRDefault="0FC57461" w14:paraId="6D6B70C8" w14:textId="5253423C">
      <w:pPr>
        <w:pStyle w:val="Heading1"/>
      </w:pPr>
      <w:r w:rsidRPr="560E260D" w:rsidR="0FC57461">
        <w:rPr>
          <w:noProof w:val="0"/>
          <w:lang w:val="en-US"/>
        </w:rPr>
        <w:t xml:space="preserve">Lessons Learned: </w:t>
      </w:r>
    </w:p>
    <w:p w:rsidR="0FC57461" w:rsidP="560E260D" w:rsidRDefault="0FC57461" w14:paraId="2EF5A65A" w14:textId="71F40018">
      <w:pPr>
        <w:pStyle w:val="ListParagraph"/>
        <w:numPr>
          <w:ilvl w:val="0"/>
          <w:numId w:val="2"/>
        </w:numPr>
        <w:spacing w:before="0" w:beforeAutospacing="off" w:after="0" w:afterAutospacing="off"/>
        <w:rPr/>
      </w:pPr>
      <w:r w:rsidRPr="560E260D" w:rsidR="0FC57461">
        <w:rPr>
          <w:rFonts w:ascii="Aptos" w:hAnsi="Aptos" w:eastAsia="Aptos" w:cs="Aptos"/>
          <w:b w:val="1"/>
          <w:bCs w:val="1"/>
          <w:noProof w:val="0"/>
          <w:color w:val="0E101A"/>
          <w:sz w:val="24"/>
          <w:szCs w:val="24"/>
          <w:lang w:val="en-US"/>
        </w:rPr>
        <w:t>Managing Technical Debt:</w:t>
      </w:r>
      <w:r w:rsidRPr="560E260D" w:rsidR="0FC57461">
        <w:rPr>
          <w:rFonts w:ascii="Aptos" w:hAnsi="Aptos" w:eastAsia="Aptos" w:cs="Aptos"/>
          <w:noProof w:val="0"/>
          <w:color w:val="0E101A"/>
          <w:sz w:val="24"/>
          <w:szCs w:val="24"/>
          <w:lang w:val="en-US"/>
        </w:rPr>
        <w:t xml:space="preserve"> Accumulating technical debt is inevitable, especially in fast-growing organizations. However, proactively managing and addressing it is crucial to </w:t>
      </w:r>
      <w:r w:rsidRPr="560E260D" w:rsidR="0FC57461">
        <w:rPr>
          <w:rFonts w:ascii="Aptos" w:hAnsi="Aptos" w:eastAsia="Aptos" w:cs="Aptos"/>
          <w:noProof w:val="0"/>
          <w:color w:val="0E101A"/>
          <w:sz w:val="24"/>
          <w:szCs w:val="24"/>
          <w:lang w:val="en-US"/>
        </w:rPr>
        <w:t>maintaining</w:t>
      </w:r>
      <w:r w:rsidRPr="560E260D" w:rsidR="0FC57461">
        <w:rPr>
          <w:rFonts w:ascii="Aptos" w:hAnsi="Aptos" w:eastAsia="Aptos" w:cs="Aptos"/>
          <w:noProof w:val="0"/>
          <w:color w:val="0E101A"/>
          <w:sz w:val="24"/>
          <w:szCs w:val="24"/>
          <w:lang w:val="en-US"/>
        </w:rPr>
        <w:t xml:space="preserve"> the system's health in the long term. </w:t>
      </w:r>
    </w:p>
    <w:p w:rsidR="560E260D" w:rsidP="560E260D" w:rsidRDefault="560E260D" w14:paraId="7C7B10FD" w14:textId="1A064EDC">
      <w:pPr>
        <w:spacing w:before="0" w:beforeAutospacing="off" w:after="0" w:afterAutospacing="off"/>
        <w:rPr>
          <w:rFonts w:ascii="Aptos" w:hAnsi="Aptos" w:eastAsia="Aptos" w:cs="Aptos"/>
          <w:noProof w:val="0"/>
          <w:color w:val="0E101A"/>
          <w:sz w:val="24"/>
          <w:szCs w:val="24"/>
          <w:lang w:val="en-US"/>
        </w:rPr>
      </w:pPr>
    </w:p>
    <w:p w:rsidR="0FC57461" w:rsidP="560E260D" w:rsidRDefault="0FC57461" w14:paraId="177A5B2F" w14:textId="69F5E354">
      <w:pPr>
        <w:pStyle w:val="ListParagraph"/>
        <w:numPr>
          <w:ilvl w:val="0"/>
          <w:numId w:val="2"/>
        </w:numPr>
        <w:spacing w:before="0" w:beforeAutospacing="off" w:after="0" w:afterAutospacing="off"/>
        <w:rPr/>
      </w:pPr>
      <w:r w:rsidRPr="560E260D" w:rsidR="0FC57461">
        <w:rPr>
          <w:rFonts w:ascii="Aptos" w:hAnsi="Aptos" w:eastAsia="Aptos" w:cs="Aptos"/>
          <w:b w:val="1"/>
          <w:bCs w:val="1"/>
          <w:noProof w:val="0"/>
          <w:color w:val="0E101A"/>
          <w:sz w:val="24"/>
          <w:szCs w:val="24"/>
          <w:lang w:val="en-US"/>
        </w:rPr>
        <w:t>Importance of Architecture:</w:t>
      </w:r>
      <w:r w:rsidRPr="560E260D" w:rsidR="0FC57461">
        <w:rPr>
          <w:rFonts w:ascii="Aptos" w:hAnsi="Aptos" w:eastAsia="Aptos" w:cs="Aptos"/>
          <w:noProof w:val="0"/>
          <w:color w:val="0E101A"/>
          <w:sz w:val="24"/>
          <w:szCs w:val="24"/>
          <w:lang w:val="en-US"/>
        </w:rPr>
        <w:t xml:space="preserve"> The shift to </w:t>
      </w:r>
      <w:bookmarkStart w:name="_Int_0klljFWd" w:id="1899608263"/>
      <w:r w:rsidRPr="560E260D" w:rsidR="0FC57461">
        <w:rPr>
          <w:rFonts w:ascii="Aptos" w:hAnsi="Aptos" w:eastAsia="Aptos" w:cs="Aptos"/>
          <w:noProof w:val="0"/>
          <w:color w:val="0E101A"/>
          <w:sz w:val="24"/>
          <w:szCs w:val="24"/>
          <w:lang w:val="en-US"/>
        </w:rPr>
        <w:t>a service</w:t>
      </w:r>
      <w:bookmarkEnd w:id="1899608263"/>
      <w:r w:rsidRPr="560E260D" w:rsidR="0FC57461">
        <w:rPr>
          <w:rFonts w:ascii="Aptos" w:hAnsi="Aptos" w:eastAsia="Aptos" w:cs="Aptos"/>
          <w:noProof w:val="0"/>
          <w:color w:val="0E101A"/>
          <w:sz w:val="24"/>
          <w:szCs w:val="24"/>
          <w:lang w:val="en-US"/>
        </w:rPr>
        <w:t xml:space="preserve">-oriented architecture proved essential for scalability and flexibility. This case study highlights the need for companies to reassess and evolve their architecture as they grow periodically. </w:t>
      </w:r>
    </w:p>
    <w:p w:rsidR="560E260D" w:rsidP="560E260D" w:rsidRDefault="560E260D" w14:paraId="69FC66F6" w14:textId="19E77A6A">
      <w:pPr>
        <w:spacing w:before="0" w:beforeAutospacing="off" w:after="0" w:afterAutospacing="off"/>
        <w:rPr>
          <w:rFonts w:ascii="Aptos" w:hAnsi="Aptos" w:eastAsia="Aptos" w:cs="Aptos"/>
          <w:noProof w:val="0"/>
          <w:color w:val="0E101A"/>
          <w:sz w:val="24"/>
          <w:szCs w:val="24"/>
          <w:lang w:val="en-US"/>
        </w:rPr>
      </w:pPr>
    </w:p>
    <w:p w:rsidR="0FC57461" w:rsidP="560E260D" w:rsidRDefault="0FC57461" w14:paraId="6E899F2A" w14:textId="6DF547A0">
      <w:pPr>
        <w:pStyle w:val="ListParagraph"/>
        <w:numPr>
          <w:ilvl w:val="0"/>
          <w:numId w:val="2"/>
        </w:numPr>
        <w:spacing w:before="0" w:beforeAutospacing="off" w:after="0" w:afterAutospacing="off"/>
        <w:rPr/>
      </w:pPr>
      <w:r w:rsidRPr="560E260D" w:rsidR="0FC57461">
        <w:rPr>
          <w:rFonts w:ascii="Aptos" w:hAnsi="Aptos" w:eastAsia="Aptos" w:cs="Aptos"/>
          <w:b w:val="1"/>
          <w:bCs w:val="1"/>
          <w:noProof w:val="0"/>
          <w:color w:val="0E101A"/>
          <w:sz w:val="24"/>
          <w:szCs w:val="24"/>
          <w:lang w:val="en-US"/>
        </w:rPr>
        <w:t>Cultural Alignment:</w:t>
      </w:r>
      <w:r w:rsidRPr="560E260D" w:rsidR="0FC57461">
        <w:rPr>
          <w:rFonts w:ascii="Aptos" w:hAnsi="Aptos" w:eastAsia="Aptos" w:cs="Aptos"/>
          <w:noProof w:val="0"/>
          <w:color w:val="0E101A"/>
          <w:sz w:val="24"/>
          <w:szCs w:val="24"/>
          <w:lang w:val="en-US"/>
        </w:rPr>
        <w:t xml:space="preserve"> Technical changes are most effective when accompanied by a cultural shift. Encouraging collaboration, continuous learning, and a focus on quality can significantly enhance the success of technical initiatives. </w:t>
      </w:r>
    </w:p>
    <w:p w:rsidR="560E260D" w:rsidP="560E260D" w:rsidRDefault="560E260D" w14:paraId="5BCCC737" w14:textId="23182B51">
      <w:pPr>
        <w:spacing w:before="0" w:beforeAutospacing="off" w:after="0" w:afterAutospacing="off"/>
        <w:rPr>
          <w:rFonts w:ascii="Aptos" w:hAnsi="Aptos" w:eastAsia="Aptos" w:cs="Aptos"/>
          <w:noProof w:val="0"/>
          <w:color w:val="0E101A"/>
          <w:sz w:val="24"/>
          <w:szCs w:val="24"/>
          <w:lang w:val="en-US"/>
        </w:rPr>
      </w:pPr>
    </w:p>
    <w:p w:rsidR="0FC57461" w:rsidP="560E260D" w:rsidRDefault="0FC57461" w14:paraId="76B4210C" w14:textId="79299A13">
      <w:pPr>
        <w:pStyle w:val="ListParagraph"/>
        <w:numPr>
          <w:ilvl w:val="0"/>
          <w:numId w:val="2"/>
        </w:numPr>
        <w:spacing w:before="0" w:beforeAutospacing="off" w:after="0" w:afterAutospacing="off"/>
        <w:rPr/>
      </w:pPr>
      <w:r w:rsidRPr="560E260D" w:rsidR="0FC57461">
        <w:rPr>
          <w:rFonts w:ascii="Aptos" w:hAnsi="Aptos" w:eastAsia="Aptos" w:cs="Aptos"/>
          <w:b w:val="1"/>
          <w:bCs w:val="1"/>
          <w:noProof w:val="0"/>
          <w:color w:val="0E101A"/>
          <w:sz w:val="24"/>
          <w:szCs w:val="24"/>
          <w:lang w:val="en-US"/>
        </w:rPr>
        <w:t>Incremental Change:</w:t>
      </w:r>
      <w:r w:rsidRPr="560E260D" w:rsidR="0FC57461">
        <w:rPr>
          <w:rFonts w:ascii="Aptos" w:hAnsi="Aptos" w:eastAsia="Aptos" w:cs="Aptos"/>
          <w:noProof w:val="0"/>
          <w:color w:val="0E101A"/>
          <w:sz w:val="24"/>
          <w:szCs w:val="24"/>
          <w:lang w:val="en-US"/>
        </w:rPr>
        <w:t xml:space="preserve"> Large-scale transformations should be approached incrementally to minimize risks and ensure ongoing stability. This approach allows organizations to adapt to changes gradually and refine their processes. </w:t>
      </w:r>
    </w:p>
    <w:p w:rsidR="560E260D" w:rsidP="560E260D" w:rsidRDefault="560E260D" w14:paraId="10013C4B" w14:textId="46B370B8">
      <w:pPr>
        <w:spacing w:before="0" w:beforeAutospacing="off" w:after="0" w:afterAutospacing="off"/>
        <w:rPr>
          <w:rFonts w:ascii="Aptos" w:hAnsi="Aptos" w:eastAsia="Aptos" w:cs="Aptos"/>
          <w:noProof w:val="0"/>
          <w:color w:val="0E101A"/>
          <w:sz w:val="24"/>
          <w:szCs w:val="24"/>
          <w:lang w:val="en-US"/>
        </w:rPr>
      </w:pPr>
    </w:p>
    <w:p w:rsidR="0FC57461" w:rsidP="560E260D" w:rsidRDefault="0FC57461" w14:paraId="198F3D14" w14:textId="6EEF5BE4">
      <w:pPr>
        <w:pStyle w:val="ListParagraph"/>
        <w:numPr>
          <w:ilvl w:val="0"/>
          <w:numId w:val="2"/>
        </w:numPr>
        <w:spacing w:before="0" w:beforeAutospacing="off" w:after="0" w:afterAutospacing="off"/>
        <w:rPr/>
      </w:pPr>
      <w:r w:rsidRPr="560E260D" w:rsidR="0FC57461">
        <w:rPr>
          <w:rFonts w:ascii="Aptos" w:hAnsi="Aptos" w:eastAsia="Aptos" w:cs="Aptos"/>
          <w:b w:val="1"/>
          <w:bCs w:val="1"/>
          <w:noProof w:val="0"/>
          <w:color w:val="0E101A"/>
          <w:sz w:val="24"/>
          <w:szCs w:val="24"/>
          <w:lang w:val="en-US"/>
        </w:rPr>
        <w:t>Investment in Tools and Automation:</w:t>
      </w:r>
      <w:r w:rsidRPr="560E260D" w:rsidR="0FC57461">
        <w:rPr>
          <w:rFonts w:ascii="Aptos" w:hAnsi="Aptos" w:eastAsia="Aptos" w:cs="Aptos"/>
          <w:noProof w:val="0"/>
          <w:color w:val="0E101A"/>
          <w:sz w:val="24"/>
          <w:szCs w:val="24"/>
          <w:lang w:val="en-US"/>
        </w:rPr>
        <w:t xml:space="preserve"> Effective tooling and automation are critical to supporting a more complex and distributed architecture. Investing in these areas can reduce errors, speed up deployment, and improve system reliability.</w:t>
      </w:r>
    </w:p>
    <w:p w:rsidR="560E260D" w:rsidRDefault="560E260D" w14:paraId="356468F6" w14:textId="53D34F8C"/>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0klljFWd" int2:invalidationBookmarkName="" int2:hashCode="e54zkizUUxKcX4" int2:id="Ac13INjR">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5a72f3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a5b80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27C625"/>
    <w:rsid w:val="010EC091"/>
    <w:rsid w:val="09D7DF3C"/>
    <w:rsid w:val="0AF1A93D"/>
    <w:rsid w:val="0FC57461"/>
    <w:rsid w:val="1D7DED3B"/>
    <w:rsid w:val="23255014"/>
    <w:rsid w:val="560E260D"/>
    <w:rsid w:val="57F6CFEF"/>
    <w:rsid w:val="5AF0AA50"/>
    <w:rsid w:val="6D27C625"/>
    <w:rsid w:val="7076C4D8"/>
    <w:rsid w:val="76C90962"/>
    <w:rsid w:val="78B15932"/>
    <w:rsid w:val="7F0609CE"/>
    <w:rsid w:val="7FFB7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7C625"/>
  <w15:chartTrackingRefBased/>
  <w15:docId w15:val="{A12F2CCE-4633-4044-A7E7-03A6401B95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74a9a51440f4d63" /><Relationship Type="http://schemas.openxmlformats.org/officeDocument/2006/relationships/numbering" Target="numbering.xml" Id="R3bdb64432bc8468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2024-08-22T17:25:55.3982186Z</dcterms:created>
  <dcterms:modified xsi:type="dcterms:W3CDTF">2024-08-22T17:37:53.8007660Z</dcterms:modified>
  <dc:creator>Taylor King</dc:creator>
  <lastModifiedBy>Taylor King</lastModifiedBy>
</coreProperties>
</file>