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458F" w14:textId="77777777" w:rsidR="00121776" w:rsidRPr="00121776" w:rsidRDefault="00121776" w:rsidP="00121776">
      <w:pPr>
        <w:widowControl/>
        <w:spacing w:before="100" w:beforeAutospacing="1" w:after="100" w:afterAutospacing="1" w:line="360" w:lineRule="auto"/>
        <w:jc w:val="left"/>
        <w:outlineLvl w:val="0"/>
        <w:rPr>
          <w:rFonts w:ascii="Times New Roman" w:eastAsia="宋体" w:hAnsi="Times New Roman" w:cs="宋体"/>
          <w:b/>
          <w:bCs/>
          <w:color w:val="000000"/>
          <w:kern w:val="36"/>
          <w:sz w:val="24"/>
          <w:szCs w:val="48"/>
          <w:lang w:val="en-US"/>
        </w:rPr>
      </w:pPr>
      <w:r w:rsidRPr="00121776">
        <w:rPr>
          <w:rFonts w:ascii="Times New Roman" w:eastAsia="宋体" w:hAnsi="Times New Roman" w:cs="宋体"/>
          <w:b/>
          <w:bCs/>
          <w:color w:val="000000"/>
          <w:kern w:val="36"/>
          <w:sz w:val="24"/>
          <w:szCs w:val="48"/>
          <w:lang w:val="en-US"/>
        </w:rPr>
        <w:t>A Two-Dimensional Framework for Assessing the Translation Quality of Academic Concepts in Social Science Texts</w:t>
      </w:r>
    </w:p>
    <w:p w14:paraId="4F9753C4" w14:textId="77777777" w:rsidR="00121776" w:rsidRPr="00121776" w:rsidRDefault="00121776" w:rsidP="00121776">
      <w:pPr>
        <w:widowControl/>
        <w:spacing w:before="100" w:beforeAutospacing="1" w:after="100" w:afterAutospacing="1" w:line="360" w:lineRule="auto"/>
        <w:jc w:val="left"/>
        <w:outlineLvl w:val="1"/>
        <w:rPr>
          <w:rFonts w:ascii="Times New Roman" w:eastAsia="宋体" w:hAnsi="Times New Roman" w:cs="宋体"/>
          <w:b/>
          <w:bCs/>
          <w:color w:val="000000"/>
          <w:kern w:val="0"/>
          <w:sz w:val="24"/>
          <w:szCs w:val="36"/>
          <w:lang w:val="en-US"/>
        </w:rPr>
      </w:pPr>
      <w:r w:rsidRPr="00121776">
        <w:rPr>
          <w:rFonts w:ascii="Times New Roman" w:eastAsia="宋体" w:hAnsi="Times New Roman" w:cs="宋体"/>
          <w:b/>
          <w:bCs/>
          <w:color w:val="000000"/>
          <w:kern w:val="0"/>
          <w:sz w:val="24"/>
          <w:szCs w:val="36"/>
          <w:lang w:val="en-US"/>
        </w:rPr>
        <w:t>1. Theoretical Foundations and Framework Architecture</w:t>
      </w:r>
    </w:p>
    <w:p w14:paraId="7B7577B7"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The translation of academic concepts in social science texts constitutes a form of terminology work, in which "concept and its relationship to other concepts are the starting point" (Felber 1984: 103). Since concepts are units of knowledge that "cannot be perceived by the senses" (Felber 1984: 167) and must therefore be carried by linguistic symbols, and since social scientific inquiry is built upon "concepts and concept formation" organized into "argumentative sequence[s]" (Ghosh 2001: 61–62), the quality of academic concept translation depends on two analytically distinct but mutually constitutive dimensions:</w:t>
      </w:r>
    </w:p>
    <w:p w14:paraId="647EAECD" w14:textId="77777777" w:rsidR="00121776" w:rsidRPr="00121776" w:rsidRDefault="00121776" w:rsidP="00121776">
      <w:pPr>
        <w:widowControl/>
        <w:numPr>
          <w:ilvl w:val="0"/>
          <w:numId w:val="1"/>
        </w:numPr>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Concept Representation</w:t>
      </w:r>
      <w:r w:rsidRPr="00121776">
        <w:rPr>
          <w:rFonts w:ascii="Times New Roman" w:eastAsia="宋体" w:hAnsi="Times New Roman" w:cs="宋体"/>
          <w:color w:val="000000"/>
          <w:kern w:val="0"/>
          <w:sz w:val="24"/>
          <w:szCs w:val="24"/>
          <w:lang w:val="en-US"/>
        </w:rPr>
        <w:t xml:space="preserve"> — the symbolic carriage of concepts through linguistic designations (terms and proper names), governed by the principles codified in ISO 704:2022;</w:t>
      </w:r>
    </w:p>
    <w:p w14:paraId="6B04CA1C" w14:textId="77777777" w:rsidR="00121776" w:rsidRPr="00121776" w:rsidRDefault="00121776" w:rsidP="00121776">
      <w:pPr>
        <w:widowControl/>
        <w:numPr>
          <w:ilvl w:val="0"/>
          <w:numId w:val="1"/>
        </w:numPr>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Concept Logic</w:t>
      </w:r>
      <w:r w:rsidRPr="00121776">
        <w:rPr>
          <w:rFonts w:ascii="Times New Roman" w:eastAsia="宋体" w:hAnsi="Times New Roman" w:cs="宋体"/>
          <w:color w:val="000000"/>
          <w:kern w:val="0"/>
          <w:sz w:val="24"/>
          <w:szCs w:val="24"/>
          <w:lang w:val="en-US"/>
        </w:rPr>
        <w:t xml:space="preserve"> — the argumentative carriage of concepts through reasoned discourse, governed by the architecture of argument (Williams 2004) and realized through figures of argument (Fahnestock 2011) and metadiscourse (Hyland 2019).</w:t>
      </w:r>
    </w:p>
    <w:p w14:paraId="31CA73A2" w14:textId="77777777" w:rsid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The framework, hereafter referred to as the </w:t>
      </w:r>
      <w:r w:rsidRPr="00121776">
        <w:rPr>
          <w:rFonts w:ascii="Times New Roman" w:eastAsia="宋体" w:hAnsi="Times New Roman" w:cs="宋体"/>
          <w:b/>
          <w:bCs/>
          <w:color w:val="000000"/>
          <w:kern w:val="0"/>
          <w:sz w:val="24"/>
          <w:szCs w:val="24"/>
          <w:lang w:val="en-US"/>
        </w:rPr>
        <w:t>Concept-Based Translation Quality Assessment Framework (CB-TQA)</w:t>
      </w:r>
      <w:r w:rsidRPr="00121776">
        <w:rPr>
          <w:rFonts w:ascii="Times New Roman" w:eastAsia="宋体" w:hAnsi="Times New Roman" w:cs="宋体"/>
          <w:color w:val="000000"/>
          <w:kern w:val="0"/>
          <w:sz w:val="24"/>
          <w:szCs w:val="24"/>
          <w:lang w:val="en-US"/>
        </w:rPr>
        <w:t>, integrates these two dimensions and adopts the scoring mechanism of the Multidimensional Quality Metrics (MQM) framework (Lommel, Burchardt and Uszkoreit 2014) to ensure operational comparability with established translation quality assessment practice.</w:t>
      </w:r>
    </w:p>
    <w:p w14:paraId="4312C7F3" w14:textId="77777777" w:rsidR="005A178D" w:rsidRDefault="005A178D"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p>
    <w:p w14:paraId="4AE66D03" w14:textId="77777777" w:rsidR="005A178D" w:rsidRPr="00121776" w:rsidRDefault="005A178D"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p>
    <w:p w14:paraId="3EC2D136"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lastRenderedPageBreak/>
        <w:t xml:space="preserve">                 </w:t>
      </w:r>
      <w:r w:rsidRPr="00121776">
        <w:rPr>
          <w:rFonts w:ascii="Times New Roman" w:eastAsia="宋体" w:hAnsi="Times New Roman" w:cs="宋体"/>
          <w:color w:val="FFD700"/>
          <w:kern w:val="0"/>
          <w:sz w:val="24"/>
          <w:szCs w:val="24"/>
          <w:lang w:val="en-US"/>
        </w:rPr>
        <w:t>CONCEPT</w:t>
      </w:r>
      <w:r w:rsidRPr="00121776">
        <w:rPr>
          <w:rFonts w:ascii="Times New Roman" w:eastAsia="宋体" w:hAnsi="Times New Roman" w:cs="宋体"/>
          <w:color w:val="F8F8F2"/>
          <w:kern w:val="0"/>
          <w:sz w:val="24"/>
          <w:szCs w:val="24"/>
          <w:lang w:val="en-US"/>
        </w:rPr>
        <w:t>-BASED TRANSLATION QUALITY (CB-TQA)</w:t>
      </w:r>
    </w:p>
    <w:p w14:paraId="52E0E9C5"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w:t>
      </w:r>
    </w:p>
    <w:p w14:paraId="19750CA6"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w:t>
      </w:r>
    </w:p>
    <w:p w14:paraId="3A730D3A"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p>
    <w:p w14:paraId="6ACF4A80"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p>
    <w:p w14:paraId="2D6A07F0"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DIMENSION</w:t>
      </w:r>
      <w:r w:rsidRPr="00121776">
        <w:rPr>
          <w:rFonts w:ascii="Times New Roman" w:eastAsia="宋体" w:hAnsi="Times New Roman" w:cs="宋体"/>
          <w:color w:val="F8F8F2"/>
          <w:kern w:val="0"/>
          <w:sz w:val="24"/>
          <w:szCs w:val="24"/>
          <w:lang w:val="en-US"/>
        </w:rPr>
        <w:t xml:space="preserve"> </w:t>
      </w:r>
      <w:r w:rsidRPr="00121776">
        <w:rPr>
          <w:rFonts w:ascii="Times New Roman" w:eastAsia="宋体" w:hAnsi="Times New Roman" w:cs="宋体"/>
          <w:color w:val="F5AB35"/>
          <w:kern w:val="0"/>
          <w:sz w:val="24"/>
          <w:szCs w:val="24"/>
          <w:lang w:val="en-US"/>
        </w:rPr>
        <w:t>1</w:t>
      </w:r>
      <w:r w:rsidRPr="00121776">
        <w:rPr>
          <w:rFonts w:ascii="Times New Roman" w:eastAsia="宋体" w:hAnsi="Times New Roman" w:cs="宋体"/>
          <w:color w:val="F8F8F2"/>
          <w:kern w:val="0"/>
          <w:sz w:val="24"/>
          <w:szCs w:val="24"/>
          <w:lang w:val="en-US"/>
        </w:rPr>
        <w:t xml:space="preserve">         │                 │ DIMENSION </w:t>
      </w:r>
      <w:r w:rsidRPr="00121776">
        <w:rPr>
          <w:rFonts w:ascii="Times New Roman" w:eastAsia="宋体" w:hAnsi="Times New Roman" w:cs="宋体"/>
          <w:color w:val="F5AB35"/>
          <w:kern w:val="0"/>
          <w:sz w:val="24"/>
          <w:szCs w:val="24"/>
          <w:lang w:val="en-US"/>
        </w:rPr>
        <w:t>2</w:t>
      </w:r>
      <w:r w:rsidRPr="00121776">
        <w:rPr>
          <w:rFonts w:ascii="Times New Roman" w:eastAsia="宋体" w:hAnsi="Times New Roman" w:cs="宋体"/>
          <w:color w:val="F8F8F2"/>
          <w:kern w:val="0"/>
          <w:sz w:val="24"/>
          <w:szCs w:val="24"/>
          <w:lang w:val="en-US"/>
        </w:rPr>
        <w:t xml:space="preserve">         │</w:t>
      </w:r>
    </w:p>
    <w:p w14:paraId="57BF4A58"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Concept</w:t>
      </w:r>
      <w:r w:rsidRPr="00121776">
        <w:rPr>
          <w:rFonts w:ascii="Times New Roman" w:eastAsia="宋体" w:hAnsi="Times New Roman" w:cs="宋体"/>
          <w:color w:val="F8F8F2"/>
          <w:kern w:val="0"/>
          <w:sz w:val="24"/>
          <w:szCs w:val="24"/>
          <w:lang w:val="en-US"/>
        </w:rPr>
        <w:t xml:space="preserve">             │                 │ Concept             │</w:t>
      </w:r>
    </w:p>
    <w:p w14:paraId="6093E8BC"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Representation</w:t>
      </w:r>
      <w:r w:rsidRPr="00121776">
        <w:rPr>
          <w:rFonts w:ascii="Times New Roman" w:eastAsia="宋体" w:hAnsi="Times New Roman" w:cs="宋体"/>
          <w:color w:val="F8F8F2"/>
          <w:kern w:val="0"/>
          <w:sz w:val="24"/>
          <w:szCs w:val="24"/>
          <w:lang w:val="en-US"/>
        </w:rPr>
        <w:t xml:space="preserve">      │                 │ Logic               │</w:t>
      </w:r>
    </w:p>
    <w:p w14:paraId="25545B2D"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                 │                     │</w:t>
      </w:r>
    </w:p>
    <w:p w14:paraId="303A8FE3"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Default</w:t>
      </w:r>
      <w:r w:rsidRPr="00121776">
        <w:rPr>
          <w:rFonts w:ascii="Times New Roman" w:eastAsia="宋体" w:hAnsi="Times New Roman" w:cs="宋体"/>
          <w:color w:val="F8F8F2"/>
          <w:kern w:val="0"/>
          <w:sz w:val="24"/>
          <w:szCs w:val="24"/>
          <w:lang w:val="en-US"/>
        </w:rPr>
        <w:t xml:space="preserve"> severity:   │                 │ Default severity:   │</w:t>
      </w:r>
    </w:p>
    <w:p w14:paraId="51AEB654"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MINOR</w:t>
      </w:r>
      <w:r w:rsidRPr="00121776">
        <w:rPr>
          <w:rFonts w:ascii="Times New Roman" w:eastAsia="宋体" w:hAnsi="Times New Roman" w:cs="宋体"/>
          <w:color w:val="F8F8F2"/>
          <w:kern w:val="0"/>
          <w:sz w:val="24"/>
          <w:szCs w:val="24"/>
          <w:lang w:val="en-US"/>
        </w:rPr>
        <w:t xml:space="preserve">               │                 │ MAJOR               │</w:t>
      </w:r>
    </w:p>
    <w:p w14:paraId="36959D91"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                 │                     │</w:t>
      </w:r>
    </w:p>
    <w:p w14:paraId="24CA907B"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Felber</w:t>
      </w:r>
      <w:r w:rsidRPr="00121776">
        <w:rPr>
          <w:rFonts w:ascii="Times New Roman" w:eastAsia="宋体" w:hAnsi="Times New Roman" w:cs="宋体"/>
          <w:color w:val="F8F8F2"/>
          <w:kern w:val="0"/>
          <w:sz w:val="24"/>
          <w:szCs w:val="24"/>
          <w:lang w:val="en-US"/>
        </w:rPr>
        <w:t xml:space="preserve"> (</w:t>
      </w:r>
      <w:r w:rsidRPr="00121776">
        <w:rPr>
          <w:rFonts w:ascii="Times New Roman" w:eastAsia="宋体" w:hAnsi="Times New Roman" w:cs="宋体"/>
          <w:color w:val="F5AB35"/>
          <w:kern w:val="0"/>
          <w:sz w:val="24"/>
          <w:szCs w:val="24"/>
          <w:lang w:val="en-US"/>
        </w:rPr>
        <w:t>1984</w:t>
      </w:r>
      <w:r w:rsidRPr="00121776">
        <w:rPr>
          <w:rFonts w:ascii="Times New Roman" w:eastAsia="宋体" w:hAnsi="Times New Roman" w:cs="宋体"/>
          <w:color w:val="F8F8F2"/>
          <w:kern w:val="0"/>
          <w:sz w:val="24"/>
          <w:szCs w:val="24"/>
          <w:lang w:val="en-US"/>
        </w:rPr>
        <w:t>)       │                 │ Williams (</w:t>
      </w:r>
      <w:r w:rsidRPr="00121776">
        <w:rPr>
          <w:rFonts w:ascii="Times New Roman" w:eastAsia="宋体" w:hAnsi="Times New Roman" w:cs="宋体"/>
          <w:color w:val="F5AB35"/>
          <w:kern w:val="0"/>
          <w:sz w:val="24"/>
          <w:szCs w:val="24"/>
          <w:lang w:val="en-US"/>
        </w:rPr>
        <w:t>2004</w:t>
      </w:r>
      <w:r w:rsidRPr="00121776">
        <w:rPr>
          <w:rFonts w:ascii="Times New Roman" w:eastAsia="宋体" w:hAnsi="Times New Roman" w:cs="宋体"/>
          <w:color w:val="F8F8F2"/>
          <w:kern w:val="0"/>
          <w:sz w:val="24"/>
          <w:szCs w:val="24"/>
          <w:lang w:val="en-US"/>
        </w:rPr>
        <w:t>)     │</w:t>
      </w:r>
    </w:p>
    <w:p w14:paraId="0A157922"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ISO</w:t>
      </w:r>
      <w:r w:rsidRPr="00121776">
        <w:rPr>
          <w:rFonts w:ascii="Times New Roman" w:eastAsia="宋体" w:hAnsi="Times New Roman" w:cs="宋体"/>
          <w:color w:val="F8F8F2"/>
          <w:kern w:val="0"/>
          <w:sz w:val="24"/>
          <w:szCs w:val="24"/>
          <w:lang w:val="en-US"/>
        </w:rPr>
        <w:t xml:space="preserve"> </w:t>
      </w:r>
      <w:r w:rsidRPr="00121776">
        <w:rPr>
          <w:rFonts w:ascii="Times New Roman" w:eastAsia="宋体" w:hAnsi="Times New Roman" w:cs="宋体"/>
          <w:color w:val="F5AB35"/>
          <w:kern w:val="0"/>
          <w:sz w:val="24"/>
          <w:szCs w:val="24"/>
          <w:lang w:val="en-US"/>
        </w:rPr>
        <w:t>704</w:t>
      </w:r>
      <w:r w:rsidRPr="00121776">
        <w:rPr>
          <w:rFonts w:ascii="Times New Roman" w:eastAsia="宋体" w:hAnsi="Times New Roman" w:cs="宋体"/>
          <w:color w:val="F8F8F2"/>
          <w:kern w:val="0"/>
          <w:sz w:val="24"/>
          <w:szCs w:val="24"/>
          <w:lang w:val="en-US"/>
        </w:rPr>
        <w:t>:</w:t>
      </w:r>
      <w:r w:rsidRPr="00121776">
        <w:rPr>
          <w:rFonts w:ascii="Times New Roman" w:eastAsia="宋体" w:hAnsi="Times New Roman" w:cs="宋体"/>
          <w:color w:val="F5AB35"/>
          <w:kern w:val="0"/>
          <w:sz w:val="24"/>
          <w:szCs w:val="24"/>
          <w:lang w:val="en-US"/>
        </w:rPr>
        <w:t>2022</w:t>
      </w:r>
      <w:r w:rsidRPr="00121776">
        <w:rPr>
          <w:rFonts w:ascii="Times New Roman" w:eastAsia="宋体" w:hAnsi="Times New Roman" w:cs="宋体"/>
          <w:color w:val="F8F8F2"/>
          <w:kern w:val="0"/>
          <w:sz w:val="24"/>
          <w:szCs w:val="24"/>
          <w:lang w:val="en-US"/>
        </w:rPr>
        <w:t xml:space="preserve">        │                 │ Fahnestock (</w:t>
      </w:r>
      <w:r w:rsidRPr="00121776">
        <w:rPr>
          <w:rFonts w:ascii="Times New Roman" w:eastAsia="宋体" w:hAnsi="Times New Roman" w:cs="宋体"/>
          <w:color w:val="F5AB35"/>
          <w:kern w:val="0"/>
          <w:sz w:val="24"/>
          <w:szCs w:val="24"/>
          <w:lang w:val="en-US"/>
        </w:rPr>
        <w:t>2011</w:t>
      </w:r>
      <w:r w:rsidRPr="00121776">
        <w:rPr>
          <w:rFonts w:ascii="Times New Roman" w:eastAsia="宋体" w:hAnsi="Times New Roman" w:cs="宋体"/>
          <w:color w:val="F8F8F2"/>
          <w:kern w:val="0"/>
          <w:sz w:val="24"/>
          <w:szCs w:val="24"/>
          <w:lang w:val="en-US"/>
        </w:rPr>
        <w:t>)   │</w:t>
      </w:r>
    </w:p>
    <w:p w14:paraId="74D4B489"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r w:rsidRPr="00121776">
        <w:rPr>
          <w:rFonts w:ascii="Times New Roman" w:eastAsia="宋体" w:hAnsi="Times New Roman" w:cs="宋体"/>
          <w:color w:val="FFD700"/>
          <w:kern w:val="0"/>
          <w:sz w:val="24"/>
          <w:szCs w:val="24"/>
          <w:lang w:val="en-US"/>
        </w:rPr>
        <w:t>Faber</w:t>
      </w:r>
      <w:r w:rsidRPr="00121776">
        <w:rPr>
          <w:rFonts w:ascii="Times New Roman" w:eastAsia="宋体" w:hAnsi="Times New Roman" w:cs="宋体"/>
          <w:color w:val="F8F8F2"/>
          <w:kern w:val="0"/>
          <w:sz w:val="24"/>
          <w:szCs w:val="24"/>
          <w:lang w:val="en-US"/>
        </w:rPr>
        <w:t xml:space="preserve"> (</w:t>
      </w:r>
      <w:r w:rsidRPr="00121776">
        <w:rPr>
          <w:rFonts w:ascii="Times New Roman" w:eastAsia="宋体" w:hAnsi="Times New Roman" w:cs="宋体"/>
          <w:color w:val="F5AB35"/>
          <w:kern w:val="0"/>
          <w:sz w:val="24"/>
          <w:szCs w:val="24"/>
          <w:lang w:val="en-US"/>
        </w:rPr>
        <w:t>2012</w:t>
      </w:r>
      <w:r w:rsidRPr="00121776">
        <w:rPr>
          <w:rFonts w:ascii="Times New Roman" w:eastAsia="宋体" w:hAnsi="Times New Roman" w:cs="宋体"/>
          <w:color w:val="F8F8F2"/>
          <w:kern w:val="0"/>
          <w:sz w:val="24"/>
          <w:szCs w:val="24"/>
          <w:lang w:val="en-US"/>
        </w:rPr>
        <w:t>)        │                 │ Hyland (</w:t>
      </w:r>
      <w:r w:rsidRPr="00121776">
        <w:rPr>
          <w:rFonts w:ascii="Times New Roman" w:eastAsia="宋体" w:hAnsi="Times New Roman" w:cs="宋体"/>
          <w:color w:val="F5AB35"/>
          <w:kern w:val="0"/>
          <w:sz w:val="24"/>
          <w:szCs w:val="24"/>
          <w:lang w:val="en-US"/>
        </w:rPr>
        <w:t>2019</w:t>
      </w:r>
      <w:r w:rsidRPr="00121776">
        <w:rPr>
          <w:rFonts w:ascii="Times New Roman" w:eastAsia="宋体" w:hAnsi="Times New Roman" w:cs="宋体"/>
          <w:color w:val="F8F8F2"/>
          <w:kern w:val="0"/>
          <w:sz w:val="24"/>
          <w:szCs w:val="24"/>
          <w:lang w:val="en-US"/>
        </w:rPr>
        <w:t>)       │</w:t>
      </w:r>
    </w:p>
    <w:p w14:paraId="1F1EEBE6"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p>
    <w:p w14:paraId="004CA16A"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                                       │</w:t>
      </w:r>
    </w:p>
    <w:p w14:paraId="16D8FE3B"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w:t>
      </w:r>
    </w:p>
    <w:p w14:paraId="1D9DE30C"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w:t>
      </w:r>
    </w:p>
    <w:p w14:paraId="4D1BFB63" w14:textId="77777777"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w:t>
      </w:r>
      <w:r w:rsidRPr="00121776">
        <w:rPr>
          <w:rFonts w:ascii="Times New Roman" w:eastAsia="宋体" w:hAnsi="Times New Roman" w:cs="宋体"/>
          <w:color w:val="FFD700"/>
          <w:kern w:val="0"/>
          <w:sz w:val="24"/>
          <w:szCs w:val="24"/>
          <w:lang w:val="en-US"/>
        </w:rPr>
        <w:t>Scoring</w:t>
      </w:r>
      <w:r w:rsidRPr="00121776">
        <w:rPr>
          <w:rFonts w:ascii="Times New Roman" w:eastAsia="宋体" w:hAnsi="Times New Roman" w:cs="宋体"/>
          <w:color w:val="F8F8F2"/>
          <w:kern w:val="0"/>
          <w:sz w:val="24"/>
          <w:szCs w:val="24"/>
          <w:lang w:val="en-US"/>
        </w:rPr>
        <w:t xml:space="preserve"> mechanism adapted from MQM</w:t>
      </w:r>
    </w:p>
    <w:p w14:paraId="4587E194" w14:textId="5606B095" w:rsidR="00121776" w:rsidRPr="00121776" w:rsidRDefault="00121776" w:rsidP="0012177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宋体"/>
          <w:color w:val="F8F8F2"/>
          <w:kern w:val="0"/>
          <w:sz w:val="24"/>
          <w:szCs w:val="24"/>
          <w:lang w:val="en-US"/>
        </w:rPr>
      </w:pPr>
      <w:r w:rsidRPr="00121776">
        <w:rPr>
          <w:rFonts w:ascii="Times New Roman" w:eastAsia="宋体" w:hAnsi="Times New Roman" w:cs="宋体"/>
          <w:color w:val="F8F8F2"/>
          <w:kern w:val="0"/>
          <w:sz w:val="24"/>
          <w:szCs w:val="24"/>
          <w:lang w:val="en-US"/>
        </w:rPr>
        <w:t xml:space="preserve">                  (</w:t>
      </w:r>
      <w:r w:rsidRPr="00121776">
        <w:rPr>
          <w:rFonts w:ascii="Times New Roman" w:eastAsia="宋体" w:hAnsi="Times New Roman" w:cs="宋体"/>
          <w:color w:val="FFD700"/>
          <w:kern w:val="0"/>
          <w:sz w:val="24"/>
          <w:szCs w:val="24"/>
          <w:lang w:val="en-US"/>
        </w:rPr>
        <w:t>Lommel</w:t>
      </w:r>
      <w:r w:rsidRPr="00121776">
        <w:rPr>
          <w:rFonts w:ascii="Times New Roman" w:eastAsia="宋体" w:hAnsi="Times New Roman" w:cs="宋体"/>
          <w:color w:val="F8F8F2"/>
          <w:kern w:val="0"/>
          <w:sz w:val="24"/>
          <w:szCs w:val="24"/>
          <w:lang w:val="en-US"/>
        </w:rPr>
        <w:t xml:space="preserve">, Burchardt &amp; Uszkoreit </w:t>
      </w:r>
      <w:r w:rsidRPr="00121776">
        <w:rPr>
          <w:rFonts w:ascii="Times New Roman" w:eastAsia="宋体" w:hAnsi="Times New Roman" w:cs="宋体"/>
          <w:color w:val="F5AB35"/>
          <w:kern w:val="0"/>
          <w:sz w:val="24"/>
          <w:szCs w:val="24"/>
          <w:lang w:val="en-US"/>
        </w:rPr>
        <w:t>201</w:t>
      </w:r>
      <w:r w:rsidR="00900C67">
        <w:rPr>
          <w:rFonts w:ascii="Times New Roman" w:eastAsia="宋体" w:hAnsi="Times New Roman" w:cs="宋体" w:hint="eastAsia"/>
          <w:color w:val="F5AB35"/>
          <w:kern w:val="0"/>
          <w:sz w:val="24"/>
          <w:szCs w:val="24"/>
          <w:lang w:val="en-US"/>
        </w:rPr>
        <w:t>3</w:t>
      </w:r>
      <w:r w:rsidRPr="00121776">
        <w:rPr>
          <w:rFonts w:ascii="Times New Roman" w:eastAsia="宋体" w:hAnsi="Times New Roman" w:cs="宋体"/>
          <w:color w:val="F8F8F2"/>
          <w:kern w:val="0"/>
          <w:sz w:val="24"/>
          <w:szCs w:val="24"/>
          <w:lang w:val="en-US"/>
        </w:rPr>
        <w:t>)</w:t>
      </w:r>
    </w:p>
    <w:p w14:paraId="08E5B1BA" w14:textId="77777777" w:rsidR="00121776" w:rsidRPr="00121776" w:rsidRDefault="00000000" w:rsidP="00121776">
      <w:pPr>
        <w:widowControl/>
        <w:spacing w:line="360" w:lineRule="auto"/>
        <w:jc w:val="left"/>
        <w:rPr>
          <w:rFonts w:ascii="Times New Roman" w:eastAsia="宋体" w:hAnsi="Times New Roman" w:cs="宋体"/>
          <w:color w:val="000000"/>
          <w:kern w:val="0"/>
          <w:sz w:val="24"/>
          <w:szCs w:val="24"/>
          <w:lang w:val="en-US"/>
        </w:rPr>
      </w:pPr>
      <w:r>
        <w:rPr>
          <w:rFonts w:ascii="Times New Roman" w:eastAsia="宋体" w:hAnsi="Times New Roman" w:cs="宋体"/>
          <w:color w:val="000000"/>
          <w:kern w:val="0"/>
          <w:sz w:val="24"/>
          <w:szCs w:val="24"/>
          <w:lang w:val="en-US"/>
        </w:rPr>
        <w:pict w14:anchorId="494EB835">
          <v:rect id="_x0000_i1025" style="width:0;height:1.5pt" o:hralign="center" o:hrstd="t" o:hr="t" fillcolor="#a0a0a0" stroked="f"/>
        </w:pict>
      </w:r>
    </w:p>
    <w:p w14:paraId="27B79863" w14:textId="77777777" w:rsidR="005A178D" w:rsidRDefault="005A178D" w:rsidP="00121776">
      <w:pPr>
        <w:widowControl/>
        <w:spacing w:before="100" w:beforeAutospacing="1" w:after="100" w:afterAutospacing="1" w:line="360" w:lineRule="auto"/>
        <w:jc w:val="left"/>
        <w:outlineLvl w:val="1"/>
        <w:rPr>
          <w:rFonts w:ascii="Times New Roman" w:eastAsia="宋体" w:hAnsi="Times New Roman" w:cs="宋体"/>
          <w:b/>
          <w:bCs/>
          <w:color w:val="000000"/>
          <w:kern w:val="0"/>
          <w:sz w:val="24"/>
          <w:szCs w:val="36"/>
          <w:lang w:val="en-US"/>
        </w:rPr>
      </w:pPr>
    </w:p>
    <w:p w14:paraId="6EDFE091" w14:textId="04F0DF6A" w:rsidR="00121776" w:rsidRPr="00121776" w:rsidRDefault="00121776" w:rsidP="00121776">
      <w:pPr>
        <w:widowControl/>
        <w:spacing w:before="100" w:beforeAutospacing="1" w:after="100" w:afterAutospacing="1" w:line="360" w:lineRule="auto"/>
        <w:jc w:val="left"/>
        <w:outlineLvl w:val="1"/>
        <w:rPr>
          <w:rFonts w:ascii="Times New Roman" w:eastAsia="宋体" w:hAnsi="Times New Roman" w:cs="宋体"/>
          <w:b/>
          <w:bCs/>
          <w:color w:val="000000"/>
          <w:kern w:val="0"/>
          <w:sz w:val="24"/>
          <w:szCs w:val="36"/>
          <w:lang w:val="en-US"/>
        </w:rPr>
      </w:pPr>
      <w:r w:rsidRPr="00121776">
        <w:rPr>
          <w:rFonts w:ascii="Times New Roman" w:eastAsia="宋体" w:hAnsi="Times New Roman" w:cs="宋体"/>
          <w:b/>
          <w:bCs/>
          <w:color w:val="000000"/>
          <w:kern w:val="0"/>
          <w:sz w:val="24"/>
          <w:szCs w:val="36"/>
          <w:lang w:val="en-US"/>
        </w:rPr>
        <w:lastRenderedPageBreak/>
        <w:t>2. Dimension 1 — Concept Representation</w:t>
      </w:r>
    </w:p>
    <w:p w14:paraId="1DB71D21" w14:textId="77777777" w:rsidR="00121776" w:rsidRPr="00121776" w:rsidRDefault="00121776"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121776">
        <w:rPr>
          <w:rFonts w:ascii="Times New Roman" w:eastAsia="宋体" w:hAnsi="Times New Roman" w:cs="宋体"/>
          <w:b/>
          <w:bCs/>
          <w:color w:val="000000"/>
          <w:kern w:val="0"/>
          <w:sz w:val="24"/>
          <w:szCs w:val="27"/>
          <w:lang w:val="en-US"/>
        </w:rPr>
        <w:t>2.1 Object of Assessment</w:t>
      </w:r>
    </w:p>
    <w:p w14:paraId="14E5379C"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This dimension evaluates whether the translator has selected appropriate linguistic designations to carry the source concept into the target language. Since translators of specialized language texts "must go beyond correspondences at the level of individual terms" and "establish interlinguistic references to entire knowledge structures" (Faber 2012: 9), representation quality is assessed not only at the level of the individual designation but also at the level of the concept system that the designations collectively articulate.</w:t>
      </w:r>
    </w:p>
    <w:p w14:paraId="38930D20" w14:textId="77777777" w:rsidR="00121776" w:rsidRPr="00121776" w:rsidRDefault="00121776"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121776">
        <w:rPr>
          <w:rFonts w:ascii="Times New Roman" w:eastAsia="宋体" w:hAnsi="Times New Roman" w:cs="宋体"/>
          <w:b/>
          <w:bCs/>
          <w:color w:val="000000"/>
          <w:kern w:val="0"/>
          <w:sz w:val="24"/>
          <w:szCs w:val="27"/>
          <w:lang w:val="en-US"/>
        </w:rPr>
        <w:t>2.2 Sub-parameters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2524"/>
        <w:gridCol w:w="4086"/>
        <w:gridCol w:w="1084"/>
      </w:tblGrid>
      <w:tr w:rsidR="00121776" w:rsidRPr="00121776" w14:paraId="6838A87D" w14:textId="77777777">
        <w:trPr>
          <w:tblHeader/>
          <w:tblCellSpacing w:w="15" w:type="dxa"/>
        </w:trPr>
        <w:tc>
          <w:tcPr>
            <w:tcW w:w="0" w:type="auto"/>
            <w:vAlign w:val="center"/>
            <w:hideMark/>
          </w:tcPr>
          <w:p w14:paraId="7C6B59F7"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Code</w:t>
            </w:r>
          </w:p>
        </w:tc>
        <w:tc>
          <w:tcPr>
            <w:tcW w:w="0" w:type="auto"/>
            <w:vAlign w:val="center"/>
            <w:hideMark/>
          </w:tcPr>
          <w:p w14:paraId="3D6754AA"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Sub-parameter</w:t>
            </w:r>
          </w:p>
        </w:tc>
        <w:tc>
          <w:tcPr>
            <w:tcW w:w="0" w:type="auto"/>
            <w:vAlign w:val="center"/>
            <w:hideMark/>
          </w:tcPr>
          <w:p w14:paraId="4027C205"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Assessment Question</w:t>
            </w:r>
          </w:p>
        </w:tc>
        <w:tc>
          <w:tcPr>
            <w:tcW w:w="0" w:type="auto"/>
            <w:vAlign w:val="center"/>
            <w:hideMark/>
          </w:tcPr>
          <w:p w14:paraId="504AFF80"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Source</w:t>
            </w:r>
          </w:p>
        </w:tc>
      </w:tr>
      <w:tr w:rsidR="00121776" w:rsidRPr="00121776" w14:paraId="449A8A2E" w14:textId="77777777">
        <w:trPr>
          <w:tblCellSpacing w:w="15" w:type="dxa"/>
        </w:trPr>
        <w:tc>
          <w:tcPr>
            <w:tcW w:w="0" w:type="auto"/>
            <w:vAlign w:val="center"/>
            <w:hideMark/>
          </w:tcPr>
          <w:p w14:paraId="60A4BF31"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CR-1</w:t>
            </w:r>
          </w:p>
        </w:tc>
        <w:tc>
          <w:tcPr>
            <w:tcW w:w="0" w:type="auto"/>
            <w:vAlign w:val="center"/>
            <w:hideMark/>
          </w:tcPr>
          <w:p w14:paraId="2B479757"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Designation type accuracy</w:t>
            </w:r>
          </w:p>
        </w:tc>
        <w:tc>
          <w:tcPr>
            <w:tcW w:w="0" w:type="auto"/>
            <w:vAlign w:val="center"/>
            <w:hideMark/>
          </w:tcPr>
          <w:p w14:paraId="7485A497"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Has the appropriate designation type (term vs. proper name) been selected?</w:t>
            </w:r>
          </w:p>
        </w:tc>
        <w:tc>
          <w:tcPr>
            <w:tcW w:w="0" w:type="auto"/>
            <w:vAlign w:val="center"/>
            <w:hideMark/>
          </w:tcPr>
          <w:p w14:paraId="460839B4" w14:textId="218B09B8"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ISO 704:2022 </w:t>
            </w:r>
          </w:p>
        </w:tc>
      </w:tr>
      <w:tr w:rsidR="00121776" w:rsidRPr="00121776" w14:paraId="383A9D16" w14:textId="77777777">
        <w:trPr>
          <w:tblCellSpacing w:w="15" w:type="dxa"/>
        </w:trPr>
        <w:tc>
          <w:tcPr>
            <w:tcW w:w="0" w:type="auto"/>
            <w:vAlign w:val="center"/>
            <w:hideMark/>
          </w:tcPr>
          <w:p w14:paraId="77B3CDBD"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CR-2</w:t>
            </w:r>
          </w:p>
        </w:tc>
        <w:tc>
          <w:tcPr>
            <w:tcW w:w="0" w:type="auto"/>
            <w:vAlign w:val="center"/>
            <w:hideMark/>
          </w:tcPr>
          <w:p w14:paraId="47E8D35B"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Consistency</w:t>
            </w:r>
          </w:p>
        </w:tc>
        <w:tc>
          <w:tcPr>
            <w:tcW w:w="0" w:type="auto"/>
            <w:vAlign w:val="center"/>
            <w:hideMark/>
          </w:tcPr>
          <w:p w14:paraId="4A012219"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Is the same designation used consistently for the same concept across the text?</w:t>
            </w:r>
          </w:p>
        </w:tc>
        <w:tc>
          <w:tcPr>
            <w:tcW w:w="0" w:type="auto"/>
            <w:vAlign w:val="center"/>
            <w:hideMark/>
          </w:tcPr>
          <w:p w14:paraId="28860355" w14:textId="6E00AEAF"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ISO 704:2022 </w:t>
            </w:r>
          </w:p>
        </w:tc>
      </w:tr>
      <w:tr w:rsidR="00121776" w:rsidRPr="00121776" w14:paraId="05A3E31F" w14:textId="77777777">
        <w:trPr>
          <w:tblCellSpacing w:w="15" w:type="dxa"/>
        </w:trPr>
        <w:tc>
          <w:tcPr>
            <w:tcW w:w="0" w:type="auto"/>
            <w:vAlign w:val="center"/>
            <w:hideMark/>
          </w:tcPr>
          <w:p w14:paraId="3BA91A3A"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CR-3</w:t>
            </w:r>
          </w:p>
        </w:tc>
        <w:tc>
          <w:tcPr>
            <w:tcW w:w="0" w:type="auto"/>
            <w:vAlign w:val="center"/>
            <w:hideMark/>
          </w:tcPr>
          <w:p w14:paraId="615FF69D"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Derivability and compoundability</w:t>
            </w:r>
          </w:p>
        </w:tc>
        <w:tc>
          <w:tcPr>
            <w:tcW w:w="0" w:type="auto"/>
            <w:vAlign w:val="center"/>
            <w:hideMark/>
          </w:tcPr>
          <w:p w14:paraId="3984D32E"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Does the designation permit derivation and compounding to express the concept system?</w:t>
            </w:r>
          </w:p>
        </w:tc>
        <w:tc>
          <w:tcPr>
            <w:tcW w:w="0" w:type="auto"/>
            <w:vAlign w:val="center"/>
            <w:hideMark/>
          </w:tcPr>
          <w:p w14:paraId="37A66600" w14:textId="2B3A5D6C"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ISO 704:2022 </w:t>
            </w:r>
          </w:p>
        </w:tc>
      </w:tr>
      <w:tr w:rsidR="00121776" w:rsidRPr="00121776" w14:paraId="2ADFD7BA" w14:textId="77777777">
        <w:trPr>
          <w:tblCellSpacing w:w="15" w:type="dxa"/>
        </w:trPr>
        <w:tc>
          <w:tcPr>
            <w:tcW w:w="0" w:type="auto"/>
            <w:vAlign w:val="center"/>
            <w:hideMark/>
          </w:tcPr>
          <w:p w14:paraId="7B4CDCEC"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CR-4</w:t>
            </w:r>
          </w:p>
        </w:tc>
        <w:tc>
          <w:tcPr>
            <w:tcW w:w="0" w:type="auto"/>
            <w:vAlign w:val="center"/>
            <w:hideMark/>
          </w:tcPr>
          <w:p w14:paraId="4EC44092"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Linguistic correctness</w:t>
            </w:r>
          </w:p>
        </w:tc>
        <w:tc>
          <w:tcPr>
            <w:tcW w:w="0" w:type="auto"/>
            <w:vAlign w:val="center"/>
            <w:hideMark/>
          </w:tcPr>
          <w:p w14:paraId="59EDFE2C"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Does the designation conform to the morphological, syntactic, and orthographic norms of the target language?</w:t>
            </w:r>
          </w:p>
        </w:tc>
        <w:tc>
          <w:tcPr>
            <w:tcW w:w="0" w:type="auto"/>
            <w:vAlign w:val="center"/>
            <w:hideMark/>
          </w:tcPr>
          <w:p w14:paraId="1A3CD5B9" w14:textId="791EB6CC"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ISO 704:2022 </w:t>
            </w:r>
          </w:p>
        </w:tc>
      </w:tr>
      <w:tr w:rsidR="00121776" w:rsidRPr="00121776" w14:paraId="0B12E98F" w14:textId="77777777">
        <w:trPr>
          <w:tblCellSpacing w:w="15" w:type="dxa"/>
        </w:trPr>
        <w:tc>
          <w:tcPr>
            <w:tcW w:w="0" w:type="auto"/>
            <w:vAlign w:val="center"/>
            <w:hideMark/>
          </w:tcPr>
          <w:p w14:paraId="6863B2EA"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CR-5</w:t>
            </w:r>
          </w:p>
        </w:tc>
        <w:tc>
          <w:tcPr>
            <w:tcW w:w="0" w:type="auto"/>
            <w:vAlign w:val="center"/>
            <w:hideMark/>
          </w:tcPr>
          <w:p w14:paraId="53D3ABA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Preference for established target-language designations</w:t>
            </w:r>
          </w:p>
        </w:tc>
        <w:tc>
          <w:tcPr>
            <w:tcW w:w="0" w:type="auto"/>
            <w:vAlign w:val="center"/>
            <w:hideMark/>
          </w:tcPr>
          <w:p w14:paraId="7A6BF33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Has the translator preferred existing target-language designations over neologisms where appropriate?</w:t>
            </w:r>
          </w:p>
        </w:tc>
        <w:tc>
          <w:tcPr>
            <w:tcW w:w="0" w:type="auto"/>
            <w:vAlign w:val="center"/>
            <w:hideMark/>
          </w:tcPr>
          <w:p w14:paraId="1A5D5F04" w14:textId="2A57A3A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ISO 704:2022 </w:t>
            </w:r>
          </w:p>
        </w:tc>
      </w:tr>
      <w:tr w:rsidR="00121776" w:rsidRPr="00121776" w14:paraId="03B7D239" w14:textId="77777777">
        <w:trPr>
          <w:tblCellSpacing w:w="15" w:type="dxa"/>
        </w:trPr>
        <w:tc>
          <w:tcPr>
            <w:tcW w:w="0" w:type="auto"/>
            <w:vAlign w:val="center"/>
            <w:hideMark/>
          </w:tcPr>
          <w:p w14:paraId="2945BB84" w14:textId="290479BA"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lastRenderedPageBreak/>
              <w:t>CR-</w:t>
            </w:r>
            <w:r w:rsidR="00522F34">
              <w:rPr>
                <w:rFonts w:ascii="Times New Roman" w:eastAsia="宋体" w:hAnsi="Times New Roman" w:cs="宋体" w:hint="eastAsia"/>
                <w:b/>
                <w:bCs/>
                <w:kern w:val="0"/>
                <w:sz w:val="24"/>
                <w:szCs w:val="24"/>
                <w:lang w:val="en-US"/>
              </w:rPr>
              <w:t>6</w:t>
            </w:r>
          </w:p>
        </w:tc>
        <w:tc>
          <w:tcPr>
            <w:tcW w:w="0" w:type="auto"/>
            <w:vAlign w:val="center"/>
            <w:hideMark/>
          </w:tcPr>
          <w:p w14:paraId="733788FF"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Designation relations</w:t>
            </w:r>
          </w:p>
        </w:tc>
        <w:tc>
          <w:tcPr>
            <w:tcW w:w="0" w:type="auto"/>
            <w:vAlign w:val="center"/>
            <w:hideMark/>
          </w:tcPr>
          <w:p w14:paraId="348F9ADE"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Are mononymy, synonymy, equivalence, antonymy, and polysemy/homonymy handled appropriately?</w:t>
            </w:r>
          </w:p>
        </w:tc>
        <w:tc>
          <w:tcPr>
            <w:tcW w:w="0" w:type="auto"/>
            <w:vAlign w:val="center"/>
            <w:hideMark/>
          </w:tcPr>
          <w:p w14:paraId="043516C9" w14:textId="2112E3E8"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ISO 704:2022 </w:t>
            </w:r>
          </w:p>
        </w:tc>
      </w:tr>
    </w:tbl>
    <w:p w14:paraId="3E0886D6" w14:textId="705C8BE8" w:rsidR="00121776" w:rsidRPr="00121776" w:rsidRDefault="00121776" w:rsidP="00121776">
      <w:pPr>
        <w:widowControl/>
        <w:spacing w:line="360" w:lineRule="auto"/>
        <w:jc w:val="left"/>
        <w:rPr>
          <w:rFonts w:ascii="Times New Roman" w:eastAsia="宋体" w:hAnsi="Times New Roman" w:cs="宋体"/>
          <w:color w:val="000000"/>
          <w:kern w:val="0"/>
          <w:sz w:val="24"/>
          <w:szCs w:val="24"/>
          <w:lang w:val="en-US"/>
        </w:rPr>
      </w:pPr>
    </w:p>
    <w:p w14:paraId="68298712" w14:textId="77777777" w:rsidR="00121776" w:rsidRPr="00121776" w:rsidRDefault="00121776" w:rsidP="00121776">
      <w:pPr>
        <w:widowControl/>
        <w:spacing w:before="100" w:beforeAutospacing="1" w:after="100" w:afterAutospacing="1" w:line="360" w:lineRule="auto"/>
        <w:jc w:val="left"/>
        <w:outlineLvl w:val="1"/>
        <w:rPr>
          <w:rFonts w:ascii="Times New Roman" w:eastAsia="宋体" w:hAnsi="Times New Roman" w:cs="宋体"/>
          <w:b/>
          <w:bCs/>
          <w:color w:val="000000"/>
          <w:kern w:val="0"/>
          <w:sz w:val="24"/>
          <w:szCs w:val="36"/>
          <w:lang w:val="en-US"/>
        </w:rPr>
      </w:pPr>
      <w:r w:rsidRPr="00121776">
        <w:rPr>
          <w:rFonts w:ascii="Times New Roman" w:eastAsia="宋体" w:hAnsi="Times New Roman" w:cs="宋体"/>
          <w:b/>
          <w:bCs/>
          <w:color w:val="000000"/>
          <w:kern w:val="0"/>
          <w:sz w:val="24"/>
          <w:szCs w:val="36"/>
          <w:lang w:val="en-US"/>
        </w:rPr>
        <w:t>3. Dimension 2 — Concept Logic</w:t>
      </w:r>
    </w:p>
    <w:p w14:paraId="1C2FBABF" w14:textId="77777777" w:rsidR="00121776" w:rsidRPr="00121776" w:rsidRDefault="00121776"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121776">
        <w:rPr>
          <w:rFonts w:ascii="Times New Roman" w:eastAsia="宋体" w:hAnsi="Times New Roman" w:cs="宋体"/>
          <w:b/>
          <w:bCs/>
          <w:color w:val="000000"/>
          <w:kern w:val="0"/>
          <w:sz w:val="24"/>
          <w:szCs w:val="27"/>
          <w:lang w:val="en-US"/>
        </w:rPr>
        <w:t>3.1 Object of Assessment</w:t>
      </w:r>
    </w:p>
    <w:p w14:paraId="6E1BF8DE"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This dimension evaluates whether the translator has preserved the reasoned discourse through which concepts are linked to other concepts in the source text. Following Heim and Tymowski (2006: 8–10), "altering the method of argumentation" is identified as one of the principal pitfalls of social science translation. Concept logic is assessed at two layers: the </w:t>
      </w:r>
      <w:r w:rsidRPr="00121776">
        <w:rPr>
          <w:rFonts w:ascii="Times New Roman" w:eastAsia="宋体" w:hAnsi="Times New Roman" w:cs="宋体"/>
          <w:b/>
          <w:bCs/>
          <w:color w:val="000000"/>
          <w:kern w:val="0"/>
          <w:sz w:val="24"/>
          <w:szCs w:val="24"/>
          <w:lang w:val="en-US"/>
        </w:rPr>
        <w:t>argument schema</w:t>
      </w:r>
      <w:r w:rsidRPr="00121776">
        <w:rPr>
          <w:rFonts w:ascii="Times New Roman" w:eastAsia="宋体" w:hAnsi="Times New Roman" w:cs="宋体"/>
          <w:color w:val="000000"/>
          <w:kern w:val="0"/>
          <w:sz w:val="24"/>
          <w:szCs w:val="24"/>
          <w:lang w:val="en-US"/>
        </w:rPr>
        <w:t xml:space="preserve">, which constitutes the skeleton of the argument, and the </w:t>
      </w:r>
      <w:r w:rsidRPr="00121776">
        <w:rPr>
          <w:rFonts w:ascii="Times New Roman" w:eastAsia="宋体" w:hAnsi="Times New Roman" w:cs="宋体"/>
          <w:b/>
          <w:bCs/>
          <w:color w:val="000000"/>
          <w:kern w:val="0"/>
          <w:sz w:val="24"/>
          <w:szCs w:val="24"/>
          <w:lang w:val="en-US"/>
        </w:rPr>
        <w:t>rhetorical topology</w:t>
      </w:r>
      <w:r w:rsidRPr="00121776">
        <w:rPr>
          <w:rFonts w:ascii="Times New Roman" w:eastAsia="宋体" w:hAnsi="Times New Roman" w:cs="宋体"/>
          <w:color w:val="000000"/>
          <w:kern w:val="0"/>
          <w:sz w:val="24"/>
          <w:szCs w:val="24"/>
          <w:lang w:val="en-US"/>
        </w:rPr>
        <w:t>, which constitutes its surface realization.</w:t>
      </w:r>
    </w:p>
    <w:p w14:paraId="4227416D" w14:textId="77777777" w:rsidR="00121776" w:rsidRPr="00121776" w:rsidRDefault="00121776"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121776">
        <w:rPr>
          <w:rFonts w:ascii="Times New Roman" w:eastAsia="宋体" w:hAnsi="Times New Roman" w:cs="宋体"/>
          <w:b/>
          <w:bCs/>
          <w:color w:val="000000"/>
          <w:kern w:val="0"/>
          <w:sz w:val="24"/>
          <w:szCs w:val="27"/>
          <w:lang w:val="en-US"/>
        </w:rPr>
        <w:t>3.2 Layer A — Argument Schema (Williams 2004)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1323"/>
        <w:gridCol w:w="6309"/>
      </w:tblGrid>
      <w:tr w:rsidR="00121776" w:rsidRPr="00121776" w14:paraId="7A6B39D2" w14:textId="77777777">
        <w:trPr>
          <w:tblHeader/>
          <w:tblCellSpacing w:w="15" w:type="dxa"/>
        </w:trPr>
        <w:tc>
          <w:tcPr>
            <w:tcW w:w="0" w:type="auto"/>
            <w:vAlign w:val="center"/>
            <w:hideMark/>
          </w:tcPr>
          <w:p w14:paraId="7705D846"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Code</w:t>
            </w:r>
          </w:p>
        </w:tc>
        <w:tc>
          <w:tcPr>
            <w:tcW w:w="0" w:type="auto"/>
            <w:vAlign w:val="center"/>
            <w:hideMark/>
          </w:tcPr>
          <w:p w14:paraId="3646E1ED"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Sub-parameter</w:t>
            </w:r>
          </w:p>
        </w:tc>
        <w:tc>
          <w:tcPr>
            <w:tcW w:w="0" w:type="auto"/>
            <w:vAlign w:val="center"/>
            <w:hideMark/>
          </w:tcPr>
          <w:p w14:paraId="58561B89"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Assessment Question</w:t>
            </w:r>
          </w:p>
        </w:tc>
      </w:tr>
      <w:tr w:rsidR="00121776" w:rsidRPr="00121776" w14:paraId="51768634" w14:textId="77777777">
        <w:trPr>
          <w:tblCellSpacing w:w="15" w:type="dxa"/>
        </w:trPr>
        <w:tc>
          <w:tcPr>
            <w:tcW w:w="0" w:type="auto"/>
            <w:vAlign w:val="center"/>
            <w:hideMark/>
          </w:tcPr>
          <w:p w14:paraId="7E96326F"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CL-A1</w:t>
            </w:r>
          </w:p>
        </w:tc>
        <w:tc>
          <w:tcPr>
            <w:tcW w:w="0" w:type="auto"/>
            <w:vAlign w:val="center"/>
            <w:hideMark/>
          </w:tcPr>
          <w:p w14:paraId="6319C3FC"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Claim</w:t>
            </w:r>
          </w:p>
        </w:tc>
        <w:tc>
          <w:tcPr>
            <w:tcW w:w="0" w:type="auto"/>
            <w:vAlign w:val="center"/>
            <w:hideMark/>
          </w:tcPr>
          <w:p w14:paraId="6E807788"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Has the conclusion toward which the argument converges been preserved without distortion, weakening, or reversal?</w:t>
            </w:r>
          </w:p>
        </w:tc>
      </w:tr>
      <w:tr w:rsidR="00121776" w:rsidRPr="00121776" w14:paraId="1ED162CE" w14:textId="77777777">
        <w:trPr>
          <w:tblCellSpacing w:w="15" w:type="dxa"/>
        </w:trPr>
        <w:tc>
          <w:tcPr>
            <w:tcW w:w="0" w:type="auto"/>
            <w:vAlign w:val="center"/>
            <w:hideMark/>
          </w:tcPr>
          <w:p w14:paraId="4B076503"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CL-A2</w:t>
            </w:r>
          </w:p>
        </w:tc>
        <w:tc>
          <w:tcPr>
            <w:tcW w:w="0" w:type="auto"/>
            <w:vAlign w:val="center"/>
            <w:hideMark/>
          </w:tcPr>
          <w:p w14:paraId="75BB020C"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Grounds</w:t>
            </w:r>
          </w:p>
        </w:tc>
        <w:tc>
          <w:tcPr>
            <w:tcW w:w="0" w:type="auto"/>
            <w:vAlign w:val="center"/>
            <w:hideMark/>
          </w:tcPr>
          <w:p w14:paraId="224A7E06"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Have the facts, observations, and shared knowledge supporting the claim been transferred accurately?</w:t>
            </w:r>
          </w:p>
        </w:tc>
      </w:tr>
      <w:tr w:rsidR="00121776" w:rsidRPr="00121776" w14:paraId="2623545B" w14:textId="77777777">
        <w:trPr>
          <w:tblCellSpacing w:w="15" w:type="dxa"/>
        </w:trPr>
        <w:tc>
          <w:tcPr>
            <w:tcW w:w="0" w:type="auto"/>
            <w:vAlign w:val="center"/>
            <w:hideMark/>
          </w:tcPr>
          <w:p w14:paraId="61C83C45"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CL-A3</w:t>
            </w:r>
          </w:p>
        </w:tc>
        <w:tc>
          <w:tcPr>
            <w:tcW w:w="0" w:type="auto"/>
            <w:vAlign w:val="center"/>
            <w:hideMark/>
          </w:tcPr>
          <w:p w14:paraId="59BD0F3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Warrant</w:t>
            </w:r>
          </w:p>
        </w:tc>
        <w:tc>
          <w:tcPr>
            <w:tcW w:w="0" w:type="auto"/>
            <w:vAlign w:val="center"/>
            <w:hideMark/>
          </w:tcPr>
          <w:p w14:paraId="44FC8266"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Have the inferential statements connecting grounds to claim been preserved, including implicit warrants underlying the communicative situation?</w:t>
            </w:r>
          </w:p>
        </w:tc>
      </w:tr>
      <w:tr w:rsidR="00121776" w:rsidRPr="00121776" w14:paraId="11136098" w14:textId="77777777">
        <w:trPr>
          <w:tblCellSpacing w:w="15" w:type="dxa"/>
        </w:trPr>
        <w:tc>
          <w:tcPr>
            <w:tcW w:w="0" w:type="auto"/>
            <w:vAlign w:val="center"/>
            <w:hideMark/>
          </w:tcPr>
          <w:p w14:paraId="3467DD9C"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CL-A4</w:t>
            </w:r>
          </w:p>
        </w:tc>
        <w:tc>
          <w:tcPr>
            <w:tcW w:w="0" w:type="auto"/>
            <w:vAlign w:val="center"/>
            <w:hideMark/>
          </w:tcPr>
          <w:p w14:paraId="0FAD6624"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Backing</w:t>
            </w:r>
          </w:p>
        </w:tc>
        <w:tc>
          <w:tcPr>
            <w:tcW w:w="0" w:type="auto"/>
            <w:vAlign w:val="center"/>
            <w:hideMark/>
          </w:tcPr>
          <w:p w14:paraId="0A343CF6"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Has the overarching principle, value, or standard supporting the warrant been preserved?</w:t>
            </w:r>
          </w:p>
        </w:tc>
      </w:tr>
    </w:tbl>
    <w:p w14:paraId="2F6D55AD"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lastRenderedPageBreak/>
        <w:t xml:space="preserve">Note: Williams's (2004) original parameters of </w:t>
      </w:r>
      <w:r w:rsidRPr="00121776">
        <w:rPr>
          <w:rFonts w:ascii="Times New Roman" w:eastAsia="宋体" w:hAnsi="Times New Roman" w:cs="宋体"/>
          <w:i/>
          <w:iCs/>
          <w:color w:val="000000"/>
          <w:kern w:val="0"/>
          <w:sz w:val="24"/>
          <w:szCs w:val="24"/>
          <w:lang w:val="en-US"/>
        </w:rPr>
        <w:t>qualifier/modalizer</w:t>
      </w:r>
      <w:r w:rsidRPr="00121776">
        <w:rPr>
          <w:rFonts w:ascii="Times New Roman" w:eastAsia="宋体" w:hAnsi="Times New Roman" w:cs="宋体"/>
          <w:color w:val="000000"/>
          <w:kern w:val="0"/>
          <w:sz w:val="24"/>
          <w:szCs w:val="24"/>
          <w:lang w:val="en-US"/>
        </w:rPr>
        <w:t xml:space="preserve"> and </w:t>
      </w:r>
      <w:r w:rsidRPr="00121776">
        <w:rPr>
          <w:rFonts w:ascii="Times New Roman" w:eastAsia="宋体" w:hAnsi="Times New Roman" w:cs="宋体"/>
          <w:i/>
          <w:iCs/>
          <w:color w:val="000000"/>
          <w:kern w:val="0"/>
          <w:sz w:val="24"/>
          <w:szCs w:val="24"/>
          <w:lang w:val="en-US"/>
        </w:rPr>
        <w:t>rebuttal/exception</w:t>
      </w:r>
      <w:r w:rsidRPr="00121776">
        <w:rPr>
          <w:rFonts w:ascii="Times New Roman" w:eastAsia="宋体" w:hAnsi="Times New Roman" w:cs="宋体"/>
          <w:color w:val="000000"/>
          <w:kern w:val="0"/>
          <w:sz w:val="24"/>
          <w:szCs w:val="24"/>
          <w:lang w:val="en-US"/>
        </w:rPr>
        <w:t xml:space="preserve"> are not retained as separate sub-parameters of the argument schema, since they overlap substantively with Hyland's (2019) hedges. They are therefore subsumed under CL-B11 below, in keeping with the principle of categorial parsimony.</w:t>
      </w:r>
    </w:p>
    <w:p w14:paraId="107C9901" w14:textId="77777777" w:rsidR="00121776" w:rsidRPr="00121776" w:rsidRDefault="00121776"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121776">
        <w:rPr>
          <w:rFonts w:ascii="Times New Roman" w:eastAsia="宋体" w:hAnsi="Times New Roman" w:cs="宋体"/>
          <w:b/>
          <w:bCs/>
          <w:color w:val="000000"/>
          <w:kern w:val="0"/>
          <w:sz w:val="24"/>
          <w:szCs w:val="27"/>
          <w:lang w:val="en-US"/>
        </w:rPr>
        <w:t>3.3 Layer B — Rhetorical Topology</w:t>
      </w:r>
    </w:p>
    <w:p w14:paraId="170675F6"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Williams's (2004) original rhetorical topology comprises six sub-parameters (organizational relations, connectives, propositional functions, types of argument, figures, narrative strategy) whose definitions overlap and whose operationalization has proven difficult. The present framework reconstructs this layer using two more clearly defined and empirically grounded sub-layers: </w:t>
      </w:r>
      <w:r w:rsidRPr="00121776">
        <w:rPr>
          <w:rFonts w:ascii="Times New Roman" w:eastAsia="宋体" w:hAnsi="Times New Roman" w:cs="宋体"/>
          <w:b/>
          <w:bCs/>
          <w:color w:val="000000"/>
          <w:kern w:val="0"/>
          <w:sz w:val="24"/>
          <w:szCs w:val="24"/>
          <w:lang w:val="en-US"/>
        </w:rPr>
        <w:t>figures of argument</w:t>
      </w:r>
      <w:r w:rsidRPr="00121776">
        <w:rPr>
          <w:rFonts w:ascii="Times New Roman" w:eastAsia="宋体" w:hAnsi="Times New Roman" w:cs="宋体"/>
          <w:color w:val="000000"/>
          <w:kern w:val="0"/>
          <w:sz w:val="24"/>
          <w:szCs w:val="24"/>
          <w:lang w:val="en-US"/>
        </w:rPr>
        <w:t xml:space="preserve"> (Fahnestock 2011), which capture the stylistic devices that structure argumentative content, and </w:t>
      </w:r>
      <w:r w:rsidRPr="00121776">
        <w:rPr>
          <w:rFonts w:ascii="Times New Roman" w:eastAsia="宋体" w:hAnsi="Times New Roman" w:cs="宋体"/>
          <w:b/>
          <w:bCs/>
          <w:color w:val="000000"/>
          <w:kern w:val="0"/>
          <w:sz w:val="24"/>
          <w:szCs w:val="24"/>
          <w:lang w:val="en-US"/>
        </w:rPr>
        <w:t>metadiscourse</w:t>
      </w:r>
      <w:r w:rsidRPr="00121776">
        <w:rPr>
          <w:rFonts w:ascii="Times New Roman" w:eastAsia="宋体" w:hAnsi="Times New Roman" w:cs="宋体"/>
          <w:color w:val="000000"/>
          <w:kern w:val="0"/>
          <w:sz w:val="24"/>
          <w:szCs w:val="24"/>
          <w:lang w:val="en-US"/>
        </w:rPr>
        <w:t xml:space="preserve"> (Hyland 2019), which captures the interactive and interactional resources through which writers organize discourse and engage readers.</w:t>
      </w:r>
    </w:p>
    <w:p w14:paraId="6DE8137D" w14:textId="77777777" w:rsidR="00121776" w:rsidRPr="00121776" w:rsidRDefault="00121776" w:rsidP="00121776">
      <w:pPr>
        <w:widowControl/>
        <w:spacing w:before="100" w:beforeAutospacing="1" w:after="100" w:afterAutospacing="1" w:line="360" w:lineRule="auto"/>
        <w:jc w:val="left"/>
        <w:outlineLvl w:val="3"/>
        <w:rPr>
          <w:rFonts w:ascii="Times New Roman" w:eastAsia="宋体" w:hAnsi="Times New Roman" w:cs="宋体"/>
          <w:b/>
          <w:bCs/>
          <w:color w:val="000000"/>
          <w:kern w:val="0"/>
          <w:sz w:val="24"/>
          <w:szCs w:val="24"/>
          <w:lang w:val="en-US"/>
        </w:rPr>
      </w:pPr>
      <w:r w:rsidRPr="00121776">
        <w:rPr>
          <w:rFonts w:ascii="Times New Roman" w:eastAsia="宋体" w:hAnsi="Times New Roman" w:cs="宋体"/>
          <w:b/>
          <w:bCs/>
          <w:color w:val="000000"/>
          <w:kern w:val="0"/>
          <w:sz w:val="24"/>
          <w:szCs w:val="24"/>
          <w:lang w:val="en-US"/>
        </w:rPr>
        <w:t>3.3.1 Figures of Argument (Fahnestock 2011)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1448"/>
        <w:gridCol w:w="6224"/>
      </w:tblGrid>
      <w:tr w:rsidR="00121776" w:rsidRPr="00121776" w14:paraId="32CE2A1B" w14:textId="77777777">
        <w:trPr>
          <w:tblHeader/>
          <w:tblCellSpacing w:w="15" w:type="dxa"/>
        </w:trPr>
        <w:tc>
          <w:tcPr>
            <w:tcW w:w="0" w:type="auto"/>
            <w:vAlign w:val="center"/>
            <w:hideMark/>
          </w:tcPr>
          <w:p w14:paraId="7B409A4B"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Code</w:t>
            </w:r>
          </w:p>
        </w:tc>
        <w:tc>
          <w:tcPr>
            <w:tcW w:w="0" w:type="auto"/>
            <w:vAlign w:val="center"/>
            <w:hideMark/>
          </w:tcPr>
          <w:p w14:paraId="786C210F"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Figure</w:t>
            </w:r>
          </w:p>
        </w:tc>
        <w:tc>
          <w:tcPr>
            <w:tcW w:w="0" w:type="auto"/>
            <w:vAlign w:val="center"/>
            <w:hideMark/>
          </w:tcPr>
          <w:p w14:paraId="673D395A"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Realizations</w:t>
            </w:r>
          </w:p>
        </w:tc>
      </w:tr>
      <w:tr w:rsidR="00121776" w:rsidRPr="00121776" w14:paraId="1F271719" w14:textId="77777777">
        <w:trPr>
          <w:tblCellSpacing w:w="15" w:type="dxa"/>
        </w:trPr>
        <w:tc>
          <w:tcPr>
            <w:tcW w:w="0" w:type="auto"/>
            <w:vAlign w:val="center"/>
            <w:hideMark/>
          </w:tcPr>
          <w:p w14:paraId="2A3223AE"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w:t>
            </w:r>
          </w:p>
        </w:tc>
        <w:tc>
          <w:tcPr>
            <w:tcW w:w="0" w:type="auto"/>
            <w:vAlign w:val="center"/>
            <w:hideMark/>
          </w:tcPr>
          <w:p w14:paraId="608F83D4"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Parallelism</w:t>
            </w:r>
          </w:p>
        </w:tc>
        <w:tc>
          <w:tcPr>
            <w:tcW w:w="0" w:type="auto"/>
            <w:vAlign w:val="center"/>
            <w:hideMark/>
          </w:tcPr>
          <w:p w14:paraId="7CC15000" w14:textId="3A272A7C" w:rsidR="00121776" w:rsidRPr="00121776" w:rsidRDefault="000037F2" w:rsidP="00121776">
            <w:pPr>
              <w:widowControl/>
              <w:spacing w:line="360" w:lineRule="auto"/>
              <w:jc w:val="left"/>
              <w:rPr>
                <w:rFonts w:ascii="Times New Roman" w:eastAsia="宋体" w:hAnsi="Times New Roman" w:cs="宋体"/>
                <w:kern w:val="0"/>
                <w:sz w:val="24"/>
                <w:szCs w:val="24"/>
                <w:lang w:val="en-US"/>
              </w:rPr>
            </w:pPr>
            <w:r w:rsidRPr="000037F2">
              <w:rPr>
                <w:rFonts w:ascii="Times New Roman" w:eastAsia="宋体" w:hAnsi="Times New Roman" w:cs="宋体" w:hint="eastAsia"/>
                <w:kern w:val="0"/>
                <w:sz w:val="24"/>
                <w:szCs w:val="24"/>
                <w:lang w:val="en-US"/>
              </w:rPr>
              <w:t>(1) Comparable length of segments in syllables or words; (2) similar prosodic or stress patterns; (3) similar grammatical structure</w:t>
            </w:r>
          </w:p>
        </w:tc>
      </w:tr>
      <w:tr w:rsidR="00121776" w:rsidRPr="00121776" w14:paraId="2C572B4E" w14:textId="77777777">
        <w:trPr>
          <w:tblCellSpacing w:w="15" w:type="dxa"/>
        </w:trPr>
        <w:tc>
          <w:tcPr>
            <w:tcW w:w="0" w:type="auto"/>
            <w:vAlign w:val="center"/>
            <w:hideMark/>
          </w:tcPr>
          <w:p w14:paraId="39ADE0BD"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CL-B2</w:t>
            </w:r>
          </w:p>
        </w:tc>
        <w:tc>
          <w:tcPr>
            <w:tcW w:w="0" w:type="auto"/>
            <w:vAlign w:val="center"/>
            <w:hideMark/>
          </w:tcPr>
          <w:p w14:paraId="5E939783"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Strategic repetition</w:t>
            </w:r>
          </w:p>
        </w:tc>
        <w:tc>
          <w:tcPr>
            <w:tcW w:w="0" w:type="auto"/>
            <w:vAlign w:val="center"/>
            <w:hideMark/>
          </w:tcPr>
          <w:p w14:paraId="5F286929" w14:textId="6006BEEA" w:rsidR="00121776" w:rsidRPr="00121776" w:rsidRDefault="000037F2" w:rsidP="00121776">
            <w:pPr>
              <w:widowControl/>
              <w:spacing w:line="360" w:lineRule="auto"/>
              <w:jc w:val="left"/>
              <w:rPr>
                <w:rFonts w:ascii="Times New Roman" w:eastAsia="宋体" w:hAnsi="Times New Roman" w:cs="宋体"/>
                <w:kern w:val="0"/>
                <w:sz w:val="24"/>
                <w:szCs w:val="24"/>
                <w:lang w:val="en-US"/>
              </w:rPr>
            </w:pPr>
            <w:r w:rsidRPr="000037F2">
              <w:rPr>
                <w:rFonts w:ascii="Times New Roman" w:eastAsia="宋体" w:hAnsi="Times New Roman" w:cs="宋体" w:hint="eastAsia"/>
                <w:kern w:val="0"/>
                <w:sz w:val="24"/>
                <w:szCs w:val="24"/>
                <w:lang w:val="en-US"/>
              </w:rPr>
              <w:t>(1) Repeating the openings of successive clauses; (2) Repeating the closings of successive clauses; (3) Repeating the closing of one clause in the opening of the next; (4) Repeating the opening of a clause in its ending; (5) Repeating the same openings and endings in a series of clauses; (6) Repeating a word or phrase immediately, with nothing intervening;</w:t>
            </w:r>
            <w:r>
              <w:rPr>
                <w:rFonts w:ascii="Times New Roman" w:eastAsia="宋体" w:hAnsi="Times New Roman" w:cs="宋体" w:hint="eastAsia"/>
                <w:kern w:val="0"/>
                <w:sz w:val="24"/>
                <w:szCs w:val="24"/>
                <w:lang w:val="en-US"/>
              </w:rPr>
              <w:t xml:space="preserve"> </w:t>
            </w:r>
            <w:r w:rsidRPr="000037F2">
              <w:rPr>
                <w:rFonts w:ascii="Times New Roman" w:eastAsia="宋体" w:hAnsi="Times New Roman" w:cs="宋体" w:hint="eastAsia"/>
                <w:kern w:val="0"/>
                <w:sz w:val="24"/>
                <w:szCs w:val="24"/>
                <w:lang w:val="en-US"/>
              </w:rPr>
              <w:t xml:space="preserve">(7) </w:t>
            </w:r>
            <w:r w:rsidRPr="000037F2">
              <w:rPr>
                <w:rFonts w:ascii="Times New Roman" w:eastAsia="宋体" w:hAnsi="Times New Roman" w:cs="宋体" w:hint="eastAsia"/>
                <w:kern w:val="0"/>
                <w:sz w:val="24"/>
                <w:szCs w:val="24"/>
                <w:lang w:val="en-US"/>
              </w:rPr>
              <w:lastRenderedPageBreak/>
              <w:t>Repeating a word or phrase with one or a few words intervening</w:t>
            </w:r>
            <w:r w:rsidR="00121776" w:rsidRPr="00121776">
              <w:rPr>
                <w:rFonts w:ascii="Times New Roman" w:eastAsia="宋体" w:hAnsi="Times New Roman" w:cs="宋体"/>
                <w:kern w:val="0"/>
                <w:sz w:val="24"/>
                <w:szCs w:val="24"/>
                <w:lang w:val="en-US"/>
              </w:rPr>
              <w:t xml:space="preserve"> </w:t>
            </w:r>
          </w:p>
        </w:tc>
      </w:tr>
      <w:tr w:rsidR="00121776" w:rsidRPr="00121776" w14:paraId="75CE1773" w14:textId="77777777">
        <w:trPr>
          <w:tblCellSpacing w:w="15" w:type="dxa"/>
        </w:trPr>
        <w:tc>
          <w:tcPr>
            <w:tcW w:w="0" w:type="auto"/>
            <w:vAlign w:val="center"/>
            <w:hideMark/>
          </w:tcPr>
          <w:p w14:paraId="272507E9"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lastRenderedPageBreak/>
              <w:t>CL-B3</w:t>
            </w:r>
          </w:p>
        </w:tc>
        <w:tc>
          <w:tcPr>
            <w:tcW w:w="0" w:type="auto"/>
            <w:vAlign w:val="center"/>
            <w:hideMark/>
          </w:tcPr>
          <w:p w14:paraId="52AD2E7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Antithesis</w:t>
            </w:r>
          </w:p>
        </w:tc>
        <w:tc>
          <w:tcPr>
            <w:tcW w:w="0" w:type="auto"/>
            <w:vAlign w:val="center"/>
            <w:hideMark/>
          </w:tcPr>
          <w:p w14:paraId="58DB72C0" w14:textId="7C364EE0" w:rsidR="00121776" w:rsidRPr="00121776" w:rsidRDefault="000037F2" w:rsidP="00121776">
            <w:pPr>
              <w:widowControl/>
              <w:spacing w:line="360" w:lineRule="auto"/>
              <w:jc w:val="left"/>
              <w:rPr>
                <w:rFonts w:ascii="Times New Roman" w:eastAsia="宋体" w:hAnsi="Times New Roman" w:cs="宋体"/>
                <w:kern w:val="0"/>
                <w:sz w:val="24"/>
                <w:szCs w:val="24"/>
                <w:lang w:val="en-US"/>
              </w:rPr>
            </w:pPr>
            <w:r w:rsidRPr="000037F2">
              <w:rPr>
                <w:rFonts w:ascii="Times New Roman" w:eastAsia="宋体" w:hAnsi="Times New Roman" w:cs="宋体" w:hint="eastAsia"/>
                <w:kern w:val="0"/>
                <w:sz w:val="24"/>
                <w:szCs w:val="24"/>
                <w:lang w:val="en-US"/>
              </w:rPr>
              <w:t>(1) contraries; (2) contradictories; (3) correlatives</w:t>
            </w:r>
          </w:p>
        </w:tc>
      </w:tr>
      <w:tr w:rsidR="00121776" w:rsidRPr="00121776" w14:paraId="124AD101" w14:textId="77777777">
        <w:trPr>
          <w:tblCellSpacing w:w="15" w:type="dxa"/>
        </w:trPr>
        <w:tc>
          <w:tcPr>
            <w:tcW w:w="0" w:type="auto"/>
            <w:vAlign w:val="center"/>
            <w:hideMark/>
          </w:tcPr>
          <w:p w14:paraId="7E667F99"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CL-B4</w:t>
            </w:r>
          </w:p>
        </w:tc>
        <w:tc>
          <w:tcPr>
            <w:tcW w:w="0" w:type="auto"/>
            <w:vAlign w:val="center"/>
            <w:hideMark/>
          </w:tcPr>
          <w:p w14:paraId="3D3A1548"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Antimetabole</w:t>
            </w:r>
          </w:p>
        </w:tc>
        <w:tc>
          <w:tcPr>
            <w:tcW w:w="0" w:type="auto"/>
            <w:vAlign w:val="center"/>
            <w:hideMark/>
          </w:tcPr>
          <w:p w14:paraId="784F3901" w14:textId="15B19E5D" w:rsidR="00121776" w:rsidRPr="00121776" w:rsidRDefault="000037F2" w:rsidP="00121776">
            <w:pPr>
              <w:widowControl/>
              <w:spacing w:line="360" w:lineRule="auto"/>
              <w:jc w:val="left"/>
              <w:rPr>
                <w:rFonts w:ascii="Times New Roman" w:eastAsia="宋体" w:hAnsi="Times New Roman" w:cs="宋体"/>
                <w:kern w:val="0"/>
                <w:sz w:val="24"/>
                <w:szCs w:val="24"/>
                <w:lang w:val="en-US"/>
              </w:rPr>
            </w:pPr>
            <w:r w:rsidRPr="000037F2">
              <w:rPr>
                <w:rFonts w:ascii="Times New Roman" w:eastAsia="宋体" w:hAnsi="Times New Roman" w:cs="宋体" w:hint="eastAsia"/>
                <w:kern w:val="0"/>
                <w:sz w:val="24"/>
                <w:szCs w:val="24"/>
                <w:lang w:val="en-US"/>
              </w:rPr>
              <w:t>A</w:t>
            </w:r>
            <w:r w:rsidRPr="000037F2">
              <w:rPr>
                <w:rFonts w:ascii="Times New Roman" w:eastAsia="宋体" w:hAnsi="Times New Roman" w:cs="宋体" w:hint="eastAsia"/>
                <w:kern w:val="0"/>
                <w:sz w:val="24"/>
                <w:szCs w:val="24"/>
                <w:lang w:val="en-US"/>
              </w:rPr>
              <w:t>–</w:t>
            </w:r>
            <w:r w:rsidRPr="000037F2">
              <w:rPr>
                <w:rFonts w:ascii="Times New Roman" w:eastAsia="宋体" w:hAnsi="Times New Roman" w:cs="宋体" w:hint="eastAsia"/>
                <w:kern w:val="0"/>
                <w:sz w:val="24"/>
                <w:szCs w:val="24"/>
                <w:lang w:val="en-US"/>
              </w:rPr>
              <w:t>B / B</w:t>
            </w:r>
            <w:r w:rsidRPr="000037F2">
              <w:rPr>
                <w:rFonts w:ascii="Times New Roman" w:eastAsia="宋体" w:hAnsi="Times New Roman" w:cs="宋体" w:hint="eastAsia"/>
                <w:kern w:val="0"/>
                <w:sz w:val="24"/>
                <w:szCs w:val="24"/>
                <w:lang w:val="en-US"/>
              </w:rPr>
              <w:t>–</w:t>
            </w:r>
            <w:r w:rsidRPr="000037F2">
              <w:rPr>
                <w:rFonts w:ascii="Times New Roman" w:eastAsia="宋体" w:hAnsi="Times New Roman" w:cs="宋体" w:hint="eastAsia"/>
                <w:kern w:val="0"/>
                <w:sz w:val="24"/>
                <w:szCs w:val="24"/>
                <w:lang w:val="en-US"/>
              </w:rPr>
              <w:t>A reversal patterns</w:t>
            </w:r>
          </w:p>
        </w:tc>
      </w:tr>
      <w:tr w:rsidR="00121776" w:rsidRPr="00121776" w14:paraId="606AE874" w14:textId="77777777">
        <w:trPr>
          <w:tblCellSpacing w:w="15" w:type="dxa"/>
        </w:trPr>
        <w:tc>
          <w:tcPr>
            <w:tcW w:w="0" w:type="auto"/>
            <w:vAlign w:val="center"/>
            <w:hideMark/>
          </w:tcPr>
          <w:p w14:paraId="5B40CDBB"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CL-B5</w:t>
            </w:r>
          </w:p>
        </w:tc>
        <w:tc>
          <w:tcPr>
            <w:tcW w:w="0" w:type="auto"/>
            <w:vAlign w:val="center"/>
            <w:hideMark/>
          </w:tcPr>
          <w:p w14:paraId="60216BE1"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Definition</w:t>
            </w:r>
          </w:p>
        </w:tc>
        <w:tc>
          <w:tcPr>
            <w:tcW w:w="0" w:type="auto"/>
            <w:vAlign w:val="center"/>
            <w:hideMark/>
          </w:tcPr>
          <w:p w14:paraId="7D34749F" w14:textId="29E19945" w:rsidR="00121776" w:rsidRPr="00121776" w:rsidRDefault="00F35262" w:rsidP="00121776">
            <w:pPr>
              <w:widowControl/>
              <w:spacing w:line="360" w:lineRule="auto"/>
              <w:jc w:val="left"/>
              <w:rPr>
                <w:rFonts w:ascii="Times New Roman" w:eastAsia="宋体" w:hAnsi="Times New Roman" w:cs="宋体"/>
                <w:kern w:val="0"/>
                <w:sz w:val="24"/>
                <w:szCs w:val="24"/>
                <w:lang w:val="en-US"/>
              </w:rPr>
            </w:pPr>
            <w:r w:rsidRPr="00F35262">
              <w:rPr>
                <w:rFonts w:ascii="Times New Roman" w:eastAsia="宋体" w:hAnsi="Times New Roman" w:cs="宋体" w:hint="eastAsia"/>
                <w:kern w:val="0"/>
                <w:sz w:val="24"/>
                <w:szCs w:val="24"/>
                <w:lang w:val="en-US"/>
              </w:rPr>
              <w:t xml:space="preserve">Subject </w:t>
            </w:r>
            <w:r w:rsidRPr="00F35262">
              <w:rPr>
                <w:rFonts w:ascii="Times New Roman" w:eastAsia="宋体" w:hAnsi="Times New Roman" w:cs="宋体" w:hint="eastAsia"/>
                <w:kern w:val="0"/>
                <w:sz w:val="24"/>
                <w:szCs w:val="24"/>
                <w:lang w:val="en-US"/>
              </w:rPr>
              <w:t>–</w:t>
            </w:r>
            <w:r w:rsidRPr="00F35262">
              <w:rPr>
                <w:rFonts w:ascii="Times New Roman" w:eastAsia="宋体" w:hAnsi="Times New Roman" w:cs="宋体" w:hint="eastAsia"/>
                <w:kern w:val="0"/>
                <w:sz w:val="24"/>
                <w:szCs w:val="24"/>
                <w:lang w:val="en-US"/>
              </w:rPr>
              <w:t xml:space="preserve"> Linking Verb </w:t>
            </w:r>
            <w:r w:rsidRPr="00F35262">
              <w:rPr>
                <w:rFonts w:ascii="Times New Roman" w:eastAsia="宋体" w:hAnsi="Times New Roman" w:cs="宋体" w:hint="eastAsia"/>
                <w:kern w:val="0"/>
                <w:sz w:val="24"/>
                <w:szCs w:val="24"/>
                <w:lang w:val="en-US"/>
              </w:rPr>
              <w:t>–</w:t>
            </w:r>
            <w:r w:rsidRPr="00F35262">
              <w:rPr>
                <w:rFonts w:ascii="Times New Roman" w:eastAsia="宋体" w:hAnsi="Times New Roman" w:cs="宋体" w:hint="eastAsia"/>
                <w:kern w:val="0"/>
                <w:sz w:val="24"/>
                <w:szCs w:val="24"/>
                <w:lang w:val="en-US"/>
              </w:rPr>
              <w:t xml:space="preserve"> Predicate Noun/Modifier</w:t>
            </w:r>
          </w:p>
        </w:tc>
      </w:tr>
    </w:tbl>
    <w:p w14:paraId="00648B2D" w14:textId="77777777" w:rsidR="00121776" w:rsidRPr="00121776" w:rsidRDefault="00121776" w:rsidP="00121776">
      <w:pPr>
        <w:widowControl/>
        <w:spacing w:before="100" w:beforeAutospacing="1" w:after="100" w:afterAutospacing="1" w:line="360" w:lineRule="auto"/>
        <w:jc w:val="left"/>
        <w:outlineLvl w:val="3"/>
        <w:rPr>
          <w:rFonts w:ascii="Times New Roman" w:eastAsia="宋体" w:hAnsi="Times New Roman" w:cs="宋体"/>
          <w:b/>
          <w:bCs/>
          <w:color w:val="000000"/>
          <w:kern w:val="0"/>
          <w:sz w:val="24"/>
          <w:szCs w:val="24"/>
          <w:lang w:val="en-US"/>
        </w:rPr>
      </w:pPr>
      <w:r w:rsidRPr="00121776">
        <w:rPr>
          <w:rFonts w:ascii="Times New Roman" w:eastAsia="宋体" w:hAnsi="Times New Roman" w:cs="宋体"/>
          <w:b/>
          <w:bCs/>
          <w:color w:val="000000"/>
          <w:kern w:val="0"/>
          <w:sz w:val="24"/>
          <w:szCs w:val="24"/>
          <w:lang w:val="en-US"/>
        </w:rPr>
        <w:t>3.3.2 Metadiscourse (Hyland 2019)</w:t>
      </w:r>
    </w:p>
    <w:p w14:paraId="2C3BF971"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Interactive resources</w:t>
      </w:r>
      <w:r w:rsidRPr="00121776">
        <w:rPr>
          <w:rFonts w:ascii="Times New Roman" w:eastAsia="宋体" w:hAnsi="Times New Roman" w:cs="宋体"/>
          <w:color w:val="000000"/>
          <w:kern w:val="0"/>
          <w:sz w:val="24"/>
          <w:szCs w:val="24"/>
          <w:lang w:val="en-US"/>
        </w:rPr>
        <w:t xml:space="preserve"> (organizing the discourse for the reader):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555"/>
        <w:gridCol w:w="6016"/>
      </w:tblGrid>
      <w:tr w:rsidR="00121776" w:rsidRPr="00121776" w14:paraId="5618FA66" w14:textId="77777777">
        <w:trPr>
          <w:tblHeader/>
          <w:tblCellSpacing w:w="15" w:type="dxa"/>
        </w:trPr>
        <w:tc>
          <w:tcPr>
            <w:tcW w:w="0" w:type="auto"/>
            <w:vAlign w:val="center"/>
            <w:hideMark/>
          </w:tcPr>
          <w:p w14:paraId="13DD3175"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Code</w:t>
            </w:r>
          </w:p>
        </w:tc>
        <w:tc>
          <w:tcPr>
            <w:tcW w:w="0" w:type="auto"/>
            <w:vAlign w:val="center"/>
            <w:hideMark/>
          </w:tcPr>
          <w:p w14:paraId="27BF095B"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Resource</w:t>
            </w:r>
          </w:p>
        </w:tc>
        <w:tc>
          <w:tcPr>
            <w:tcW w:w="0" w:type="auto"/>
            <w:vAlign w:val="center"/>
            <w:hideMark/>
          </w:tcPr>
          <w:p w14:paraId="66D6B635"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Function</w:t>
            </w:r>
          </w:p>
        </w:tc>
      </w:tr>
      <w:tr w:rsidR="00121776" w:rsidRPr="00121776" w14:paraId="5A959987" w14:textId="77777777">
        <w:trPr>
          <w:tblCellSpacing w:w="15" w:type="dxa"/>
        </w:trPr>
        <w:tc>
          <w:tcPr>
            <w:tcW w:w="0" w:type="auto"/>
            <w:vAlign w:val="center"/>
            <w:hideMark/>
          </w:tcPr>
          <w:p w14:paraId="174B1185"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CL-B6</w:t>
            </w:r>
          </w:p>
        </w:tc>
        <w:tc>
          <w:tcPr>
            <w:tcW w:w="0" w:type="auto"/>
            <w:vAlign w:val="center"/>
            <w:hideMark/>
          </w:tcPr>
          <w:p w14:paraId="35EBD576"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Transition markers</w:t>
            </w:r>
          </w:p>
        </w:tc>
        <w:tc>
          <w:tcPr>
            <w:tcW w:w="0" w:type="auto"/>
            <w:vAlign w:val="center"/>
            <w:hideMark/>
          </w:tcPr>
          <w:p w14:paraId="3368E7E9" w14:textId="6BC26B92" w:rsidR="00121776" w:rsidRPr="00121776" w:rsidRDefault="00F35262" w:rsidP="00121776">
            <w:pPr>
              <w:widowControl/>
              <w:spacing w:line="360" w:lineRule="auto"/>
              <w:jc w:val="left"/>
              <w:rPr>
                <w:rFonts w:ascii="Times New Roman" w:eastAsia="宋体" w:hAnsi="Times New Roman" w:cs="宋体"/>
                <w:kern w:val="0"/>
                <w:sz w:val="24"/>
                <w:szCs w:val="24"/>
                <w:lang w:val="en-US"/>
              </w:rPr>
            </w:pPr>
            <w:r w:rsidRPr="00F35262">
              <w:rPr>
                <w:rFonts w:ascii="Times New Roman" w:eastAsia="宋体" w:hAnsi="Times New Roman" w:cs="宋体" w:hint="eastAsia"/>
                <w:kern w:val="0"/>
                <w:sz w:val="24"/>
                <w:szCs w:val="24"/>
                <w:lang w:val="en-US"/>
              </w:rPr>
              <w:t>Mainly conjunctions and adverbial phrases to signal addition, comparison, or consequence between argumentative steps</w:t>
            </w:r>
          </w:p>
        </w:tc>
      </w:tr>
      <w:tr w:rsidR="00121776" w:rsidRPr="00121776" w14:paraId="058CF7D2" w14:textId="77777777">
        <w:trPr>
          <w:tblCellSpacing w:w="15" w:type="dxa"/>
        </w:trPr>
        <w:tc>
          <w:tcPr>
            <w:tcW w:w="0" w:type="auto"/>
            <w:vAlign w:val="center"/>
            <w:hideMark/>
          </w:tcPr>
          <w:p w14:paraId="382FBF9D"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CL-B7</w:t>
            </w:r>
          </w:p>
        </w:tc>
        <w:tc>
          <w:tcPr>
            <w:tcW w:w="0" w:type="auto"/>
            <w:vAlign w:val="center"/>
            <w:hideMark/>
          </w:tcPr>
          <w:p w14:paraId="1AD6AF46"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Frame markers</w:t>
            </w:r>
          </w:p>
        </w:tc>
        <w:tc>
          <w:tcPr>
            <w:tcW w:w="0" w:type="auto"/>
            <w:vAlign w:val="center"/>
            <w:hideMark/>
          </w:tcPr>
          <w:p w14:paraId="390EBD9D" w14:textId="501A60F7" w:rsidR="00121776" w:rsidRPr="00121776" w:rsidRDefault="00F35262" w:rsidP="00121776">
            <w:pPr>
              <w:widowControl/>
              <w:spacing w:line="360" w:lineRule="auto"/>
              <w:jc w:val="left"/>
              <w:rPr>
                <w:rFonts w:ascii="Times New Roman" w:eastAsia="宋体" w:hAnsi="Times New Roman" w:cs="宋体"/>
                <w:kern w:val="0"/>
                <w:sz w:val="24"/>
                <w:szCs w:val="24"/>
                <w:lang w:val="en-US"/>
              </w:rPr>
            </w:pPr>
            <w:r w:rsidRPr="00F35262">
              <w:rPr>
                <w:rFonts w:ascii="Times New Roman" w:eastAsia="宋体" w:hAnsi="Times New Roman" w:cs="宋体" w:hint="eastAsia"/>
                <w:kern w:val="0"/>
                <w:sz w:val="24"/>
                <w:szCs w:val="24"/>
                <w:lang w:val="en-US"/>
              </w:rPr>
              <w:t>(1) Acting as more explicit additive relations; (2) label text stages; (3) announce discourse goals; (4)indicate topic shifts</w:t>
            </w:r>
          </w:p>
        </w:tc>
      </w:tr>
      <w:tr w:rsidR="00121776" w:rsidRPr="00121776" w14:paraId="5607BEA5" w14:textId="77777777">
        <w:trPr>
          <w:tblCellSpacing w:w="15" w:type="dxa"/>
        </w:trPr>
        <w:tc>
          <w:tcPr>
            <w:tcW w:w="0" w:type="auto"/>
            <w:vAlign w:val="center"/>
            <w:hideMark/>
          </w:tcPr>
          <w:p w14:paraId="0C0BE738"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CL-B8</w:t>
            </w:r>
          </w:p>
        </w:tc>
        <w:tc>
          <w:tcPr>
            <w:tcW w:w="0" w:type="auto"/>
            <w:vAlign w:val="center"/>
            <w:hideMark/>
          </w:tcPr>
          <w:p w14:paraId="3FB1FE19"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Endophoric markers</w:t>
            </w:r>
          </w:p>
        </w:tc>
        <w:tc>
          <w:tcPr>
            <w:tcW w:w="0" w:type="auto"/>
            <w:vAlign w:val="center"/>
            <w:hideMark/>
          </w:tcPr>
          <w:p w14:paraId="2A6DEC1C" w14:textId="076658BB" w:rsidR="00121776" w:rsidRPr="00121776" w:rsidRDefault="00AC72FA" w:rsidP="00121776">
            <w:pPr>
              <w:widowControl/>
              <w:spacing w:line="360" w:lineRule="auto"/>
              <w:jc w:val="left"/>
              <w:rPr>
                <w:rFonts w:ascii="Times New Roman" w:eastAsia="宋体" w:hAnsi="Times New Roman" w:cs="宋体"/>
                <w:kern w:val="0"/>
                <w:sz w:val="24"/>
                <w:szCs w:val="24"/>
                <w:lang w:val="en-US"/>
              </w:rPr>
            </w:pPr>
            <w:r w:rsidRPr="00AC72FA">
              <w:rPr>
                <w:rFonts w:ascii="Times New Roman" w:eastAsia="宋体" w:hAnsi="Times New Roman" w:cs="宋体" w:hint="eastAsia"/>
                <w:kern w:val="0"/>
                <w:sz w:val="24"/>
                <w:szCs w:val="24"/>
                <w:lang w:val="en-US"/>
              </w:rPr>
              <w:t>Expressions which refer to other parts of the text</w:t>
            </w:r>
          </w:p>
        </w:tc>
      </w:tr>
      <w:tr w:rsidR="00121776" w:rsidRPr="00121776" w14:paraId="0B7EBC07" w14:textId="77777777">
        <w:trPr>
          <w:tblCellSpacing w:w="15" w:type="dxa"/>
        </w:trPr>
        <w:tc>
          <w:tcPr>
            <w:tcW w:w="0" w:type="auto"/>
            <w:vAlign w:val="center"/>
            <w:hideMark/>
          </w:tcPr>
          <w:p w14:paraId="02299CEE"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CL-B9</w:t>
            </w:r>
          </w:p>
        </w:tc>
        <w:tc>
          <w:tcPr>
            <w:tcW w:w="0" w:type="auto"/>
            <w:vAlign w:val="center"/>
            <w:hideMark/>
          </w:tcPr>
          <w:p w14:paraId="117619E6"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Evidentials</w:t>
            </w:r>
          </w:p>
        </w:tc>
        <w:tc>
          <w:tcPr>
            <w:tcW w:w="0" w:type="auto"/>
            <w:vAlign w:val="center"/>
            <w:hideMark/>
          </w:tcPr>
          <w:p w14:paraId="7ACC5250" w14:textId="0C16BAB8" w:rsidR="00121776" w:rsidRPr="00121776" w:rsidRDefault="00AC72FA" w:rsidP="00121776">
            <w:pPr>
              <w:widowControl/>
              <w:spacing w:line="360" w:lineRule="auto"/>
              <w:jc w:val="left"/>
              <w:rPr>
                <w:rFonts w:ascii="Times New Roman" w:eastAsia="宋体" w:hAnsi="Times New Roman" w:cs="宋体"/>
                <w:kern w:val="0"/>
                <w:sz w:val="24"/>
                <w:szCs w:val="24"/>
                <w:lang w:val="en-US"/>
              </w:rPr>
            </w:pPr>
            <w:r>
              <w:rPr>
                <w:rFonts w:ascii="Times New Roman" w:eastAsia="宋体" w:hAnsi="Times New Roman" w:cs="宋体" w:hint="eastAsia"/>
                <w:kern w:val="0"/>
                <w:sz w:val="24"/>
                <w:szCs w:val="24"/>
                <w:lang w:val="en-US"/>
              </w:rPr>
              <w:t>I</w:t>
            </w:r>
            <w:r w:rsidR="00121776" w:rsidRPr="00121776">
              <w:rPr>
                <w:rFonts w:ascii="Times New Roman" w:eastAsia="宋体" w:hAnsi="Times New Roman" w:cs="宋体"/>
                <w:kern w:val="0"/>
                <w:sz w:val="24"/>
                <w:szCs w:val="24"/>
                <w:lang w:val="en-US"/>
              </w:rPr>
              <w:t>nvoke external sources of support</w:t>
            </w:r>
          </w:p>
        </w:tc>
      </w:tr>
      <w:tr w:rsidR="00121776" w:rsidRPr="00121776" w14:paraId="108F7812" w14:textId="77777777">
        <w:trPr>
          <w:tblCellSpacing w:w="15" w:type="dxa"/>
        </w:trPr>
        <w:tc>
          <w:tcPr>
            <w:tcW w:w="0" w:type="auto"/>
            <w:vAlign w:val="center"/>
            <w:hideMark/>
          </w:tcPr>
          <w:p w14:paraId="180020DA"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CL-B10</w:t>
            </w:r>
          </w:p>
        </w:tc>
        <w:tc>
          <w:tcPr>
            <w:tcW w:w="0" w:type="auto"/>
            <w:vAlign w:val="center"/>
            <w:hideMark/>
          </w:tcPr>
          <w:p w14:paraId="57F90989"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Code glosses</w:t>
            </w:r>
          </w:p>
        </w:tc>
        <w:tc>
          <w:tcPr>
            <w:tcW w:w="0" w:type="auto"/>
            <w:vAlign w:val="center"/>
            <w:hideMark/>
          </w:tcPr>
          <w:p w14:paraId="07EFAB68" w14:textId="113E70C1" w:rsidR="00121776" w:rsidRPr="00121776" w:rsidRDefault="00AC72FA" w:rsidP="00121776">
            <w:pPr>
              <w:widowControl/>
              <w:spacing w:line="360" w:lineRule="auto"/>
              <w:jc w:val="left"/>
              <w:rPr>
                <w:rFonts w:ascii="Times New Roman" w:eastAsia="宋体" w:hAnsi="Times New Roman" w:cs="宋体"/>
                <w:kern w:val="0"/>
                <w:sz w:val="24"/>
                <w:szCs w:val="24"/>
                <w:lang w:val="en-US"/>
              </w:rPr>
            </w:pPr>
            <w:r w:rsidRPr="00AC72FA">
              <w:rPr>
                <w:rFonts w:ascii="Times New Roman" w:eastAsia="宋体" w:hAnsi="Times New Roman" w:cs="宋体" w:hint="eastAsia"/>
                <w:kern w:val="0"/>
                <w:sz w:val="24"/>
                <w:szCs w:val="24"/>
                <w:lang w:val="en-US"/>
              </w:rPr>
              <w:t>Supply additional information by rephrasing, explaining or elaborating what has been said</w:t>
            </w:r>
          </w:p>
        </w:tc>
      </w:tr>
    </w:tbl>
    <w:p w14:paraId="6AFE025C"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Interactional resources</w:t>
      </w:r>
      <w:r w:rsidRPr="00121776">
        <w:rPr>
          <w:rFonts w:ascii="Times New Roman" w:eastAsia="宋体" w:hAnsi="Times New Roman" w:cs="宋体"/>
          <w:color w:val="000000"/>
          <w:kern w:val="0"/>
          <w:sz w:val="24"/>
          <w:szCs w:val="24"/>
          <w:lang w:val="en-US"/>
        </w:rPr>
        <w:t xml:space="preserve"> (positioning writer and reader):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006"/>
        <w:gridCol w:w="5651"/>
      </w:tblGrid>
      <w:tr w:rsidR="00121776" w:rsidRPr="00121776" w14:paraId="4DD51784" w14:textId="77777777">
        <w:trPr>
          <w:tblHeader/>
          <w:tblCellSpacing w:w="15" w:type="dxa"/>
        </w:trPr>
        <w:tc>
          <w:tcPr>
            <w:tcW w:w="0" w:type="auto"/>
            <w:vAlign w:val="center"/>
            <w:hideMark/>
          </w:tcPr>
          <w:p w14:paraId="2DAD69A0"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lastRenderedPageBreak/>
              <w:t>Code</w:t>
            </w:r>
          </w:p>
        </w:tc>
        <w:tc>
          <w:tcPr>
            <w:tcW w:w="0" w:type="auto"/>
            <w:vAlign w:val="center"/>
            <w:hideMark/>
          </w:tcPr>
          <w:p w14:paraId="70B9EFAC"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Resource</w:t>
            </w:r>
          </w:p>
        </w:tc>
        <w:tc>
          <w:tcPr>
            <w:tcW w:w="0" w:type="auto"/>
            <w:vAlign w:val="center"/>
            <w:hideMark/>
          </w:tcPr>
          <w:p w14:paraId="282C7D71" w14:textId="77777777" w:rsidR="00121776" w:rsidRPr="00121776" w:rsidRDefault="00121776" w:rsidP="00121776">
            <w:pPr>
              <w:widowControl/>
              <w:spacing w:line="360" w:lineRule="auto"/>
              <w:jc w:val="center"/>
              <w:rPr>
                <w:rFonts w:ascii="Times New Roman" w:eastAsia="宋体" w:hAnsi="Times New Roman" w:cs="宋体"/>
                <w:b/>
                <w:bCs/>
                <w:kern w:val="0"/>
                <w:sz w:val="24"/>
                <w:szCs w:val="24"/>
                <w:lang w:val="en-US"/>
              </w:rPr>
            </w:pPr>
            <w:r w:rsidRPr="00121776">
              <w:rPr>
                <w:rFonts w:ascii="Times New Roman" w:eastAsia="宋体" w:hAnsi="Times New Roman" w:cs="宋体"/>
                <w:b/>
                <w:bCs/>
                <w:kern w:val="0"/>
                <w:sz w:val="24"/>
                <w:szCs w:val="24"/>
                <w:lang w:val="en-US"/>
              </w:rPr>
              <w:t>Function</w:t>
            </w:r>
          </w:p>
        </w:tc>
      </w:tr>
      <w:tr w:rsidR="00121776" w:rsidRPr="00121776" w14:paraId="63CCBAF4" w14:textId="77777777">
        <w:trPr>
          <w:tblCellSpacing w:w="15" w:type="dxa"/>
        </w:trPr>
        <w:tc>
          <w:tcPr>
            <w:tcW w:w="0" w:type="auto"/>
            <w:vAlign w:val="center"/>
            <w:hideMark/>
          </w:tcPr>
          <w:p w14:paraId="02F3F707"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CL-B11</w:t>
            </w:r>
          </w:p>
        </w:tc>
        <w:tc>
          <w:tcPr>
            <w:tcW w:w="0" w:type="auto"/>
            <w:vAlign w:val="center"/>
            <w:hideMark/>
          </w:tcPr>
          <w:p w14:paraId="6458736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 xml:space="preserve">Hedges (incorporating Williams's </w:t>
            </w:r>
            <w:r w:rsidRPr="00121776">
              <w:rPr>
                <w:rFonts w:ascii="Times New Roman" w:eastAsia="宋体" w:hAnsi="Times New Roman" w:cs="宋体"/>
                <w:i/>
                <w:iCs/>
                <w:kern w:val="0"/>
                <w:sz w:val="24"/>
                <w:szCs w:val="24"/>
                <w:lang w:val="en-US"/>
              </w:rPr>
              <w:t>qualifier</w:t>
            </w:r>
            <w:r w:rsidRPr="00121776">
              <w:rPr>
                <w:rFonts w:ascii="Times New Roman" w:eastAsia="宋体" w:hAnsi="Times New Roman" w:cs="宋体"/>
                <w:kern w:val="0"/>
                <w:sz w:val="24"/>
                <w:szCs w:val="24"/>
                <w:lang w:val="en-US"/>
              </w:rPr>
              <w:t xml:space="preserve"> and </w:t>
            </w:r>
            <w:r w:rsidRPr="00121776">
              <w:rPr>
                <w:rFonts w:ascii="Times New Roman" w:eastAsia="宋体" w:hAnsi="Times New Roman" w:cs="宋体"/>
                <w:i/>
                <w:iCs/>
                <w:kern w:val="0"/>
                <w:sz w:val="24"/>
                <w:szCs w:val="24"/>
                <w:lang w:val="en-US"/>
              </w:rPr>
              <w:t>rebuttal</w:t>
            </w:r>
            <w:r w:rsidRPr="00121776">
              <w:rPr>
                <w:rFonts w:ascii="Times New Roman" w:eastAsia="宋体" w:hAnsi="Times New Roman" w:cs="宋体"/>
                <w:kern w:val="0"/>
                <w:sz w:val="24"/>
                <w:szCs w:val="24"/>
                <w:lang w:val="en-US"/>
              </w:rPr>
              <w:t>)</w:t>
            </w:r>
          </w:p>
        </w:tc>
        <w:tc>
          <w:tcPr>
            <w:tcW w:w="0" w:type="auto"/>
            <w:vAlign w:val="center"/>
            <w:hideMark/>
          </w:tcPr>
          <w:p w14:paraId="304F0DAF" w14:textId="25DFEB93" w:rsidR="00121776" w:rsidRPr="00121776" w:rsidRDefault="003F122F" w:rsidP="00121776">
            <w:pPr>
              <w:widowControl/>
              <w:spacing w:line="360" w:lineRule="auto"/>
              <w:jc w:val="left"/>
              <w:rPr>
                <w:rFonts w:ascii="Times New Roman" w:eastAsia="宋体" w:hAnsi="Times New Roman" w:cs="宋体"/>
                <w:kern w:val="0"/>
                <w:sz w:val="24"/>
                <w:szCs w:val="24"/>
                <w:lang w:val="en-US"/>
              </w:rPr>
            </w:pPr>
            <w:r w:rsidRPr="003F122F">
              <w:rPr>
                <w:rFonts w:ascii="Times New Roman" w:eastAsia="宋体" w:hAnsi="Times New Roman" w:cs="宋体" w:hint="eastAsia"/>
                <w:kern w:val="0"/>
                <w:sz w:val="24"/>
                <w:szCs w:val="24"/>
                <w:lang w:val="en-US"/>
              </w:rPr>
              <w:t>(1) Mitigate commitment; (2) admit alternative voices</w:t>
            </w:r>
          </w:p>
        </w:tc>
      </w:tr>
      <w:tr w:rsidR="00121776" w:rsidRPr="00121776" w14:paraId="2AA1D243" w14:textId="77777777">
        <w:trPr>
          <w:tblCellSpacing w:w="15" w:type="dxa"/>
        </w:trPr>
        <w:tc>
          <w:tcPr>
            <w:tcW w:w="0" w:type="auto"/>
            <w:vAlign w:val="center"/>
            <w:hideMark/>
          </w:tcPr>
          <w:p w14:paraId="402D0E5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CL-B12</w:t>
            </w:r>
          </w:p>
        </w:tc>
        <w:tc>
          <w:tcPr>
            <w:tcW w:w="0" w:type="auto"/>
            <w:vAlign w:val="center"/>
            <w:hideMark/>
          </w:tcPr>
          <w:p w14:paraId="1B8AED94"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Boosters</w:t>
            </w:r>
          </w:p>
        </w:tc>
        <w:tc>
          <w:tcPr>
            <w:tcW w:w="0" w:type="auto"/>
            <w:vAlign w:val="center"/>
            <w:hideMark/>
          </w:tcPr>
          <w:p w14:paraId="3BC90A6D" w14:textId="645CCA73" w:rsidR="00121776" w:rsidRPr="00121776" w:rsidRDefault="003F122F" w:rsidP="00121776">
            <w:pPr>
              <w:widowControl/>
              <w:spacing w:line="360" w:lineRule="auto"/>
              <w:jc w:val="left"/>
              <w:rPr>
                <w:rFonts w:ascii="Times New Roman" w:eastAsia="宋体" w:hAnsi="Times New Roman" w:cs="宋体"/>
                <w:kern w:val="0"/>
                <w:sz w:val="24"/>
                <w:szCs w:val="24"/>
                <w:lang w:val="en-US"/>
              </w:rPr>
            </w:pPr>
            <w:r w:rsidRPr="003F122F">
              <w:rPr>
                <w:rFonts w:ascii="Times New Roman" w:eastAsia="宋体" w:hAnsi="Times New Roman" w:cs="宋体" w:hint="eastAsia"/>
                <w:kern w:val="0"/>
                <w:sz w:val="24"/>
                <w:szCs w:val="24"/>
                <w:lang w:val="en-US"/>
              </w:rPr>
              <w:t>(1) Close down alternatives; (2) head off conflicting views; (3) express their certainty</w:t>
            </w:r>
          </w:p>
        </w:tc>
      </w:tr>
      <w:tr w:rsidR="00121776" w:rsidRPr="00121776" w14:paraId="389D9C45" w14:textId="77777777">
        <w:trPr>
          <w:tblCellSpacing w:w="15" w:type="dxa"/>
        </w:trPr>
        <w:tc>
          <w:tcPr>
            <w:tcW w:w="0" w:type="auto"/>
            <w:vAlign w:val="center"/>
            <w:hideMark/>
          </w:tcPr>
          <w:p w14:paraId="1D0C25F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CL-B13</w:t>
            </w:r>
          </w:p>
        </w:tc>
        <w:tc>
          <w:tcPr>
            <w:tcW w:w="0" w:type="auto"/>
            <w:vAlign w:val="center"/>
            <w:hideMark/>
          </w:tcPr>
          <w:p w14:paraId="76183A9B"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Attitude markers</w:t>
            </w:r>
          </w:p>
        </w:tc>
        <w:tc>
          <w:tcPr>
            <w:tcW w:w="0" w:type="auto"/>
            <w:vAlign w:val="center"/>
            <w:hideMark/>
          </w:tcPr>
          <w:p w14:paraId="1A8D4505" w14:textId="4C16DFEC" w:rsidR="00121776" w:rsidRPr="00121776" w:rsidRDefault="003F122F" w:rsidP="00121776">
            <w:pPr>
              <w:widowControl/>
              <w:spacing w:line="360" w:lineRule="auto"/>
              <w:jc w:val="left"/>
              <w:rPr>
                <w:rFonts w:ascii="Times New Roman" w:eastAsia="宋体" w:hAnsi="Times New Roman" w:cs="宋体"/>
                <w:kern w:val="0"/>
                <w:sz w:val="24"/>
                <w:szCs w:val="24"/>
                <w:lang w:val="en-US"/>
              </w:rPr>
            </w:pPr>
            <w:r>
              <w:rPr>
                <w:rFonts w:ascii="Times New Roman" w:eastAsia="宋体" w:hAnsi="Times New Roman" w:cs="宋体" w:hint="eastAsia"/>
                <w:kern w:val="0"/>
                <w:sz w:val="24"/>
                <w:szCs w:val="24"/>
                <w:lang w:val="en-US"/>
              </w:rPr>
              <w:t>C</w:t>
            </w:r>
            <w:r w:rsidR="00121776" w:rsidRPr="00121776">
              <w:rPr>
                <w:rFonts w:ascii="Times New Roman" w:eastAsia="宋体" w:hAnsi="Times New Roman" w:cs="宋体"/>
                <w:kern w:val="0"/>
                <w:sz w:val="24"/>
                <w:szCs w:val="24"/>
                <w:lang w:val="en-US"/>
              </w:rPr>
              <w:t>onvey affective stance toward propositions</w:t>
            </w:r>
          </w:p>
        </w:tc>
      </w:tr>
      <w:tr w:rsidR="00121776" w:rsidRPr="00121776" w14:paraId="3914B302" w14:textId="77777777">
        <w:trPr>
          <w:tblCellSpacing w:w="15" w:type="dxa"/>
        </w:trPr>
        <w:tc>
          <w:tcPr>
            <w:tcW w:w="0" w:type="auto"/>
            <w:vAlign w:val="center"/>
            <w:hideMark/>
          </w:tcPr>
          <w:p w14:paraId="1180D989"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CL-B14</w:t>
            </w:r>
          </w:p>
        </w:tc>
        <w:tc>
          <w:tcPr>
            <w:tcW w:w="0" w:type="auto"/>
            <w:vAlign w:val="center"/>
            <w:hideMark/>
          </w:tcPr>
          <w:p w14:paraId="172627C7"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Self-mention</w:t>
            </w:r>
          </w:p>
        </w:tc>
        <w:tc>
          <w:tcPr>
            <w:tcW w:w="0" w:type="auto"/>
            <w:vAlign w:val="center"/>
            <w:hideMark/>
          </w:tcPr>
          <w:p w14:paraId="2DD0A9F4" w14:textId="45865C9A" w:rsidR="00121776" w:rsidRPr="00121776" w:rsidRDefault="003F122F" w:rsidP="00121776">
            <w:pPr>
              <w:widowControl/>
              <w:spacing w:line="360" w:lineRule="auto"/>
              <w:jc w:val="left"/>
              <w:rPr>
                <w:rFonts w:ascii="Times New Roman" w:eastAsia="宋体" w:hAnsi="Times New Roman" w:cs="宋体"/>
                <w:kern w:val="0"/>
                <w:sz w:val="24"/>
                <w:szCs w:val="24"/>
                <w:lang w:val="en-US"/>
              </w:rPr>
            </w:pPr>
            <w:r>
              <w:rPr>
                <w:rFonts w:ascii="Times New Roman" w:eastAsia="宋体" w:hAnsi="Times New Roman" w:cs="宋体" w:hint="eastAsia"/>
                <w:kern w:val="0"/>
                <w:sz w:val="24"/>
                <w:szCs w:val="24"/>
                <w:lang w:val="en-US"/>
              </w:rPr>
              <w:t>M</w:t>
            </w:r>
            <w:r w:rsidR="00121776" w:rsidRPr="00121776">
              <w:rPr>
                <w:rFonts w:ascii="Times New Roman" w:eastAsia="宋体" w:hAnsi="Times New Roman" w:cs="宋体"/>
                <w:kern w:val="0"/>
                <w:sz w:val="24"/>
                <w:szCs w:val="24"/>
                <w:lang w:val="en-US"/>
              </w:rPr>
              <w:t>ark authorial presence</w:t>
            </w:r>
            <w:r w:rsidR="004B15D3">
              <w:rPr>
                <w:rFonts w:ascii="Times New Roman" w:eastAsia="宋体" w:hAnsi="Times New Roman" w:cs="宋体" w:hint="eastAsia"/>
                <w:kern w:val="0"/>
                <w:sz w:val="24"/>
                <w:szCs w:val="24"/>
                <w:lang w:val="en-US"/>
              </w:rPr>
              <w:t xml:space="preserve"> (</w:t>
            </w:r>
            <w:r w:rsidR="004B15D3" w:rsidRPr="004B15D3">
              <w:rPr>
                <w:rFonts w:ascii="Times New Roman" w:eastAsia="宋体" w:hAnsi="Times New Roman" w:cs="宋体" w:hint="eastAsia"/>
                <w:kern w:val="0"/>
                <w:sz w:val="24"/>
                <w:szCs w:val="24"/>
                <w:lang w:val="en-US"/>
              </w:rPr>
              <w:t>first-person pronouns and possessive adjectives</w:t>
            </w:r>
            <w:r w:rsidR="004B15D3">
              <w:rPr>
                <w:rFonts w:ascii="Times New Roman" w:eastAsia="宋体" w:hAnsi="Times New Roman" w:cs="宋体" w:hint="eastAsia"/>
                <w:kern w:val="0"/>
                <w:sz w:val="24"/>
                <w:szCs w:val="24"/>
                <w:lang w:val="en-US"/>
              </w:rPr>
              <w:t xml:space="preserve">, e.g. </w:t>
            </w:r>
            <w:r w:rsidR="004B15D3" w:rsidRPr="004B15D3">
              <w:rPr>
                <w:rFonts w:ascii="Times New Roman" w:eastAsia="宋体" w:hAnsi="Times New Roman" w:cs="宋体" w:hint="eastAsia"/>
                <w:kern w:val="0"/>
                <w:sz w:val="24"/>
                <w:szCs w:val="24"/>
                <w:lang w:val="en-US"/>
              </w:rPr>
              <w:t>I, me, mine, exclusive we, our, ours)</w:t>
            </w:r>
          </w:p>
        </w:tc>
      </w:tr>
      <w:tr w:rsidR="00121776" w:rsidRPr="00121776" w14:paraId="77EC7EE5" w14:textId="77777777">
        <w:trPr>
          <w:tblCellSpacing w:w="15" w:type="dxa"/>
        </w:trPr>
        <w:tc>
          <w:tcPr>
            <w:tcW w:w="0" w:type="auto"/>
            <w:vAlign w:val="center"/>
            <w:hideMark/>
          </w:tcPr>
          <w:p w14:paraId="6A24247F"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b/>
                <w:bCs/>
                <w:kern w:val="0"/>
                <w:sz w:val="24"/>
                <w:szCs w:val="24"/>
                <w:lang w:val="en-US"/>
              </w:rPr>
              <w:t>CL-B15</w:t>
            </w:r>
          </w:p>
        </w:tc>
        <w:tc>
          <w:tcPr>
            <w:tcW w:w="0" w:type="auto"/>
            <w:vAlign w:val="center"/>
            <w:hideMark/>
          </w:tcPr>
          <w:p w14:paraId="07991500" w14:textId="77777777" w:rsidR="00121776" w:rsidRPr="00121776" w:rsidRDefault="00121776" w:rsidP="00121776">
            <w:pPr>
              <w:widowControl/>
              <w:spacing w:line="360" w:lineRule="auto"/>
              <w:jc w:val="left"/>
              <w:rPr>
                <w:rFonts w:ascii="Times New Roman" w:eastAsia="宋体" w:hAnsi="Times New Roman" w:cs="宋体"/>
                <w:kern w:val="0"/>
                <w:sz w:val="24"/>
                <w:szCs w:val="24"/>
                <w:lang w:val="en-US"/>
              </w:rPr>
            </w:pPr>
            <w:r w:rsidRPr="00121776">
              <w:rPr>
                <w:rFonts w:ascii="Times New Roman" w:eastAsia="宋体" w:hAnsi="Times New Roman" w:cs="宋体"/>
                <w:kern w:val="0"/>
                <w:sz w:val="24"/>
                <w:szCs w:val="24"/>
                <w:lang w:val="en-US"/>
              </w:rPr>
              <w:t>Engagement markers</w:t>
            </w:r>
          </w:p>
        </w:tc>
        <w:tc>
          <w:tcPr>
            <w:tcW w:w="0" w:type="auto"/>
            <w:vAlign w:val="center"/>
            <w:hideMark/>
          </w:tcPr>
          <w:p w14:paraId="16C753F4" w14:textId="1570B2BE" w:rsidR="00121776" w:rsidRPr="00121776" w:rsidRDefault="003F122F" w:rsidP="00121776">
            <w:pPr>
              <w:widowControl/>
              <w:spacing w:line="360" w:lineRule="auto"/>
              <w:jc w:val="left"/>
              <w:rPr>
                <w:rFonts w:ascii="Times New Roman" w:eastAsia="宋体" w:hAnsi="Times New Roman" w:cs="宋体"/>
                <w:kern w:val="0"/>
                <w:sz w:val="24"/>
                <w:szCs w:val="24"/>
                <w:lang w:val="en-US"/>
              </w:rPr>
            </w:pPr>
            <w:r>
              <w:rPr>
                <w:rFonts w:ascii="Times New Roman" w:eastAsia="宋体" w:hAnsi="Times New Roman" w:cs="宋体" w:hint="eastAsia"/>
                <w:kern w:val="0"/>
                <w:sz w:val="24"/>
                <w:szCs w:val="24"/>
                <w:lang w:val="en-US"/>
              </w:rPr>
              <w:t>A</w:t>
            </w:r>
            <w:r w:rsidR="00121776" w:rsidRPr="00121776">
              <w:rPr>
                <w:rFonts w:ascii="Times New Roman" w:eastAsia="宋体" w:hAnsi="Times New Roman" w:cs="宋体"/>
                <w:kern w:val="0"/>
                <w:sz w:val="24"/>
                <w:szCs w:val="24"/>
                <w:lang w:val="en-US"/>
              </w:rPr>
              <w:t>ddress readers directly as discourse participants</w:t>
            </w:r>
            <w:r w:rsidR="004B15D3">
              <w:rPr>
                <w:rFonts w:ascii="Times New Roman" w:eastAsia="宋体" w:hAnsi="Times New Roman" w:cs="宋体" w:hint="eastAsia"/>
                <w:kern w:val="0"/>
                <w:sz w:val="24"/>
                <w:szCs w:val="24"/>
                <w:lang w:val="en-US"/>
              </w:rPr>
              <w:t xml:space="preserve"> </w:t>
            </w:r>
            <w:r w:rsidR="004B15D3" w:rsidRPr="004B15D3">
              <w:rPr>
                <w:rFonts w:ascii="Times New Roman" w:eastAsia="宋体" w:hAnsi="Times New Roman" w:cs="宋体" w:hint="eastAsia"/>
                <w:kern w:val="0"/>
                <w:sz w:val="24"/>
                <w:szCs w:val="24"/>
                <w:lang w:val="en-US"/>
              </w:rPr>
              <w:t>(1) addressing them as participants in an argument with reader pronouns (you, your, inclusive we) and interjections (by the way, you may notice); (2) pulling readers into the discourse at critical points through questions, directives (mainly imperatives such as see, note and consider and obligation modals such as should, must, have to, etc.)</w:t>
            </w:r>
          </w:p>
        </w:tc>
      </w:tr>
    </w:tbl>
    <w:p w14:paraId="46CD0D6E" w14:textId="77777777" w:rsidR="00121776" w:rsidRPr="00121776" w:rsidRDefault="00000000" w:rsidP="00121776">
      <w:pPr>
        <w:widowControl/>
        <w:spacing w:line="360" w:lineRule="auto"/>
        <w:jc w:val="left"/>
        <w:rPr>
          <w:rFonts w:ascii="Times New Roman" w:eastAsia="宋体" w:hAnsi="Times New Roman" w:cs="宋体"/>
          <w:color w:val="000000"/>
          <w:kern w:val="0"/>
          <w:sz w:val="24"/>
          <w:szCs w:val="24"/>
          <w:lang w:val="en-US"/>
        </w:rPr>
      </w:pPr>
      <w:r>
        <w:rPr>
          <w:rFonts w:ascii="Times New Roman" w:eastAsia="宋体" w:hAnsi="Times New Roman" w:cs="宋体"/>
          <w:color w:val="000000"/>
          <w:kern w:val="0"/>
          <w:sz w:val="24"/>
          <w:szCs w:val="24"/>
          <w:lang w:val="en-US"/>
        </w:rPr>
        <w:pict w14:anchorId="7C60E1A5">
          <v:rect id="_x0000_i1026" style="width:0;height:1.5pt" o:hralign="center" o:hrstd="t" o:hr="t" fillcolor="#a0a0a0" stroked="f"/>
        </w:pict>
      </w:r>
    </w:p>
    <w:p w14:paraId="23D58B16"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 Scoring Mechanism</w:t>
      </w:r>
    </w:p>
    <w:p w14:paraId="524598FE"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4.1 Rationale for a Dimension-Bound Binary Severity System</w:t>
      </w:r>
    </w:p>
    <w:p w14:paraId="530B257C"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 xml:space="preserve">The MQM framework specifies three default severity levels — minor, major, and critical (Lommel, Burchardt and Uszkoreit 2014). Although theoretically appealing, this tripartite distinction has proven operationally unstable in practice: the boundary between </w:t>
      </w:r>
      <w:r w:rsidRPr="00A16BC0">
        <w:rPr>
          <w:rFonts w:ascii="Times New Roman" w:eastAsia="宋体" w:hAnsi="Times New Roman" w:cs="宋体"/>
          <w:i/>
          <w:iCs/>
          <w:color w:val="000000"/>
          <w:kern w:val="0"/>
          <w:sz w:val="24"/>
          <w:szCs w:val="24"/>
          <w:lang w:val="en-US"/>
        </w:rPr>
        <w:t>major</w:t>
      </w:r>
      <w:r w:rsidRPr="00A16BC0">
        <w:rPr>
          <w:rFonts w:ascii="Times New Roman" w:eastAsia="宋体" w:hAnsi="Times New Roman" w:cs="宋体"/>
          <w:color w:val="000000"/>
          <w:kern w:val="0"/>
          <w:sz w:val="24"/>
          <w:szCs w:val="24"/>
          <w:lang w:val="en-US"/>
        </w:rPr>
        <w:t xml:space="preserve"> and </w:t>
      </w:r>
      <w:r w:rsidRPr="00A16BC0">
        <w:rPr>
          <w:rFonts w:ascii="Times New Roman" w:eastAsia="宋体" w:hAnsi="Times New Roman" w:cs="宋体"/>
          <w:i/>
          <w:iCs/>
          <w:color w:val="000000"/>
          <w:kern w:val="0"/>
          <w:sz w:val="24"/>
          <w:szCs w:val="24"/>
          <w:lang w:val="en-US"/>
        </w:rPr>
        <w:t>critical</w:t>
      </w:r>
      <w:r w:rsidRPr="00A16BC0">
        <w:rPr>
          <w:rFonts w:ascii="Times New Roman" w:eastAsia="宋体" w:hAnsi="Times New Roman" w:cs="宋体"/>
          <w:color w:val="000000"/>
          <w:kern w:val="0"/>
          <w:sz w:val="24"/>
          <w:szCs w:val="24"/>
          <w:lang w:val="en-US"/>
        </w:rPr>
        <w:t xml:space="preserve"> errors rests on the judgment of whether a text remains "fit for purpose," a criterion that is intrinsically gradient rather than categorical and that depresses inter-coder agreement. To enhance reliability while preserving the </w:t>
      </w:r>
      <w:r w:rsidRPr="00A16BC0">
        <w:rPr>
          <w:rFonts w:ascii="Times New Roman" w:eastAsia="宋体" w:hAnsi="Times New Roman" w:cs="宋体"/>
          <w:color w:val="000000"/>
          <w:kern w:val="0"/>
          <w:sz w:val="24"/>
          <w:szCs w:val="24"/>
          <w:lang w:val="en-US"/>
        </w:rPr>
        <w:lastRenderedPageBreak/>
        <w:t xml:space="preserve">theoretical insight that the two dimensions of concept translation carry asymmetric weight in social scientific discourse, the CB-TQA framework adopts a </w:t>
      </w:r>
      <w:r w:rsidRPr="00A16BC0">
        <w:rPr>
          <w:rFonts w:ascii="Times New Roman" w:eastAsia="宋体" w:hAnsi="Times New Roman" w:cs="宋体"/>
          <w:b/>
          <w:bCs/>
          <w:color w:val="000000"/>
          <w:kern w:val="0"/>
          <w:sz w:val="24"/>
          <w:szCs w:val="24"/>
          <w:lang w:val="en-US"/>
        </w:rPr>
        <w:t>dimension-bound binary severity system</w:t>
      </w:r>
      <w:r w:rsidRPr="00A16BC0">
        <w:rPr>
          <w:rFonts w:ascii="Times New Roman" w:eastAsia="宋体" w:hAnsi="Times New Roman" w:cs="宋体"/>
          <w:color w:val="000000"/>
          <w:kern w:val="0"/>
          <w:sz w:val="24"/>
          <w:szCs w:val="24"/>
          <w:lang w:val="en-US"/>
        </w:rPr>
        <w:t>:</w:t>
      </w:r>
    </w:p>
    <w:p w14:paraId="6DA9DE63" w14:textId="77777777" w:rsidR="00A16BC0" w:rsidRPr="00A16BC0" w:rsidRDefault="00A16BC0" w:rsidP="00A16BC0">
      <w:pPr>
        <w:widowControl/>
        <w:numPr>
          <w:ilvl w:val="0"/>
          <w:numId w:val="3"/>
        </w:numPr>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 xml:space="preserve">All errors identified under the </w:t>
      </w:r>
      <w:r w:rsidRPr="00A16BC0">
        <w:rPr>
          <w:rFonts w:ascii="Times New Roman" w:eastAsia="宋体" w:hAnsi="Times New Roman" w:cs="宋体"/>
          <w:b/>
          <w:bCs/>
          <w:color w:val="000000"/>
          <w:kern w:val="0"/>
          <w:sz w:val="24"/>
          <w:szCs w:val="24"/>
          <w:lang w:val="en-US"/>
        </w:rPr>
        <w:t>Concept Representation</w:t>
      </w:r>
      <w:r w:rsidRPr="00A16BC0">
        <w:rPr>
          <w:rFonts w:ascii="Times New Roman" w:eastAsia="宋体" w:hAnsi="Times New Roman" w:cs="宋体"/>
          <w:color w:val="000000"/>
          <w:kern w:val="0"/>
          <w:sz w:val="24"/>
          <w:szCs w:val="24"/>
          <w:lang w:val="en-US"/>
        </w:rPr>
        <w:t xml:space="preserve"> dimension are classified as </w:t>
      </w:r>
      <w:r w:rsidRPr="00A16BC0">
        <w:rPr>
          <w:rFonts w:ascii="Times New Roman" w:eastAsia="宋体" w:hAnsi="Times New Roman" w:cs="宋体"/>
          <w:b/>
          <w:bCs/>
          <w:color w:val="000000"/>
          <w:kern w:val="0"/>
          <w:sz w:val="24"/>
          <w:szCs w:val="24"/>
          <w:lang w:val="en-US"/>
        </w:rPr>
        <w:t>minor</w:t>
      </w:r>
      <w:r w:rsidRPr="00A16BC0">
        <w:rPr>
          <w:rFonts w:ascii="Times New Roman" w:eastAsia="宋体" w:hAnsi="Times New Roman" w:cs="宋体"/>
          <w:color w:val="000000"/>
          <w:kern w:val="0"/>
          <w:sz w:val="24"/>
          <w:szCs w:val="24"/>
          <w:lang w:val="en-US"/>
        </w:rPr>
        <w:t xml:space="preserve"> (severity multiplier = 1).</w:t>
      </w:r>
    </w:p>
    <w:p w14:paraId="28C55BBA" w14:textId="77777777" w:rsidR="00A16BC0" w:rsidRPr="00A16BC0" w:rsidRDefault="00A16BC0" w:rsidP="00A16BC0">
      <w:pPr>
        <w:widowControl/>
        <w:numPr>
          <w:ilvl w:val="0"/>
          <w:numId w:val="3"/>
        </w:numPr>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 xml:space="preserve">All errors identified under the </w:t>
      </w:r>
      <w:r w:rsidRPr="00A16BC0">
        <w:rPr>
          <w:rFonts w:ascii="Times New Roman" w:eastAsia="宋体" w:hAnsi="Times New Roman" w:cs="宋体"/>
          <w:b/>
          <w:bCs/>
          <w:color w:val="000000"/>
          <w:kern w:val="0"/>
          <w:sz w:val="24"/>
          <w:szCs w:val="24"/>
          <w:lang w:val="en-US"/>
        </w:rPr>
        <w:t>Concept Logic</w:t>
      </w:r>
      <w:r w:rsidRPr="00A16BC0">
        <w:rPr>
          <w:rFonts w:ascii="Times New Roman" w:eastAsia="宋体" w:hAnsi="Times New Roman" w:cs="宋体"/>
          <w:color w:val="000000"/>
          <w:kern w:val="0"/>
          <w:sz w:val="24"/>
          <w:szCs w:val="24"/>
          <w:lang w:val="en-US"/>
        </w:rPr>
        <w:t xml:space="preserve"> dimension are classified as </w:t>
      </w:r>
      <w:r w:rsidRPr="00A16BC0">
        <w:rPr>
          <w:rFonts w:ascii="Times New Roman" w:eastAsia="宋体" w:hAnsi="Times New Roman" w:cs="宋体"/>
          <w:b/>
          <w:bCs/>
          <w:color w:val="000000"/>
          <w:kern w:val="0"/>
          <w:sz w:val="24"/>
          <w:szCs w:val="24"/>
          <w:lang w:val="en-US"/>
        </w:rPr>
        <w:t>major</w:t>
      </w:r>
      <w:r w:rsidRPr="00A16BC0">
        <w:rPr>
          <w:rFonts w:ascii="Times New Roman" w:eastAsia="宋体" w:hAnsi="Times New Roman" w:cs="宋体"/>
          <w:color w:val="000000"/>
          <w:kern w:val="0"/>
          <w:sz w:val="24"/>
          <w:szCs w:val="24"/>
          <w:lang w:val="en-US"/>
        </w:rPr>
        <w:t xml:space="preserve"> (severity multiplier = 5).</w:t>
      </w:r>
    </w:p>
    <w:p w14:paraId="365CA771"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This binding operationalizes Williams's (2004: 22–23) claim that argument constitutes "the essential elements of a text's message" in reasoned discourse: designation errors typically remain recoverable through co-text and reader inference, whereas argument errors distort the conceptual relations that constitute the knowledge claim itself. The severity multipliers (1 and 5) follow the MQM defaults derived from the LISA QA Model and are retained to ensure comparability with the wider TQA literature.</w:t>
      </w:r>
    </w:p>
    <w:p w14:paraId="1B906EB9"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4.2 Core Formula</w:t>
      </w:r>
    </w:p>
    <w:p w14:paraId="0EF46C6D"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The overall translation quality score is calculated as follows:</w:t>
      </w:r>
    </w:p>
    <w:p w14:paraId="3366422F" w14:textId="77777777" w:rsidR="00900C67" w:rsidRPr="00522B76" w:rsidRDefault="00900C67" w:rsidP="00900C67">
      <w:pPr>
        <w:spacing w:line="360" w:lineRule="auto"/>
        <w:rPr>
          <w:rFonts w:ascii="Arial" w:eastAsia="宋体" w:hAnsi="Arial"/>
          <w:sz w:val="24"/>
        </w:rPr>
      </w:pPr>
      <m:oMathPara>
        <m:oMath>
          <m:r>
            <w:rPr>
              <w:rFonts w:ascii="Cambria Math" w:eastAsia="宋体" w:hAnsi="Cambria Math" w:hint="eastAsia"/>
              <w:sz w:val="24"/>
            </w:rPr>
            <m:t xml:space="preserve">TQ = 100 </m:t>
          </m:r>
          <m:r>
            <w:rPr>
              <w:rFonts w:ascii="Cambria Math" w:eastAsia="宋体" w:hAnsi="Cambria Math" w:cs="Cambria Math"/>
              <w:sz w:val="24"/>
            </w:rPr>
            <m:t>-</m:t>
          </m:r>
          <m:r>
            <w:rPr>
              <w:rFonts w:ascii="Cambria Math" w:eastAsia="宋体" w:hAnsi="Cambria Math" w:hint="eastAsia"/>
              <w:sz w:val="24"/>
            </w:rPr>
            <m:t xml:space="preserve">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CR</m:t>
                  </m:r>
                </m:sub>
              </m:sSub>
              <m:r>
                <w:rPr>
                  <w:rFonts w:ascii="Cambria Math" w:eastAsia="宋体" w:hAnsi="Cambria Math" w:hint="eastAsia"/>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CL</m:t>
                  </m:r>
                </m:sub>
              </m:sSub>
            </m:e>
          </m:d>
          <m:r>
            <w:rPr>
              <w:rFonts w:ascii="Cambria Math" w:eastAsia="宋体" w:hAnsi="Cambria Math" w:hint="eastAsia"/>
              <w:sz w:val="24"/>
            </w:rPr>
            <m:t>×</m:t>
          </m:r>
          <m:r>
            <w:rPr>
              <w:rFonts w:ascii="Cambria Math" w:eastAsia="宋体" w:hAnsi="Cambria Math" w:hint="eastAsia"/>
              <w:sz w:val="24"/>
            </w:rPr>
            <m:t xml:space="preserve"> 100</m:t>
          </m:r>
        </m:oMath>
      </m:oMathPara>
    </w:p>
    <w:p w14:paraId="634B9F22" w14:textId="2EEF9D5F" w:rsidR="00121776" w:rsidRDefault="00121776" w:rsidP="00121776">
      <w:pPr>
        <w:widowControl/>
        <w:spacing w:line="360" w:lineRule="auto"/>
        <w:jc w:val="left"/>
        <w:rPr>
          <w:rFonts w:ascii="Times New Roman" w:eastAsia="宋体" w:hAnsi="Times New Roman" w:cs="宋体"/>
          <w:color w:val="000000"/>
          <w:kern w:val="0"/>
          <w:sz w:val="24"/>
          <w:szCs w:val="24"/>
          <w:lang w:val="en-US"/>
        </w:rPr>
      </w:pPr>
    </w:p>
    <w:p w14:paraId="776BCBFD"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where the penalty values for each dimension are:</w:t>
      </w:r>
    </w:p>
    <w:p w14:paraId="0933D9C4" w14:textId="77777777" w:rsidR="00900C67" w:rsidRPr="00522B76" w:rsidRDefault="00900C67" w:rsidP="00900C67">
      <w:pPr>
        <w:spacing w:line="360" w:lineRule="auto"/>
        <w:rPr>
          <w:rFonts w:ascii="Arial" w:eastAsia="宋体" w:hAnsi="Arial"/>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CR</m:t>
              </m:r>
            </m:sub>
          </m:sSub>
          <m:r>
            <w:rPr>
              <w:rFonts w:ascii="Cambria Math" w:eastAsia="宋体" w:hAnsi="Cambria Math" w:hint="eastAsia"/>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hint="eastAsia"/>
                      <w:sz w:val="24"/>
                    </w:rPr>
                    <m:t>n</m:t>
                  </m:r>
                </m:e>
                <m:sub>
                  <m:r>
                    <w:rPr>
                      <w:rFonts w:ascii="Cambria Math" w:eastAsia="宋体" w:hAnsi="Cambria Math" w:hint="eastAsia"/>
                      <w:sz w:val="24"/>
                    </w:rPr>
                    <m:t>CR</m:t>
                  </m:r>
                </m:sub>
              </m:sSub>
              <m:r>
                <w:rPr>
                  <w:rFonts w:ascii="Cambria Math" w:eastAsia="宋体" w:hAnsi="Cambria Math" w:hint="eastAsia"/>
                  <w:sz w:val="24"/>
                </w:rPr>
                <m:t>×</m:t>
              </m:r>
              <m:r>
                <w:rPr>
                  <w:rFonts w:ascii="Cambria Math" w:eastAsia="宋体" w:hAnsi="Cambria Math" w:hint="eastAsia"/>
                  <w:sz w:val="24"/>
                </w:rPr>
                <m:t xml:space="preserve"> 1</m:t>
              </m:r>
            </m:num>
            <m:den>
              <m:r>
                <w:rPr>
                  <w:rFonts w:ascii="Cambria Math" w:eastAsia="宋体" w:hAnsi="Cambria Math" w:hint="eastAsia"/>
                  <w:sz w:val="24"/>
                </w:rPr>
                <m:t>W</m:t>
              </m:r>
            </m:den>
          </m:f>
        </m:oMath>
      </m:oMathPara>
    </w:p>
    <w:p w14:paraId="0A444E71" w14:textId="77777777" w:rsidR="00900C67" w:rsidRPr="00522B76" w:rsidRDefault="00900C67" w:rsidP="00900C67">
      <w:pPr>
        <w:spacing w:line="360" w:lineRule="auto"/>
        <w:rPr>
          <w:rFonts w:ascii="Arial" w:eastAsia="宋体" w:hAnsi="Arial"/>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CL</m:t>
              </m:r>
            </m:sub>
          </m:sSub>
          <m:r>
            <w:rPr>
              <w:rFonts w:ascii="Cambria Math" w:eastAsia="宋体" w:hAnsi="Cambria Math" w:hint="eastAsia"/>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hint="eastAsia"/>
                      <w:sz w:val="24"/>
                    </w:rPr>
                    <m:t>n</m:t>
                  </m:r>
                </m:e>
                <m:sub>
                  <m:r>
                    <w:rPr>
                      <w:rFonts w:ascii="Cambria Math" w:eastAsia="宋体" w:hAnsi="Cambria Math" w:hint="eastAsia"/>
                      <w:sz w:val="24"/>
                    </w:rPr>
                    <m:t>C</m:t>
                  </m:r>
                  <m:r>
                    <w:rPr>
                      <w:rFonts w:ascii="Cambria Math" w:eastAsia="宋体" w:hAnsi="Cambria Math"/>
                      <w:sz w:val="24"/>
                    </w:rPr>
                    <m:t>L</m:t>
                  </m:r>
                </m:sub>
              </m:sSub>
              <m:r>
                <w:rPr>
                  <w:rFonts w:ascii="Cambria Math" w:eastAsia="宋体" w:hAnsi="Cambria Math" w:hint="eastAsia"/>
                  <w:sz w:val="24"/>
                </w:rPr>
                <m:t>×</m:t>
              </m:r>
              <m:r>
                <w:rPr>
                  <w:rFonts w:ascii="Cambria Math" w:eastAsia="宋体" w:hAnsi="Cambria Math" w:hint="eastAsia"/>
                  <w:sz w:val="24"/>
                </w:rPr>
                <m:t xml:space="preserve"> 5</m:t>
              </m:r>
            </m:num>
            <m:den>
              <m:r>
                <w:rPr>
                  <w:rFonts w:ascii="Cambria Math" w:eastAsia="宋体" w:hAnsi="Cambria Math" w:hint="eastAsia"/>
                  <w:sz w:val="24"/>
                </w:rPr>
                <m:t>W</m:t>
              </m:r>
            </m:den>
          </m:f>
        </m:oMath>
      </m:oMathPara>
    </w:p>
    <w:p w14:paraId="7ECBABA4" w14:textId="67073ADC"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0809C8EF" w14:textId="229A9FFA" w:rsidR="00A16BC0" w:rsidRPr="00A16BC0" w:rsidRDefault="00900C67" w:rsidP="00A16BC0">
      <w:pPr>
        <w:widowControl/>
        <w:spacing w:line="360" w:lineRule="auto"/>
        <w:jc w:val="left"/>
        <w:rPr>
          <w:rFonts w:ascii="Times New Roman" w:eastAsia="宋体" w:hAnsi="Times New Roman" w:cs="宋体"/>
          <w:color w:val="000000"/>
          <w:kern w:val="0"/>
          <w:sz w:val="24"/>
          <w:szCs w:val="24"/>
          <w:lang w:val="en-US"/>
        </w:rPr>
      </w:pPr>
      <m:oMath>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hint="eastAsia"/>
                <w:sz w:val="24"/>
              </w:rPr>
              <m:t>CR</m:t>
            </m:r>
          </m:sub>
        </m:sSub>
      </m:oMath>
      <w:r w:rsidR="00A16BC0" w:rsidRPr="00A16BC0">
        <w:rPr>
          <w:rFonts w:ascii="Times New Roman" w:eastAsia="宋体" w:hAnsi="Times New Roman" w:cs="宋体"/>
          <w:color w:val="000000"/>
          <w:kern w:val="0"/>
          <w:sz w:val="24"/>
          <w:szCs w:val="24"/>
          <w:lang w:val="en-US"/>
        </w:rPr>
        <w:t xml:space="preserve"> denotes the total number of errors recorded across the </w:t>
      </w:r>
      <w:r w:rsidR="00F83365">
        <w:rPr>
          <w:rFonts w:ascii="Times New Roman" w:eastAsia="宋体" w:hAnsi="Times New Roman" w:cs="宋体" w:hint="eastAsia"/>
          <w:color w:val="000000"/>
          <w:kern w:val="0"/>
          <w:sz w:val="24"/>
          <w:szCs w:val="24"/>
          <w:lang w:val="en-US"/>
        </w:rPr>
        <w:t>7</w:t>
      </w:r>
      <w:r w:rsidR="00A16BC0" w:rsidRPr="00A16BC0">
        <w:rPr>
          <w:rFonts w:ascii="Times New Roman" w:eastAsia="宋体" w:hAnsi="Times New Roman" w:cs="宋体"/>
          <w:color w:val="000000"/>
          <w:kern w:val="0"/>
          <w:sz w:val="24"/>
          <w:szCs w:val="24"/>
          <w:lang w:val="en-US"/>
        </w:rPr>
        <w:t xml:space="preserve"> CR sub-parameters; </w:t>
      </w:r>
      <m:oMath>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hint="eastAsia"/>
                <w:sz w:val="24"/>
              </w:rPr>
              <m:t>C</m:t>
            </m:r>
            <m:r>
              <w:rPr>
                <w:rFonts w:ascii="Cambria Math" w:eastAsia="宋体" w:hAnsi="Cambria Math"/>
                <w:sz w:val="24"/>
              </w:rPr>
              <m:t>L</m:t>
            </m:r>
          </m:sub>
        </m:sSub>
      </m:oMath>
      <w:r w:rsidR="00A16BC0" w:rsidRPr="00A16BC0">
        <w:rPr>
          <w:rFonts w:ascii="Times New Roman" w:eastAsia="宋体" w:hAnsi="Times New Roman" w:cs="宋体"/>
          <w:color w:val="000000"/>
          <w:kern w:val="0"/>
          <w:sz w:val="24"/>
          <w:szCs w:val="24"/>
          <w:lang w:val="en-US"/>
        </w:rPr>
        <w:t xml:space="preserve"> denotes the total number of errors recorded across the </w:t>
      </w:r>
      <w:r w:rsidR="00F83365">
        <w:rPr>
          <w:rFonts w:ascii="Times New Roman" w:eastAsia="宋体" w:hAnsi="Times New Roman" w:cs="宋体" w:hint="eastAsia"/>
          <w:color w:val="000000"/>
          <w:kern w:val="0"/>
          <w:sz w:val="24"/>
          <w:szCs w:val="24"/>
          <w:lang w:val="en-US"/>
        </w:rPr>
        <w:t>19</w:t>
      </w:r>
      <w:r w:rsidR="00A16BC0" w:rsidRPr="00A16BC0">
        <w:rPr>
          <w:rFonts w:ascii="Times New Roman" w:eastAsia="宋体" w:hAnsi="Times New Roman" w:cs="宋体"/>
          <w:color w:val="000000"/>
          <w:kern w:val="0"/>
          <w:sz w:val="24"/>
          <w:szCs w:val="24"/>
          <w:lang w:val="en-US"/>
        </w:rPr>
        <w:t xml:space="preserve"> CL sub-parameters.</w:t>
      </w:r>
    </w:p>
    <w:p w14:paraId="4BADC6A7"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4.3 Error Identification Criteria — Concept Representation (CR, minor, ×1)</w:t>
      </w:r>
    </w:p>
    <w:p w14:paraId="64AADAF1"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An error is recorded under each CR sub-parameter when the target text exhibits the following deviation from the source. All such errors carry a uniform severity multiplier of 1, reflecting the recoverability of designation-level deviations through co-text.</w:t>
      </w:r>
    </w:p>
    <w:tbl>
      <w:tblPr>
        <w:tblStyle w:val="af3"/>
        <w:tblW w:w="0" w:type="auto"/>
        <w:tblLook w:val="04A0" w:firstRow="1" w:lastRow="0" w:firstColumn="1" w:lastColumn="0" w:noHBand="0" w:noVBand="1"/>
      </w:tblPr>
      <w:tblGrid>
        <w:gridCol w:w="750"/>
        <w:gridCol w:w="2829"/>
        <w:gridCol w:w="2407"/>
        <w:gridCol w:w="2310"/>
      </w:tblGrid>
      <w:tr w:rsidR="00900C67" w:rsidRPr="00900C67" w14:paraId="09E06C83" w14:textId="77777777" w:rsidTr="00900C67">
        <w:trPr>
          <w:trHeight w:val="360"/>
        </w:trPr>
        <w:tc>
          <w:tcPr>
            <w:tcW w:w="750" w:type="dxa"/>
            <w:hideMark/>
          </w:tcPr>
          <w:p w14:paraId="4B18273D" w14:textId="77777777" w:rsidR="00900C67" w:rsidRPr="00900C67" w:rsidRDefault="00900C67" w:rsidP="00900C67">
            <w:pPr>
              <w:widowControl/>
              <w:spacing w:line="360" w:lineRule="auto"/>
              <w:jc w:val="left"/>
              <w:rPr>
                <w:rFonts w:ascii="Times New Roman" w:eastAsia="宋体" w:hAnsi="Times New Roman" w:cs="宋体"/>
                <w:b/>
                <w:bCs/>
                <w:color w:val="000000"/>
                <w:kern w:val="0"/>
                <w:sz w:val="24"/>
                <w:szCs w:val="24"/>
                <w:lang w:val="en-US"/>
              </w:rPr>
            </w:pPr>
            <w:r w:rsidRPr="00900C67">
              <w:rPr>
                <w:rFonts w:ascii="Times New Roman" w:eastAsia="宋体" w:hAnsi="Times New Roman" w:cs="宋体"/>
                <w:b/>
                <w:bCs/>
                <w:color w:val="000000"/>
                <w:kern w:val="0"/>
                <w:sz w:val="24"/>
                <w:szCs w:val="24"/>
              </w:rPr>
              <w:t>Code</w:t>
            </w:r>
          </w:p>
        </w:tc>
        <w:tc>
          <w:tcPr>
            <w:tcW w:w="2829" w:type="dxa"/>
            <w:hideMark/>
          </w:tcPr>
          <w:p w14:paraId="78A62493" w14:textId="77777777" w:rsidR="00900C67" w:rsidRPr="00900C67" w:rsidRDefault="00900C67" w:rsidP="00900C67">
            <w:pPr>
              <w:widowControl/>
              <w:spacing w:line="360" w:lineRule="auto"/>
              <w:jc w:val="left"/>
              <w:rPr>
                <w:rFonts w:ascii="Times New Roman" w:eastAsia="宋体" w:hAnsi="Times New Roman" w:cs="宋体"/>
                <w:b/>
                <w:bCs/>
                <w:color w:val="000000"/>
                <w:kern w:val="0"/>
                <w:sz w:val="24"/>
                <w:szCs w:val="24"/>
              </w:rPr>
            </w:pPr>
            <w:r w:rsidRPr="00900C67">
              <w:rPr>
                <w:rFonts w:ascii="Times New Roman" w:eastAsia="宋体" w:hAnsi="Times New Roman" w:cs="宋体"/>
                <w:b/>
                <w:bCs/>
                <w:color w:val="000000"/>
                <w:kern w:val="0"/>
                <w:sz w:val="24"/>
                <w:szCs w:val="24"/>
              </w:rPr>
              <w:t>Sub-parameter</w:t>
            </w:r>
          </w:p>
        </w:tc>
        <w:tc>
          <w:tcPr>
            <w:tcW w:w="2407" w:type="dxa"/>
            <w:hideMark/>
          </w:tcPr>
          <w:p w14:paraId="18D61E4E" w14:textId="77777777" w:rsidR="00900C67" w:rsidRPr="00900C67" w:rsidRDefault="00900C67" w:rsidP="00900C67">
            <w:pPr>
              <w:widowControl/>
              <w:spacing w:line="360" w:lineRule="auto"/>
              <w:jc w:val="left"/>
              <w:rPr>
                <w:rFonts w:ascii="Times New Roman" w:eastAsia="宋体" w:hAnsi="Times New Roman" w:cs="宋体"/>
                <w:b/>
                <w:bCs/>
                <w:color w:val="000000"/>
                <w:kern w:val="0"/>
                <w:sz w:val="24"/>
                <w:szCs w:val="24"/>
              </w:rPr>
            </w:pPr>
            <w:r w:rsidRPr="00900C67">
              <w:rPr>
                <w:rFonts w:ascii="Times New Roman" w:eastAsia="宋体" w:hAnsi="Times New Roman" w:cs="宋体"/>
                <w:b/>
                <w:bCs/>
                <w:color w:val="000000"/>
                <w:kern w:val="0"/>
                <w:sz w:val="24"/>
                <w:szCs w:val="24"/>
              </w:rPr>
              <w:t>Realization/Function</w:t>
            </w:r>
          </w:p>
        </w:tc>
        <w:tc>
          <w:tcPr>
            <w:tcW w:w="2310" w:type="dxa"/>
            <w:hideMark/>
          </w:tcPr>
          <w:p w14:paraId="69555666" w14:textId="77777777" w:rsidR="00900C67" w:rsidRPr="00900C67" w:rsidRDefault="00900C67" w:rsidP="00900C67">
            <w:pPr>
              <w:widowControl/>
              <w:spacing w:line="360" w:lineRule="auto"/>
              <w:jc w:val="left"/>
              <w:rPr>
                <w:rFonts w:ascii="Times New Roman" w:eastAsia="宋体" w:hAnsi="Times New Roman" w:cs="宋体"/>
                <w:b/>
                <w:bCs/>
                <w:color w:val="000000"/>
                <w:kern w:val="0"/>
                <w:sz w:val="24"/>
                <w:szCs w:val="24"/>
              </w:rPr>
            </w:pPr>
            <w:r w:rsidRPr="00900C67">
              <w:rPr>
                <w:rFonts w:ascii="Times New Roman" w:eastAsia="宋体" w:hAnsi="Times New Roman" w:cs="宋体"/>
                <w:b/>
                <w:bCs/>
                <w:color w:val="000000"/>
                <w:kern w:val="0"/>
                <w:sz w:val="24"/>
                <w:szCs w:val="24"/>
              </w:rPr>
              <w:t>Error Criterion</w:t>
            </w:r>
          </w:p>
        </w:tc>
      </w:tr>
      <w:tr w:rsidR="00900C67" w:rsidRPr="00900C67" w14:paraId="2340CFE1" w14:textId="77777777" w:rsidTr="00900C67">
        <w:trPr>
          <w:trHeight w:val="1460"/>
        </w:trPr>
        <w:tc>
          <w:tcPr>
            <w:tcW w:w="750" w:type="dxa"/>
            <w:hideMark/>
          </w:tcPr>
          <w:p w14:paraId="01AF8ED2"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lastRenderedPageBreak/>
              <w:t>CR-1</w:t>
            </w:r>
          </w:p>
        </w:tc>
        <w:tc>
          <w:tcPr>
            <w:tcW w:w="2829" w:type="dxa"/>
            <w:hideMark/>
          </w:tcPr>
          <w:p w14:paraId="4706CEBA"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Designation type accuracy</w:t>
            </w:r>
          </w:p>
        </w:tc>
        <w:tc>
          <w:tcPr>
            <w:tcW w:w="2407" w:type="dxa"/>
            <w:hideMark/>
          </w:tcPr>
          <w:p w14:paraId="6B359780"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Appropriate designation type (term vs. proper name) selected</w:t>
            </w:r>
          </w:p>
        </w:tc>
        <w:tc>
          <w:tcPr>
            <w:tcW w:w="2310" w:type="dxa"/>
            <w:hideMark/>
          </w:tcPr>
          <w:p w14:paraId="020209DB"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An inappropriate designation type is selected (e.g., a term is rendered as a proper name, or a proper name as an appellative term), thereby misclassfying the conceptual category of the source designation</w:t>
            </w:r>
          </w:p>
        </w:tc>
      </w:tr>
      <w:tr w:rsidR="00900C67" w:rsidRPr="00900C67" w14:paraId="33802C4A" w14:textId="77777777" w:rsidTr="00900C67">
        <w:trPr>
          <w:trHeight w:val="1260"/>
        </w:trPr>
        <w:tc>
          <w:tcPr>
            <w:tcW w:w="750" w:type="dxa"/>
            <w:hideMark/>
          </w:tcPr>
          <w:p w14:paraId="0873C2DC"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CR-2</w:t>
            </w:r>
          </w:p>
        </w:tc>
        <w:tc>
          <w:tcPr>
            <w:tcW w:w="2829" w:type="dxa"/>
            <w:hideMark/>
          </w:tcPr>
          <w:p w14:paraId="5C072D6A"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Consistency</w:t>
            </w:r>
          </w:p>
        </w:tc>
        <w:tc>
          <w:tcPr>
            <w:tcW w:w="2407" w:type="dxa"/>
            <w:hideMark/>
          </w:tcPr>
          <w:p w14:paraId="1A661DE4"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Same designation used consistently for the same concept across the text</w:t>
            </w:r>
          </w:p>
        </w:tc>
        <w:tc>
          <w:tcPr>
            <w:tcW w:w="2310" w:type="dxa"/>
            <w:hideMark/>
          </w:tcPr>
          <w:p w14:paraId="5A957A42"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The same source concept is rendered by varying target designations without principled motivation, or distinct source concepts are conflated under a single target designation</w:t>
            </w:r>
          </w:p>
        </w:tc>
      </w:tr>
      <w:tr w:rsidR="00900C67" w:rsidRPr="00900C67" w14:paraId="5F6165F0" w14:textId="77777777" w:rsidTr="00900C67">
        <w:trPr>
          <w:trHeight w:val="1320"/>
        </w:trPr>
        <w:tc>
          <w:tcPr>
            <w:tcW w:w="750" w:type="dxa"/>
            <w:hideMark/>
          </w:tcPr>
          <w:p w14:paraId="572FE574"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CR-3</w:t>
            </w:r>
          </w:p>
        </w:tc>
        <w:tc>
          <w:tcPr>
            <w:tcW w:w="2829" w:type="dxa"/>
            <w:hideMark/>
          </w:tcPr>
          <w:p w14:paraId="6382736C"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Derivability and compoundability</w:t>
            </w:r>
          </w:p>
        </w:tc>
        <w:tc>
          <w:tcPr>
            <w:tcW w:w="2407" w:type="dxa"/>
            <w:hideMark/>
          </w:tcPr>
          <w:p w14:paraId="1E92DFBC"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The designation permit derivation and compounding to express the concept system</w:t>
            </w:r>
          </w:p>
        </w:tc>
        <w:tc>
          <w:tcPr>
            <w:tcW w:w="2310" w:type="dxa"/>
            <w:hideMark/>
          </w:tcPr>
          <w:p w14:paraId="039DFF8D"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 xml:space="preserve">The selected target designation cannot accommodate the derivational or compounding patterns required to </w:t>
            </w:r>
            <w:r w:rsidRPr="00900C67">
              <w:rPr>
                <w:rFonts w:ascii="Times New Roman" w:eastAsia="宋体" w:hAnsi="Times New Roman" w:cs="宋体"/>
                <w:color w:val="000000"/>
                <w:kern w:val="0"/>
                <w:sz w:val="24"/>
                <w:szCs w:val="24"/>
              </w:rPr>
              <w:lastRenderedPageBreak/>
              <w:t>express related concepts within the source concept system</w:t>
            </w:r>
          </w:p>
        </w:tc>
      </w:tr>
      <w:tr w:rsidR="00900C67" w:rsidRPr="00900C67" w14:paraId="067D48E6" w14:textId="77777777" w:rsidTr="00900C67">
        <w:trPr>
          <w:trHeight w:val="820"/>
        </w:trPr>
        <w:tc>
          <w:tcPr>
            <w:tcW w:w="750" w:type="dxa"/>
            <w:hideMark/>
          </w:tcPr>
          <w:p w14:paraId="36909E5A"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lastRenderedPageBreak/>
              <w:t>CR-4</w:t>
            </w:r>
          </w:p>
        </w:tc>
        <w:tc>
          <w:tcPr>
            <w:tcW w:w="2829" w:type="dxa"/>
            <w:hideMark/>
          </w:tcPr>
          <w:p w14:paraId="6517A754"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Linguistic correctness</w:t>
            </w:r>
          </w:p>
        </w:tc>
        <w:tc>
          <w:tcPr>
            <w:tcW w:w="2407" w:type="dxa"/>
            <w:hideMark/>
          </w:tcPr>
          <w:p w14:paraId="577B2A0A"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The designation conform to the morphological, syntactic, and orthographic norms of the target language</w:t>
            </w:r>
          </w:p>
        </w:tc>
        <w:tc>
          <w:tcPr>
            <w:tcW w:w="2310" w:type="dxa"/>
            <w:hideMark/>
          </w:tcPr>
          <w:p w14:paraId="2B08AA62"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The target designation violates the morphological, syntactic, or orthographic norms of the target language</w:t>
            </w:r>
          </w:p>
        </w:tc>
      </w:tr>
      <w:tr w:rsidR="00900C67" w:rsidRPr="00900C67" w14:paraId="3CFAE5CD" w14:textId="77777777" w:rsidTr="00900C67">
        <w:trPr>
          <w:trHeight w:val="1290"/>
        </w:trPr>
        <w:tc>
          <w:tcPr>
            <w:tcW w:w="750" w:type="dxa"/>
            <w:hideMark/>
          </w:tcPr>
          <w:p w14:paraId="0F62441F"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CR-5</w:t>
            </w:r>
          </w:p>
        </w:tc>
        <w:tc>
          <w:tcPr>
            <w:tcW w:w="2829" w:type="dxa"/>
            <w:hideMark/>
          </w:tcPr>
          <w:p w14:paraId="47DC2550"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Preference for established target-language designations</w:t>
            </w:r>
          </w:p>
        </w:tc>
        <w:tc>
          <w:tcPr>
            <w:tcW w:w="2407" w:type="dxa"/>
            <w:hideMark/>
          </w:tcPr>
          <w:p w14:paraId="639055E9"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The translator prefers existing target-language designations over neologisms where appropriate</w:t>
            </w:r>
          </w:p>
        </w:tc>
        <w:tc>
          <w:tcPr>
            <w:tcW w:w="2310" w:type="dxa"/>
            <w:hideMark/>
          </w:tcPr>
          <w:p w14:paraId="333CC268"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An established target-language designation that is current in the relevant scholarly community is bypassed in favor of an unwarranted neologism, calque, or borrowing</w:t>
            </w:r>
          </w:p>
        </w:tc>
      </w:tr>
      <w:tr w:rsidR="00900C67" w:rsidRPr="00900C67" w14:paraId="54119425" w14:textId="77777777" w:rsidTr="00900C67">
        <w:trPr>
          <w:trHeight w:val="1320"/>
        </w:trPr>
        <w:tc>
          <w:tcPr>
            <w:tcW w:w="750" w:type="dxa"/>
            <w:hideMark/>
          </w:tcPr>
          <w:p w14:paraId="004EB109"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CR-6</w:t>
            </w:r>
          </w:p>
        </w:tc>
        <w:tc>
          <w:tcPr>
            <w:tcW w:w="2829" w:type="dxa"/>
            <w:hideMark/>
          </w:tcPr>
          <w:p w14:paraId="65EA454A"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Designation relations</w:t>
            </w:r>
          </w:p>
        </w:tc>
        <w:tc>
          <w:tcPr>
            <w:tcW w:w="2407" w:type="dxa"/>
            <w:hideMark/>
          </w:tcPr>
          <w:p w14:paraId="6771095D"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Mononymy, synonymy, equivalence, antonymy, and polysemy/homonymy handled appropriately</w:t>
            </w:r>
          </w:p>
        </w:tc>
        <w:tc>
          <w:tcPr>
            <w:tcW w:w="2310" w:type="dxa"/>
            <w:hideMark/>
          </w:tcPr>
          <w:p w14:paraId="76812912" w14:textId="77777777" w:rsidR="00900C67" w:rsidRPr="00900C67" w:rsidRDefault="00900C67" w:rsidP="00900C67">
            <w:pPr>
              <w:widowControl/>
              <w:spacing w:line="360" w:lineRule="auto"/>
              <w:jc w:val="left"/>
              <w:rPr>
                <w:rFonts w:ascii="Times New Roman" w:eastAsia="宋体" w:hAnsi="Times New Roman" w:cs="宋体"/>
                <w:color w:val="000000"/>
                <w:kern w:val="0"/>
                <w:sz w:val="24"/>
                <w:szCs w:val="24"/>
              </w:rPr>
            </w:pPr>
            <w:r w:rsidRPr="00900C67">
              <w:rPr>
                <w:rFonts w:ascii="Times New Roman" w:eastAsia="宋体" w:hAnsi="Times New Roman" w:cs="宋体"/>
                <w:color w:val="000000"/>
                <w:kern w:val="0"/>
                <w:sz w:val="24"/>
                <w:szCs w:val="24"/>
              </w:rPr>
              <w:t xml:space="preserve">Mononymy, synonymy, equivalence, antonymy, and polysemy/homonymy in the source designation system are not appropriately reproduced in the </w:t>
            </w:r>
            <w:r w:rsidRPr="00900C67">
              <w:rPr>
                <w:rFonts w:ascii="Times New Roman" w:eastAsia="宋体" w:hAnsi="Times New Roman" w:cs="宋体"/>
                <w:color w:val="000000"/>
                <w:kern w:val="0"/>
                <w:sz w:val="24"/>
                <w:szCs w:val="24"/>
              </w:rPr>
              <w:lastRenderedPageBreak/>
              <w:t>target designation system</w:t>
            </w:r>
          </w:p>
        </w:tc>
      </w:tr>
    </w:tbl>
    <w:p w14:paraId="255BD84E" w14:textId="62F4BF92"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4230DDA8"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4.4 Error Identification Criteria — Concept Logic (CL, major, ×5)</w:t>
      </w:r>
    </w:p>
    <w:p w14:paraId="67B43BB6"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An error is recorded under each CL sub-parameter when the target text exhibits the following deviation from the source. All such errors carry a uniform severity multiplier of 5, reflecting the centrality of argumentative carriage to the transmission of the knowledge claim.</w:t>
      </w:r>
    </w:p>
    <w:p w14:paraId="0863B27A" w14:textId="77777777" w:rsid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Layer A — Argument Schema (Williams 2004)</w:t>
      </w:r>
    </w:p>
    <w:tbl>
      <w:tblPr>
        <w:tblStyle w:val="af3"/>
        <w:tblW w:w="0" w:type="auto"/>
        <w:tblLook w:val="04A0" w:firstRow="1" w:lastRow="0" w:firstColumn="1" w:lastColumn="0" w:noHBand="0" w:noVBand="1"/>
      </w:tblPr>
      <w:tblGrid>
        <w:gridCol w:w="685"/>
        <w:gridCol w:w="2722"/>
        <w:gridCol w:w="2152"/>
        <w:gridCol w:w="2737"/>
      </w:tblGrid>
      <w:tr w:rsidR="00A1660F" w:rsidRPr="00A1660F" w14:paraId="71997963" w14:textId="77777777" w:rsidTr="00A1660F">
        <w:trPr>
          <w:trHeight w:val="2590"/>
        </w:trPr>
        <w:tc>
          <w:tcPr>
            <w:tcW w:w="685" w:type="dxa"/>
            <w:hideMark/>
          </w:tcPr>
          <w:p w14:paraId="3D9A9A0E"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lang w:val="en-US"/>
              </w:rPr>
            </w:pPr>
            <w:r w:rsidRPr="00A1660F">
              <w:rPr>
                <w:rFonts w:ascii="Times New Roman" w:eastAsia="宋体" w:hAnsi="Times New Roman" w:cs="宋体"/>
                <w:b/>
                <w:bCs/>
                <w:color w:val="000000"/>
                <w:kern w:val="0"/>
                <w:sz w:val="24"/>
                <w:szCs w:val="24"/>
              </w:rPr>
              <w:t>CL-A1</w:t>
            </w:r>
          </w:p>
        </w:tc>
        <w:tc>
          <w:tcPr>
            <w:tcW w:w="2722" w:type="dxa"/>
            <w:hideMark/>
          </w:tcPr>
          <w:p w14:paraId="6F14E3E0"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Claim (diagnostic-only, ×0)</w:t>
            </w:r>
          </w:p>
        </w:tc>
        <w:tc>
          <w:tcPr>
            <w:tcW w:w="2152" w:type="dxa"/>
            <w:hideMark/>
          </w:tcPr>
          <w:p w14:paraId="0F76EB95"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The conclusion toward which the argument converges preserved without distortion, weakening, or reversal</w:t>
            </w:r>
          </w:p>
        </w:tc>
        <w:tc>
          <w:tcPr>
            <w:tcW w:w="2737" w:type="dxa"/>
            <w:hideMark/>
          </w:tcPr>
          <w:p w14:paraId="6038797C"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Diagnostic observation, non-penalised (×0). Record whether the converging conclusion is preserved / compromised / uncertain. Where it is distorted, weakened, intensified, reversed, or omitted, the observation is logged for the record but adds no count; any penalty attaches solely to the Layer-B figures/devices and/or CR designation(s) at the locus realizing the distortion.</w:t>
            </w:r>
          </w:p>
        </w:tc>
      </w:tr>
      <w:tr w:rsidR="00A1660F" w:rsidRPr="00A1660F" w14:paraId="62F37482" w14:textId="77777777" w:rsidTr="00A1660F">
        <w:trPr>
          <w:trHeight w:val="1830"/>
        </w:trPr>
        <w:tc>
          <w:tcPr>
            <w:tcW w:w="685" w:type="dxa"/>
            <w:hideMark/>
          </w:tcPr>
          <w:p w14:paraId="27D2C806"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lastRenderedPageBreak/>
              <w:t>CL-A2</w:t>
            </w:r>
          </w:p>
        </w:tc>
        <w:tc>
          <w:tcPr>
            <w:tcW w:w="2722" w:type="dxa"/>
            <w:hideMark/>
          </w:tcPr>
          <w:p w14:paraId="5C5047CC"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Grounds (diagnostic-only, ×0)</w:t>
            </w:r>
          </w:p>
        </w:tc>
        <w:tc>
          <w:tcPr>
            <w:tcW w:w="2152" w:type="dxa"/>
            <w:hideMark/>
          </w:tcPr>
          <w:p w14:paraId="0EDF511A"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The facts, observations, and shared knowledge supporting the claim transferred accurately</w:t>
            </w:r>
          </w:p>
        </w:tc>
        <w:tc>
          <w:tcPr>
            <w:tcW w:w="2737" w:type="dxa"/>
            <w:hideMark/>
          </w:tcPr>
          <w:p w14:paraId="28370CD1"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Diagnostic observation, non-penalised (×0). Record whether the supporting evidence is preserved / compromised / uncertain. Misrepresentation, attenuation, or omission is logged but adds no count; penalty attaches to the Layer-B/CR code at the realizing locus.</w:t>
            </w:r>
          </w:p>
        </w:tc>
      </w:tr>
      <w:tr w:rsidR="00A1660F" w:rsidRPr="00A1660F" w14:paraId="2D136A81" w14:textId="77777777" w:rsidTr="00A1660F">
        <w:trPr>
          <w:trHeight w:val="1870"/>
        </w:trPr>
        <w:tc>
          <w:tcPr>
            <w:tcW w:w="685" w:type="dxa"/>
            <w:hideMark/>
          </w:tcPr>
          <w:p w14:paraId="30C97D1D"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CL-A3</w:t>
            </w:r>
          </w:p>
        </w:tc>
        <w:tc>
          <w:tcPr>
            <w:tcW w:w="2722" w:type="dxa"/>
            <w:hideMark/>
          </w:tcPr>
          <w:p w14:paraId="3CD18BDD"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Warrant (diagnostic-only, ×0)</w:t>
            </w:r>
          </w:p>
        </w:tc>
        <w:tc>
          <w:tcPr>
            <w:tcW w:w="2152" w:type="dxa"/>
            <w:hideMark/>
          </w:tcPr>
          <w:p w14:paraId="4DEF7E51"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The inferential statements connecting grounds to claim preserved, including implicit warrants underlying the communicative situation</w:t>
            </w:r>
          </w:p>
        </w:tc>
        <w:tc>
          <w:tcPr>
            <w:tcW w:w="2737" w:type="dxa"/>
            <w:hideMark/>
          </w:tcPr>
          <w:p w14:paraId="77CDCBE1"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Diagnostic observation, non-penalised (×0). Record whether the grounds-to-claim inferential link is preserved / compromised / uncertain. A broken, altered, or opacified link is logged but adds no count; penalty attaches to the Layer-B/CR code at the realizing locus.</w:t>
            </w:r>
          </w:p>
        </w:tc>
      </w:tr>
      <w:tr w:rsidR="00A1660F" w:rsidRPr="00A1660F" w14:paraId="00D98306" w14:textId="77777777" w:rsidTr="00A1660F">
        <w:trPr>
          <w:trHeight w:val="2020"/>
        </w:trPr>
        <w:tc>
          <w:tcPr>
            <w:tcW w:w="685" w:type="dxa"/>
            <w:hideMark/>
          </w:tcPr>
          <w:p w14:paraId="5CE9A2C4"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lastRenderedPageBreak/>
              <w:t>CL-A4</w:t>
            </w:r>
          </w:p>
        </w:tc>
        <w:tc>
          <w:tcPr>
            <w:tcW w:w="2722" w:type="dxa"/>
            <w:hideMark/>
          </w:tcPr>
          <w:p w14:paraId="0A16131F"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Backing (diagnostic-only, ×0)</w:t>
            </w:r>
          </w:p>
        </w:tc>
        <w:tc>
          <w:tcPr>
            <w:tcW w:w="2152" w:type="dxa"/>
            <w:hideMark/>
          </w:tcPr>
          <w:p w14:paraId="0BE83E8B"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The overarching principle, value, or standard supporting the warrant preserved</w:t>
            </w:r>
          </w:p>
        </w:tc>
        <w:tc>
          <w:tcPr>
            <w:tcW w:w="2737" w:type="dxa"/>
            <w:hideMark/>
          </w:tcPr>
          <w:p w14:paraId="67B40966" w14:textId="77777777" w:rsidR="00A1660F" w:rsidRPr="00A1660F" w:rsidRDefault="00A1660F" w:rsidP="00A1660F">
            <w:pPr>
              <w:widowControl/>
              <w:spacing w:line="360" w:lineRule="auto"/>
              <w:jc w:val="left"/>
              <w:rPr>
                <w:rFonts w:ascii="Times New Roman" w:eastAsia="宋体" w:hAnsi="Times New Roman" w:cs="宋体"/>
                <w:b/>
                <w:bCs/>
                <w:color w:val="000000"/>
                <w:kern w:val="0"/>
                <w:sz w:val="24"/>
                <w:szCs w:val="24"/>
              </w:rPr>
            </w:pPr>
            <w:r w:rsidRPr="00A1660F">
              <w:rPr>
                <w:rFonts w:ascii="Times New Roman" w:eastAsia="宋体" w:hAnsi="Times New Roman" w:cs="宋体"/>
                <w:b/>
                <w:bCs/>
                <w:color w:val="000000"/>
                <w:kern w:val="0"/>
                <w:sz w:val="24"/>
                <w:szCs w:val="24"/>
              </w:rPr>
              <w:t>Diagnostic observation, non-penalised (×0). Record whether the licensing principle/value/standard is preserved / compromised / uncertain. Misrepresentation or omission is logged but adds no count; penalty attaches to the Layer-B/CR code at the realizing locus.</w:t>
            </w:r>
          </w:p>
        </w:tc>
      </w:tr>
    </w:tbl>
    <w:p w14:paraId="4FD0001E" w14:textId="1E551E4C" w:rsidR="00A16BC0" w:rsidRDefault="00A16BC0" w:rsidP="00121776">
      <w:pPr>
        <w:widowControl/>
        <w:spacing w:line="360" w:lineRule="auto"/>
        <w:jc w:val="left"/>
        <w:rPr>
          <w:rFonts w:ascii="Times New Roman" w:eastAsia="宋体" w:hAnsi="Times New Roman" w:cs="宋体" w:hint="eastAsia"/>
          <w:color w:val="000000"/>
          <w:kern w:val="0"/>
          <w:sz w:val="24"/>
          <w:szCs w:val="24"/>
          <w:lang w:val="en-US"/>
        </w:rPr>
      </w:pPr>
    </w:p>
    <w:p w14:paraId="35BD2AC0"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Layer B-1 — Figures of Argument (Fahnestock 2011)</w:t>
      </w:r>
    </w:p>
    <w:tbl>
      <w:tblPr>
        <w:tblStyle w:val="af3"/>
        <w:tblW w:w="0" w:type="auto"/>
        <w:tblLook w:val="04A0" w:firstRow="1" w:lastRow="0" w:firstColumn="1" w:lastColumn="0" w:noHBand="0" w:noVBand="1"/>
      </w:tblPr>
      <w:tblGrid>
        <w:gridCol w:w="699"/>
        <w:gridCol w:w="3270"/>
        <w:gridCol w:w="2234"/>
        <w:gridCol w:w="2093"/>
      </w:tblGrid>
      <w:tr w:rsidR="00A1660F" w:rsidRPr="00A1660F" w14:paraId="4F8EBD4B" w14:textId="77777777" w:rsidTr="00A1660F">
        <w:trPr>
          <w:trHeight w:val="1070"/>
        </w:trPr>
        <w:tc>
          <w:tcPr>
            <w:tcW w:w="740" w:type="dxa"/>
            <w:hideMark/>
          </w:tcPr>
          <w:p w14:paraId="5A2202DE"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lang w:val="en-US"/>
              </w:rPr>
            </w:pPr>
            <w:r w:rsidRPr="00A1660F">
              <w:rPr>
                <w:rFonts w:ascii="Times New Roman" w:eastAsia="宋体" w:hAnsi="Times New Roman" w:cs="宋体"/>
                <w:color w:val="000000"/>
                <w:kern w:val="0"/>
                <w:sz w:val="24"/>
                <w:szCs w:val="24"/>
              </w:rPr>
              <w:t>CL-B1</w:t>
            </w:r>
          </w:p>
        </w:tc>
        <w:tc>
          <w:tcPr>
            <w:tcW w:w="4020" w:type="dxa"/>
            <w:hideMark/>
          </w:tcPr>
          <w:p w14:paraId="65D4D39E"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Parallelism</w:t>
            </w:r>
          </w:p>
        </w:tc>
        <w:tc>
          <w:tcPr>
            <w:tcW w:w="2460" w:type="dxa"/>
            <w:hideMark/>
          </w:tcPr>
          <w:p w14:paraId="30C7447E"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(1) Comparable length of segments in syllables or words; (2) similar prosodic or stress patterns; (3) similar grammatical structure</w:t>
            </w:r>
          </w:p>
        </w:tc>
        <w:tc>
          <w:tcPr>
            <w:tcW w:w="2240" w:type="dxa"/>
            <w:hideMark/>
          </w:tcPr>
          <w:p w14:paraId="679B656C"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Patterning that establishes coordination among argumentative units is dissolved, obscuring the parity relation between conjointed claims</w:t>
            </w:r>
          </w:p>
        </w:tc>
      </w:tr>
      <w:tr w:rsidR="00A1660F" w:rsidRPr="00A1660F" w14:paraId="4A3B6992" w14:textId="77777777" w:rsidTr="00A1660F">
        <w:trPr>
          <w:trHeight w:val="2540"/>
        </w:trPr>
        <w:tc>
          <w:tcPr>
            <w:tcW w:w="740" w:type="dxa"/>
            <w:hideMark/>
          </w:tcPr>
          <w:p w14:paraId="3200D704"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lastRenderedPageBreak/>
              <w:t>CL-B2</w:t>
            </w:r>
          </w:p>
        </w:tc>
        <w:tc>
          <w:tcPr>
            <w:tcW w:w="4020" w:type="dxa"/>
            <w:hideMark/>
          </w:tcPr>
          <w:p w14:paraId="65457617"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Strategic repetition</w:t>
            </w:r>
          </w:p>
        </w:tc>
        <w:tc>
          <w:tcPr>
            <w:tcW w:w="2460" w:type="dxa"/>
            <w:hideMark/>
          </w:tcPr>
          <w:p w14:paraId="34D02EB1"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(1) Repeating the openings of successive clauses; (2) Repeating the closings of successive clauses; (3) Repeating the closing of one clause in the opening of the next; (4) Repeating the opening of a clause in its ending; (5) Repeating the same openings and endings in a series of clauses; (6) Repeating a word or phrase immediately, with nothing intervening; (7) Repeating a word or phrase with one or a few words intervening</w:t>
            </w:r>
          </w:p>
        </w:tc>
        <w:tc>
          <w:tcPr>
            <w:tcW w:w="2240" w:type="dxa"/>
            <w:hideMark/>
          </w:tcPr>
          <w:p w14:paraId="319C0A14"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Repetition is dissolved, weakening the rhetorical emphasis or the chained inferential progression</w:t>
            </w:r>
          </w:p>
        </w:tc>
      </w:tr>
      <w:tr w:rsidR="00A1660F" w:rsidRPr="00A1660F" w14:paraId="1EB598F9" w14:textId="77777777" w:rsidTr="00A1660F">
        <w:trPr>
          <w:trHeight w:val="1310"/>
        </w:trPr>
        <w:tc>
          <w:tcPr>
            <w:tcW w:w="740" w:type="dxa"/>
            <w:hideMark/>
          </w:tcPr>
          <w:p w14:paraId="644DEABE"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CL-B3</w:t>
            </w:r>
          </w:p>
        </w:tc>
        <w:tc>
          <w:tcPr>
            <w:tcW w:w="4020" w:type="dxa"/>
            <w:hideMark/>
          </w:tcPr>
          <w:p w14:paraId="1C3359A9"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Antithesis</w:t>
            </w:r>
          </w:p>
        </w:tc>
        <w:tc>
          <w:tcPr>
            <w:tcW w:w="2460" w:type="dxa"/>
            <w:hideMark/>
          </w:tcPr>
          <w:p w14:paraId="79036BAD"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(1) contraries; (2) contradictories; (3) correlatives</w:t>
            </w:r>
          </w:p>
        </w:tc>
        <w:tc>
          <w:tcPr>
            <w:tcW w:w="2240" w:type="dxa"/>
            <w:hideMark/>
          </w:tcPr>
          <w:p w14:paraId="1346D066"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 xml:space="preserve">A source-text opposition based on contraries, contradictions, or </w:t>
            </w:r>
            <w:r w:rsidRPr="00A1660F">
              <w:rPr>
                <w:rFonts w:ascii="Times New Roman" w:eastAsia="宋体" w:hAnsi="Times New Roman" w:cs="宋体"/>
                <w:color w:val="000000"/>
                <w:kern w:val="0"/>
                <w:sz w:val="24"/>
                <w:szCs w:val="24"/>
              </w:rPr>
              <w:lastRenderedPageBreak/>
              <w:t>correlatives is flattened, asymmetrized, or reversed, distorting the contrastive structure of the argument</w:t>
            </w:r>
          </w:p>
        </w:tc>
      </w:tr>
      <w:tr w:rsidR="00A1660F" w:rsidRPr="00A1660F" w14:paraId="1D681120" w14:textId="77777777" w:rsidTr="00A1660F">
        <w:trPr>
          <w:trHeight w:val="1140"/>
        </w:trPr>
        <w:tc>
          <w:tcPr>
            <w:tcW w:w="740" w:type="dxa"/>
            <w:hideMark/>
          </w:tcPr>
          <w:p w14:paraId="37BA399C"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lastRenderedPageBreak/>
              <w:t>CL-B4</w:t>
            </w:r>
          </w:p>
        </w:tc>
        <w:tc>
          <w:tcPr>
            <w:tcW w:w="4020" w:type="dxa"/>
            <w:hideMark/>
          </w:tcPr>
          <w:p w14:paraId="7E40F580"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Antimetabole</w:t>
            </w:r>
          </w:p>
        </w:tc>
        <w:tc>
          <w:tcPr>
            <w:tcW w:w="2460" w:type="dxa"/>
            <w:hideMark/>
          </w:tcPr>
          <w:p w14:paraId="1D173BEB"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A–B / B–A reversal patterns</w:t>
            </w:r>
          </w:p>
        </w:tc>
        <w:tc>
          <w:tcPr>
            <w:tcW w:w="2240" w:type="dxa"/>
            <w:hideMark/>
          </w:tcPr>
          <w:p w14:paraId="1F626922"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A source-text A-B/B-A reversal pattern is dissolved or rendered as paraphrase, dissipating he conceptual chiasmus that carries the argumentative move</w:t>
            </w:r>
          </w:p>
        </w:tc>
      </w:tr>
      <w:tr w:rsidR="00A1660F" w:rsidRPr="00A1660F" w14:paraId="53B43DF2" w14:textId="77777777" w:rsidTr="00A1660F">
        <w:trPr>
          <w:trHeight w:val="1660"/>
        </w:trPr>
        <w:tc>
          <w:tcPr>
            <w:tcW w:w="740" w:type="dxa"/>
            <w:hideMark/>
          </w:tcPr>
          <w:p w14:paraId="3C65AEF3"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CL-B5</w:t>
            </w:r>
          </w:p>
        </w:tc>
        <w:tc>
          <w:tcPr>
            <w:tcW w:w="4020" w:type="dxa"/>
            <w:hideMark/>
          </w:tcPr>
          <w:p w14:paraId="23F56E34"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Definition</w:t>
            </w:r>
          </w:p>
        </w:tc>
        <w:tc>
          <w:tcPr>
            <w:tcW w:w="2460" w:type="dxa"/>
            <w:hideMark/>
          </w:tcPr>
          <w:p w14:paraId="19919723"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Subject – Linking Verb – Predicate Noun/Modifier</w:t>
            </w:r>
          </w:p>
        </w:tc>
        <w:tc>
          <w:tcPr>
            <w:tcW w:w="2240" w:type="dxa"/>
            <w:hideMark/>
          </w:tcPr>
          <w:p w14:paraId="015FCFD1"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 xml:space="preserve">The source-text definitional structure (Subject-Linking Verb-Predicate Noun/Modifier) that introduces or stipulates a concept is dismantled or rendered as loose </w:t>
            </w:r>
            <w:r w:rsidRPr="00A1660F">
              <w:rPr>
                <w:rFonts w:ascii="Times New Roman" w:eastAsia="宋体" w:hAnsi="Times New Roman" w:cs="宋体"/>
                <w:color w:val="000000"/>
                <w:kern w:val="0"/>
                <w:sz w:val="24"/>
                <w:szCs w:val="24"/>
              </w:rPr>
              <w:lastRenderedPageBreak/>
              <w:t>paraphrase, weakening the constitutive force of the definitional act</w:t>
            </w:r>
          </w:p>
        </w:tc>
      </w:tr>
    </w:tbl>
    <w:p w14:paraId="410AA973" w14:textId="7DED5CDC"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5C61DA2B"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Layer B-2 — Metadiscourse: Interactive Resources (Hyland 2019)</w:t>
      </w:r>
    </w:p>
    <w:tbl>
      <w:tblPr>
        <w:tblStyle w:val="af3"/>
        <w:tblW w:w="0" w:type="auto"/>
        <w:tblLook w:val="04A0" w:firstRow="1" w:lastRow="0" w:firstColumn="1" w:lastColumn="0" w:noHBand="0" w:noVBand="1"/>
      </w:tblPr>
      <w:tblGrid>
        <w:gridCol w:w="705"/>
        <w:gridCol w:w="3247"/>
        <w:gridCol w:w="2209"/>
        <w:gridCol w:w="2135"/>
      </w:tblGrid>
      <w:tr w:rsidR="00A1660F" w:rsidRPr="00A1660F" w14:paraId="44C15915" w14:textId="77777777" w:rsidTr="00A1660F">
        <w:trPr>
          <w:trHeight w:val="1470"/>
        </w:trPr>
        <w:tc>
          <w:tcPr>
            <w:tcW w:w="705" w:type="dxa"/>
            <w:hideMark/>
          </w:tcPr>
          <w:p w14:paraId="32FB125F"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lang w:val="en-US"/>
              </w:rPr>
            </w:pPr>
            <w:r w:rsidRPr="00A1660F">
              <w:rPr>
                <w:rFonts w:ascii="Times New Roman" w:eastAsia="宋体" w:hAnsi="Times New Roman" w:cs="宋体"/>
                <w:color w:val="000000"/>
                <w:kern w:val="0"/>
                <w:sz w:val="24"/>
                <w:szCs w:val="24"/>
              </w:rPr>
              <w:t>CL-B6</w:t>
            </w:r>
          </w:p>
        </w:tc>
        <w:tc>
          <w:tcPr>
            <w:tcW w:w="3247" w:type="dxa"/>
            <w:hideMark/>
          </w:tcPr>
          <w:p w14:paraId="64FC98DB"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Transition markers</w:t>
            </w:r>
          </w:p>
        </w:tc>
        <w:tc>
          <w:tcPr>
            <w:tcW w:w="2209" w:type="dxa"/>
            <w:hideMark/>
          </w:tcPr>
          <w:p w14:paraId="4980FB4D"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Mainly conjunctions and adverbial phrases to signal addition, comparison, or consequence between argumentative steps</w:t>
            </w:r>
          </w:p>
        </w:tc>
        <w:tc>
          <w:tcPr>
            <w:tcW w:w="2135" w:type="dxa"/>
            <w:hideMark/>
          </w:tcPr>
          <w:p w14:paraId="74358878"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Markers signalling addition, comparison, or consequence between argumentative steps are omitted, mistranslated, or substituted such that the inferential relation between proposition is altered</w:t>
            </w:r>
          </w:p>
        </w:tc>
      </w:tr>
      <w:tr w:rsidR="00A1660F" w:rsidRPr="00A1660F" w14:paraId="393AA91D" w14:textId="77777777" w:rsidTr="00A1660F">
        <w:trPr>
          <w:trHeight w:val="1060"/>
        </w:trPr>
        <w:tc>
          <w:tcPr>
            <w:tcW w:w="705" w:type="dxa"/>
            <w:hideMark/>
          </w:tcPr>
          <w:p w14:paraId="48834D46"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CL-B7</w:t>
            </w:r>
          </w:p>
        </w:tc>
        <w:tc>
          <w:tcPr>
            <w:tcW w:w="3247" w:type="dxa"/>
            <w:hideMark/>
          </w:tcPr>
          <w:p w14:paraId="70385DAE"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Frame markers</w:t>
            </w:r>
          </w:p>
        </w:tc>
        <w:tc>
          <w:tcPr>
            <w:tcW w:w="2209" w:type="dxa"/>
            <w:hideMark/>
          </w:tcPr>
          <w:p w14:paraId="3D6EC197"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(1) Acting as more explicit additive relations; (2) label text stages; (3) announce discourse goals; (4)indicate topic shifts</w:t>
            </w:r>
          </w:p>
        </w:tc>
        <w:tc>
          <w:tcPr>
            <w:tcW w:w="2135" w:type="dxa"/>
            <w:hideMark/>
          </w:tcPr>
          <w:p w14:paraId="5D058E8D"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 xml:space="preserve">Markers that add, label, announce, or shift discourse stages are dissolved, disrupting the reader's orientation within the </w:t>
            </w:r>
            <w:r w:rsidRPr="00A1660F">
              <w:rPr>
                <w:rFonts w:ascii="Times New Roman" w:eastAsia="宋体" w:hAnsi="Times New Roman" w:cs="宋体"/>
                <w:color w:val="000000"/>
                <w:kern w:val="0"/>
                <w:sz w:val="24"/>
                <w:szCs w:val="24"/>
              </w:rPr>
              <w:lastRenderedPageBreak/>
              <w:t>argumentative architecture</w:t>
            </w:r>
          </w:p>
        </w:tc>
      </w:tr>
      <w:tr w:rsidR="00A1660F" w:rsidRPr="00A1660F" w14:paraId="4C35E5C9" w14:textId="77777777" w:rsidTr="00A1660F">
        <w:trPr>
          <w:trHeight w:val="1090"/>
        </w:trPr>
        <w:tc>
          <w:tcPr>
            <w:tcW w:w="705" w:type="dxa"/>
            <w:hideMark/>
          </w:tcPr>
          <w:p w14:paraId="1A769AF9"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lastRenderedPageBreak/>
              <w:t>CL-B8</w:t>
            </w:r>
          </w:p>
        </w:tc>
        <w:tc>
          <w:tcPr>
            <w:tcW w:w="3247" w:type="dxa"/>
            <w:hideMark/>
          </w:tcPr>
          <w:p w14:paraId="53240957"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Endophoric markers</w:t>
            </w:r>
          </w:p>
        </w:tc>
        <w:tc>
          <w:tcPr>
            <w:tcW w:w="2209" w:type="dxa"/>
            <w:hideMark/>
          </w:tcPr>
          <w:p w14:paraId="28872201"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Expressions which refer to other parts of the text</w:t>
            </w:r>
          </w:p>
        </w:tc>
        <w:tc>
          <w:tcPr>
            <w:tcW w:w="2135" w:type="dxa"/>
            <w:hideMark/>
          </w:tcPr>
          <w:p w14:paraId="63303A35"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References to other parts of the text are mistranslated or lost, severing the intratextual coherence on which cumulative argumentation depends</w:t>
            </w:r>
          </w:p>
        </w:tc>
      </w:tr>
      <w:tr w:rsidR="00A1660F" w:rsidRPr="00A1660F" w14:paraId="263D955F" w14:textId="77777777" w:rsidTr="00A1660F">
        <w:trPr>
          <w:trHeight w:val="1090"/>
        </w:trPr>
        <w:tc>
          <w:tcPr>
            <w:tcW w:w="705" w:type="dxa"/>
            <w:hideMark/>
          </w:tcPr>
          <w:p w14:paraId="4ABD2463"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CL-B9</w:t>
            </w:r>
          </w:p>
        </w:tc>
        <w:tc>
          <w:tcPr>
            <w:tcW w:w="3247" w:type="dxa"/>
            <w:hideMark/>
          </w:tcPr>
          <w:p w14:paraId="5529D809"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Evidentials</w:t>
            </w:r>
          </w:p>
        </w:tc>
        <w:tc>
          <w:tcPr>
            <w:tcW w:w="2209" w:type="dxa"/>
            <w:hideMark/>
          </w:tcPr>
          <w:p w14:paraId="4151A497"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Invoke external sources of support</w:t>
            </w:r>
          </w:p>
        </w:tc>
        <w:tc>
          <w:tcPr>
            <w:tcW w:w="2135" w:type="dxa"/>
            <w:hideMark/>
          </w:tcPr>
          <w:p w14:paraId="74240E18"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Citations or attributions to external sources are misattributed, omitted, or rendered ambiguous, undermining the evidential basis of the claim</w:t>
            </w:r>
          </w:p>
        </w:tc>
      </w:tr>
      <w:tr w:rsidR="00A1660F" w:rsidRPr="00A1660F" w14:paraId="7E5EC521" w14:textId="77777777" w:rsidTr="00A1660F">
        <w:trPr>
          <w:trHeight w:val="1200"/>
        </w:trPr>
        <w:tc>
          <w:tcPr>
            <w:tcW w:w="705" w:type="dxa"/>
            <w:hideMark/>
          </w:tcPr>
          <w:p w14:paraId="239831A9"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CL-B10</w:t>
            </w:r>
          </w:p>
        </w:tc>
        <w:tc>
          <w:tcPr>
            <w:tcW w:w="3247" w:type="dxa"/>
            <w:hideMark/>
          </w:tcPr>
          <w:p w14:paraId="20B5D333"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Code glosses</w:t>
            </w:r>
          </w:p>
        </w:tc>
        <w:tc>
          <w:tcPr>
            <w:tcW w:w="2209" w:type="dxa"/>
            <w:hideMark/>
          </w:tcPr>
          <w:p w14:paraId="7A7404D8"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Supply additional information by rephrasing, explaining or elaborating what has been said</w:t>
            </w:r>
          </w:p>
        </w:tc>
        <w:tc>
          <w:tcPr>
            <w:tcW w:w="2135" w:type="dxa"/>
            <w:hideMark/>
          </w:tcPr>
          <w:p w14:paraId="4FEAD0F2"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Rephrasing, exemplifications, or elaborations that secure the writer's intended meaning are omitted or distorted, leaving the concept under-</w:t>
            </w:r>
            <w:r w:rsidRPr="00A1660F">
              <w:rPr>
                <w:rFonts w:ascii="Times New Roman" w:eastAsia="宋体" w:hAnsi="Times New Roman" w:cs="宋体"/>
                <w:color w:val="000000"/>
                <w:kern w:val="0"/>
                <w:sz w:val="24"/>
                <w:szCs w:val="24"/>
              </w:rPr>
              <w:lastRenderedPageBreak/>
              <w:t>specified for the target reader</w:t>
            </w:r>
          </w:p>
        </w:tc>
      </w:tr>
    </w:tbl>
    <w:p w14:paraId="7B5D64CB" w14:textId="3FD35EF7"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6042FAA8"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Layer B-3 — Metadiscourse: Interactional Resources (Hyland 2019)</w:t>
      </w:r>
    </w:p>
    <w:tbl>
      <w:tblPr>
        <w:tblStyle w:val="af3"/>
        <w:tblW w:w="0" w:type="auto"/>
        <w:tblLook w:val="04A0" w:firstRow="1" w:lastRow="0" w:firstColumn="1" w:lastColumn="0" w:noHBand="0" w:noVBand="1"/>
      </w:tblPr>
      <w:tblGrid>
        <w:gridCol w:w="706"/>
        <w:gridCol w:w="3299"/>
        <w:gridCol w:w="2193"/>
        <w:gridCol w:w="2098"/>
      </w:tblGrid>
      <w:tr w:rsidR="00A1660F" w:rsidRPr="00A1660F" w14:paraId="248A9771" w14:textId="77777777" w:rsidTr="00A1660F">
        <w:trPr>
          <w:trHeight w:val="1210"/>
        </w:trPr>
        <w:tc>
          <w:tcPr>
            <w:tcW w:w="740" w:type="dxa"/>
            <w:hideMark/>
          </w:tcPr>
          <w:p w14:paraId="067F75F8"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lang w:val="en-US"/>
              </w:rPr>
            </w:pPr>
            <w:r w:rsidRPr="00A1660F">
              <w:rPr>
                <w:rFonts w:ascii="Times New Roman" w:eastAsia="宋体" w:hAnsi="Times New Roman" w:cs="宋体"/>
                <w:color w:val="000000"/>
                <w:kern w:val="0"/>
                <w:sz w:val="24"/>
                <w:szCs w:val="24"/>
              </w:rPr>
              <w:t>CL-B11</w:t>
            </w:r>
          </w:p>
        </w:tc>
        <w:tc>
          <w:tcPr>
            <w:tcW w:w="4020" w:type="dxa"/>
            <w:hideMark/>
          </w:tcPr>
          <w:p w14:paraId="62DD4DEF"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Hedges</w:t>
            </w:r>
          </w:p>
        </w:tc>
        <w:tc>
          <w:tcPr>
            <w:tcW w:w="2460" w:type="dxa"/>
            <w:hideMark/>
          </w:tcPr>
          <w:p w14:paraId="5F03B56B"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(1) Mitigate commitment; (2) admit alternative voices</w:t>
            </w:r>
          </w:p>
        </w:tc>
        <w:tc>
          <w:tcPr>
            <w:tcW w:w="2240" w:type="dxa"/>
            <w:hideMark/>
          </w:tcPr>
          <w:p w14:paraId="2C53C3C8"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The epistemic modality of the source is altered such that tentative claims are presented as categorical, or admitted exceptions and alternative voices are suppressed</w:t>
            </w:r>
          </w:p>
        </w:tc>
      </w:tr>
      <w:tr w:rsidR="00A1660F" w:rsidRPr="00A1660F" w14:paraId="51412747" w14:textId="77777777" w:rsidTr="00A1660F">
        <w:trPr>
          <w:trHeight w:val="1130"/>
        </w:trPr>
        <w:tc>
          <w:tcPr>
            <w:tcW w:w="740" w:type="dxa"/>
            <w:hideMark/>
          </w:tcPr>
          <w:p w14:paraId="73E07DF9"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CL-B12</w:t>
            </w:r>
          </w:p>
        </w:tc>
        <w:tc>
          <w:tcPr>
            <w:tcW w:w="4020" w:type="dxa"/>
            <w:hideMark/>
          </w:tcPr>
          <w:p w14:paraId="064DB4F1"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Boosters</w:t>
            </w:r>
          </w:p>
        </w:tc>
        <w:tc>
          <w:tcPr>
            <w:tcW w:w="2460" w:type="dxa"/>
            <w:hideMark/>
          </w:tcPr>
          <w:p w14:paraId="6E234236"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(1) Close down alternatives; (2) head off conflicting views; (3) express their certainty</w:t>
            </w:r>
          </w:p>
        </w:tc>
        <w:tc>
          <w:tcPr>
            <w:tcW w:w="2240" w:type="dxa"/>
            <w:hideMark/>
          </w:tcPr>
          <w:p w14:paraId="59B00874"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The certainty signalled by the source is attenuated, or unwarranted certainty is introduced into propositions that the source presents as provisional</w:t>
            </w:r>
          </w:p>
        </w:tc>
      </w:tr>
      <w:tr w:rsidR="00A1660F" w:rsidRPr="00A1660F" w14:paraId="0E441843" w14:textId="77777777" w:rsidTr="00A1660F">
        <w:trPr>
          <w:trHeight w:val="1140"/>
        </w:trPr>
        <w:tc>
          <w:tcPr>
            <w:tcW w:w="740" w:type="dxa"/>
            <w:hideMark/>
          </w:tcPr>
          <w:p w14:paraId="4B8CA02A"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CL-B13</w:t>
            </w:r>
          </w:p>
        </w:tc>
        <w:tc>
          <w:tcPr>
            <w:tcW w:w="4020" w:type="dxa"/>
            <w:hideMark/>
          </w:tcPr>
          <w:p w14:paraId="6CE94F23"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Attitude markers</w:t>
            </w:r>
          </w:p>
        </w:tc>
        <w:tc>
          <w:tcPr>
            <w:tcW w:w="2460" w:type="dxa"/>
            <w:hideMark/>
          </w:tcPr>
          <w:p w14:paraId="4D8DD06C"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Convey affective stance toward propositions</w:t>
            </w:r>
          </w:p>
        </w:tc>
        <w:tc>
          <w:tcPr>
            <w:tcW w:w="2240" w:type="dxa"/>
            <w:hideMark/>
          </w:tcPr>
          <w:p w14:paraId="5481AFDA"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 xml:space="preserve">The writer's affective stance toward a proposition </w:t>
            </w:r>
            <w:r w:rsidRPr="00A1660F">
              <w:rPr>
                <w:rFonts w:ascii="Times New Roman" w:eastAsia="宋体" w:hAnsi="Times New Roman" w:cs="宋体"/>
                <w:color w:val="000000"/>
                <w:kern w:val="0"/>
                <w:sz w:val="24"/>
                <w:szCs w:val="24"/>
              </w:rPr>
              <w:lastRenderedPageBreak/>
              <w:t>(surprise, importance, agreement, doubt, etc.) is misrepresented, neutralized, or inverted</w:t>
            </w:r>
          </w:p>
        </w:tc>
      </w:tr>
      <w:tr w:rsidR="00A1660F" w:rsidRPr="00A1660F" w14:paraId="0C5D9A0F" w14:textId="77777777" w:rsidTr="00A1660F">
        <w:trPr>
          <w:trHeight w:val="1160"/>
        </w:trPr>
        <w:tc>
          <w:tcPr>
            <w:tcW w:w="740" w:type="dxa"/>
            <w:hideMark/>
          </w:tcPr>
          <w:p w14:paraId="6563828D"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lastRenderedPageBreak/>
              <w:t>CL-B14</w:t>
            </w:r>
          </w:p>
        </w:tc>
        <w:tc>
          <w:tcPr>
            <w:tcW w:w="4020" w:type="dxa"/>
            <w:hideMark/>
          </w:tcPr>
          <w:p w14:paraId="35944E9D"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Self-mention</w:t>
            </w:r>
          </w:p>
        </w:tc>
        <w:tc>
          <w:tcPr>
            <w:tcW w:w="2460" w:type="dxa"/>
            <w:hideMark/>
          </w:tcPr>
          <w:p w14:paraId="1598AC63"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Mark authorial presence (first-person pronouns and possessive adjectives, e.g. I, me, mine, exclusive we, our, ours)</w:t>
            </w:r>
          </w:p>
        </w:tc>
        <w:tc>
          <w:tcPr>
            <w:tcW w:w="2240" w:type="dxa"/>
            <w:hideMark/>
          </w:tcPr>
          <w:p w14:paraId="1D1A1328"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Authorial presence is suppressed where the source foregrounds it, or introduced where the source effaces it, altering the rhetorical positioning of the writer</w:t>
            </w:r>
          </w:p>
        </w:tc>
      </w:tr>
      <w:tr w:rsidR="00A1660F" w:rsidRPr="00A1660F" w14:paraId="719A266F" w14:textId="77777777" w:rsidTr="00A1660F">
        <w:trPr>
          <w:trHeight w:val="2320"/>
        </w:trPr>
        <w:tc>
          <w:tcPr>
            <w:tcW w:w="740" w:type="dxa"/>
            <w:hideMark/>
          </w:tcPr>
          <w:p w14:paraId="7DEBF196"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CL-B15</w:t>
            </w:r>
          </w:p>
        </w:tc>
        <w:tc>
          <w:tcPr>
            <w:tcW w:w="4020" w:type="dxa"/>
            <w:hideMark/>
          </w:tcPr>
          <w:p w14:paraId="5F9FF3E9"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Engagement markers</w:t>
            </w:r>
          </w:p>
        </w:tc>
        <w:tc>
          <w:tcPr>
            <w:tcW w:w="2460" w:type="dxa"/>
            <w:hideMark/>
          </w:tcPr>
          <w:p w14:paraId="165D2B8E"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t xml:space="preserve">Address readers directly as discourse participants (1) addressing them as participants in an argument with reader pronouns (you, your, inclusive we) and interjections (by the way, you may notice); (2) pulling </w:t>
            </w:r>
            <w:r w:rsidRPr="00A1660F">
              <w:rPr>
                <w:rFonts w:ascii="Times New Roman" w:eastAsia="宋体" w:hAnsi="Times New Roman" w:cs="宋体"/>
                <w:color w:val="000000"/>
                <w:kern w:val="0"/>
                <w:sz w:val="24"/>
                <w:szCs w:val="24"/>
              </w:rPr>
              <w:lastRenderedPageBreak/>
              <w:t>readers into the discourse at critical points through questions, directives (mainly imperatives such as see, note and consider and obligation modals such as should, must, have to, etc.)</w:t>
            </w:r>
          </w:p>
        </w:tc>
        <w:tc>
          <w:tcPr>
            <w:tcW w:w="2240" w:type="dxa"/>
            <w:hideMark/>
          </w:tcPr>
          <w:p w14:paraId="0F5CAE5F" w14:textId="77777777" w:rsidR="00A1660F" w:rsidRPr="00A1660F" w:rsidRDefault="00A1660F" w:rsidP="00A1660F">
            <w:pPr>
              <w:widowControl/>
              <w:spacing w:line="360" w:lineRule="auto"/>
              <w:jc w:val="left"/>
              <w:rPr>
                <w:rFonts w:ascii="Times New Roman" w:eastAsia="宋体" w:hAnsi="Times New Roman" w:cs="宋体"/>
                <w:color w:val="000000"/>
                <w:kern w:val="0"/>
                <w:sz w:val="24"/>
                <w:szCs w:val="24"/>
              </w:rPr>
            </w:pPr>
            <w:r w:rsidRPr="00A1660F">
              <w:rPr>
                <w:rFonts w:ascii="Times New Roman" w:eastAsia="宋体" w:hAnsi="Times New Roman" w:cs="宋体"/>
                <w:color w:val="000000"/>
                <w:kern w:val="0"/>
                <w:sz w:val="24"/>
                <w:szCs w:val="24"/>
              </w:rPr>
              <w:lastRenderedPageBreak/>
              <w:t>Direct addresses to the reader are omitted or distorted, weakening the reader's positioning as participant in the unfolding argument</w:t>
            </w:r>
          </w:p>
        </w:tc>
      </w:tr>
    </w:tbl>
    <w:p w14:paraId="4C546C6F" w14:textId="2DA32BCC"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2596962C"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4.5 Source-Text Crediting Mechanism</w:t>
      </w:r>
    </w:p>
    <w:p w14:paraId="1D0BD72D" w14:textId="77777777" w:rsid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In line with the MQM principle that translators should be credited for improvements over the source text (Lommel, Burchardt and Uszkoreit 2014), and acknowledging Heim and Tymowski's (2006) observation that social science translators frequently confront source-text deficiencies, the framework permits bidirectional assessment:</w:t>
      </w:r>
    </w:p>
    <w:p w14:paraId="6E186E50" w14:textId="1572476C" w:rsidR="009F6EC4" w:rsidRDefault="009F6EC4" w:rsidP="00A16BC0">
      <w:pPr>
        <w:widowControl/>
        <w:spacing w:line="360" w:lineRule="auto"/>
        <w:jc w:val="left"/>
        <w:rPr>
          <w:rFonts w:ascii="Times New Roman" w:eastAsia="宋体" w:hAnsi="Times New Roman" w:cs="宋体"/>
          <w:color w:val="000000"/>
          <w:kern w:val="0"/>
          <w:sz w:val="24"/>
          <w:szCs w:val="24"/>
          <w:lang w:val="en-US"/>
        </w:rPr>
      </w:pPr>
      <m:oMathPara>
        <m:oMath>
          <m:r>
            <w:rPr>
              <w:rFonts w:ascii="Cambria Math" w:eastAsia="宋体" w:hAnsi="Cambria Math" w:cs="宋体"/>
              <w:color w:val="000000"/>
              <w:kern w:val="0"/>
              <w:sz w:val="24"/>
              <w:szCs w:val="24"/>
              <w:lang w:val="en-US"/>
            </w:rPr>
            <m:t>TQ=100-</m:t>
          </m:r>
          <m:d>
            <m:dPr>
              <m:ctrlPr>
                <w:rPr>
                  <w:rFonts w:ascii="Cambria Math" w:eastAsia="宋体" w:hAnsi="Cambria Math" w:cs="宋体"/>
                  <w:i/>
                  <w:color w:val="000000"/>
                  <w:kern w:val="0"/>
                  <w:sz w:val="24"/>
                  <w:szCs w:val="24"/>
                  <w:lang w:val="en-US"/>
                </w:rPr>
              </m:ctrlPr>
            </m:dPr>
            <m:e>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CR-T</m:t>
                  </m:r>
                </m:sub>
              </m:sSub>
              <m:r>
                <w:rPr>
                  <w:rFonts w:ascii="Cambria Math" w:eastAsia="宋体" w:hAnsi="Cambria Math" w:cs="宋体"/>
                  <w:color w:val="000000"/>
                  <w:kern w:val="0"/>
                  <w:sz w:val="24"/>
                  <w:szCs w:val="24"/>
                  <w:lang w:val="en-US"/>
                </w:rPr>
                <m:t>-</m:t>
              </m:r>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CR-S</m:t>
                  </m:r>
                </m:sub>
              </m:sSub>
            </m:e>
          </m:d>
          <m:r>
            <w:rPr>
              <w:rFonts w:ascii="Cambria Math" w:eastAsia="宋体" w:hAnsi="Cambria Math" w:cs="宋体"/>
              <w:color w:val="000000"/>
              <w:kern w:val="0"/>
              <w:sz w:val="24"/>
              <w:szCs w:val="24"/>
              <w:lang w:val="en-US"/>
            </w:rPr>
            <m:t>×100-(</m:t>
          </m:r>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CL-T</m:t>
              </m:r>
            </m:sub>
          </m:sSub>
          <m:r>
            <w:rPr>
              <w:rFonts w:ascii="Cambria Math" w:eastAsia="宋体" w:hAnsi="Cambria Math" w:cs="宋体"/>
              <w:color w:val="000000"/>
              <w:kern w:val="0"/>
              <w:sz w:val="24"/>
              <w:szCs w:val="24"/>
              <w:lang w:val="en-US"/>
            </w:rPr>
            <m:t>-</m:t>
          </m:r>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CL-S</m:t>
              </m:r>
            </m:sub>
          </m:sSub>
          <m:r>
            <w:rPr>
              <w:rFonts w:ascii="Cambria Math" w:eastAsia="宋体" w:hAnsi="Cambria Math" w:cs="宋体"/>
              <w:color w:val="000000"/>
              <w:kern w:val="0"/>
              <w:sz w:val="24"/>
              <w:szCs w:val="24"/>
              <w:lang w:val="en-US"/>
            </w:rPr>
            <m:t xml:space="preserve">)×100 </m:t>
          </m:r>
        </m:oMath>
      </m:oMathPara>
    </w:p>
    <w:p w14:paraId="43A59565" w14:textId="57206BD2"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78541CF3" w14:textId="1203EC8C" w:rsidR="00A16BC0" w:rsidRPr="00936074" w:rsidRDefault="00A16BC0" w:rsidP="00A16BC0">
      <w:pPr>
        <w:widowControl/>
        <w:spacing w:line="360" w:lineRule="auto"/>
        <w:jc w:val="left"/>
        <w:rPr>
          <w:rFonts w:ascii="Times New Roman" w:eastAsia="宋体" w:hAnsi="Times New Roman" w:cs="Times New Roman"/>
          <w:color w:val="000000"/>
          <w:kern w:val="0"/>
          <w:sz w:val="24"/>
          <w:szCs w:val="24"/>
          <w:lang w:val="en-US"/>
        </w:rPr>
      </w:pPr>
      <w:r w:rsidRPr="00A16BC0">
        <w:rPr>
          <w:rFonts w:ascii="Times New Roman" w:eastAsia="宋体" w:hAnsi="Times New Roman" w:cs="宋体"/>
          <w:color w:val="000000"/>
          <w:kern w:val="0"/>
          <w:sz w:val="24"/>
          <w:szCs w:val="24"/>
          <w:lang w:val="en-US"/>
        </w:rPr>
        <w:t>where subscript T denotes target-text penalties and S denotes source-text penalties (computed by applying CR-1–CR-7 and CL-A1–CL-B15 to the source text in isolation, identifying lapses of consistency, derivability, designation relations, argument-schema integrity, figural coherence, and metadiscursive clarity within the source itself). Where the source text is not assessed,</w:t>
      </w:r>
      <w:r>
        <w:rPr>
          <w:rFonts w:ascii="Times New Roman" w:eastAsia="宋体" w:hAnsi="Times New Roman" w:cs="宋体" w:hint="eastAsia"/>
          <w:color w:val="000000"/>
          <w:kern w:val="0"/>
          <w:sz w:val="24"/>
          <w:szCs w:val="24"/>
          <w:lang w:val="en-US"/>
        </w:rPr>
        <w:t xml:space="preserve"> </w:t>
      </w:r>
      <m:oMath>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CR-S</m:t>
            </m:r>
          </m:sub>
        </m:sSub>
        <m:r>
          <w:rPr>
            <w:rFonts w:ascii="Cambria Math" w:eastAsia="宋体" w:hAnsi="Cambria Math" w:cs="宋体"/>
            <w:color w:val="000000"/>
            <w:kern w:val="0"/>
            <w:sz w:val="24"/>
            <w:szCs w:val="24"/>
            <w:lang w:val="en-US"/>
          </w:rPr>
          <m:t>=</m:t>
        </m:r>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CL-S</m:t>
            </m:r>
          </m:sub>
        </m:sSub>
        <m:r>
          <w:rPr>
            <w:rFonts w:ascii="Cambria Math" w:eastAsia="宋体" w:hAnsi="Cambria Math" w:cs="宋体"/>
            <w:color w:val="000000"/>
            <w:kern w:val="0"/>
            <w:sz w:val="24"/>
            <w:szCs w:val="24"/>
            <w:lang w:val="en-US"/>
          </w:rPr>
          <m:t>=0</m:t>
        </m:r>
      </m:oMath>
      <w:r>
        <w:rPr>
          <w:rFonts w:ascii="Times New Roman" w:eastAsia="宋体" w:hAnsi="Times New Roman" w:cs="宋体" w:hint="eastAsia"/>
          <w:color w:val="000000"/>
          <w:kern w:val="0"/>
          <w:sz w:val="24"/>
          <w:szCs w:val="24"/>
          <w:lang w:val="en-US"/>
        </w:rPr>
        <w:t xml:space="preserve"> </w:t>
      </w:r>
      <w:r w:rsidRPr="00936074">
        <w:rPr>
          <w:rFonts w:ascii="Times New Roman" w:eastAsia="宋体" w:hAnsi="Times New Roman" w:cs="Times New Roman"/>
          <w:color w:val="000000"/>
          <w:kern w:val="0"/>
          <w:sz w:val="24"/>
          <w:szCs w:val="24"/>
          <w:lang w:val="en-US"/>
        </w:rPr>
        <w:t>Under this formulation, a translation that corrects defects in the source may receive a TQ score above 100.</w:t>
      </w:r>
    </w:p>
    <w:p w14:paraId="4DE788B1" w14:textId="77777777" w:rsidR="00A16BC0" w:rsidRP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t>4.6 Worked Example</w:t>
      </w:r>
    </w:p>
    <w:p w14:paraId="4673D63A" w14:textId="77777777"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Assume a target text of 5,000 words yields the following error tally: 11 errors across the seven CR sub-parameters and 13 errors across the nineteen CL sub-parameters. The translation quality score is calculated as:</w:t>
      </w:r>
    </w:p>
    <w:p w14:paraId="41DC8504" w14:textId="5B262E66" w:rsidR="00A16BC0" w:rsidRDefault="00A16BC0" w:rsidP="00A16BC0">
      <w:pPr>
        <w:widowControl/>
        <w:spacing w:line="360" w:lineRule="auto"/>
        <w:jc w:val="left"/>
        <w:rPr>
          <w:rFonts w:ascii="Times New Roman" w:eastAsia="宋体" w:hAnsi="Times New Roman" w:cs="宋体"/>
          <w:color w:val="000000"/>
          <w:kern w:val="0"/>
          <w:sz w:val="24"/>
          <w:szCs w:val="24"/>
          <w:lang w:val="en-US"/>
        </w:rPr>
      </w:pPr>
    </w:p>
    <w:p w14:paraId="13AB403B" w14:textId="36F8F9FF" w:rsidR="009F6EC4" w:rsidRPr="009F6EC4" w:rsidRDefault="009F6EC4" w:rsidP="00A16BC0">
      <w:pPr>
        <w:widowControl/>
        <w:spacing w:line="360" w:lineRule="auto"/>
        <w:jc w:val="left"/>
        <w:rPr>
          <w:rFonts w:ascii="Times New Roman" w:eastAsia="宋体" w:hAnsi="Times New Roman" w:cs="宋体"/>
          <w:color w:val="000000"/>
          <w:kern w:val="0"/>
          <w:sz w:val="24"/>
          <w:szCs w:val="24"/>
          <w:lang w:val="en-US"/>
        </w:rPr>
      </w:pPr>
      <m:oMathPara>
        <m:oMath>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CR</m:t>
              </m:r>
            </m:sub>
          </m:sSub>
          <m:r>
            <w:rPr>
              <w:rFonts w:ascii="Cambria Math" w:eastAsia="宋体" w:hAnsi="Cambria Math" w:cs="宋体"/>
              <w:color w:val="000000"/>
              <w:kern w:val="0"/>
              <w:sz w:val="24"/>
              <w:szCs w:val="24"/>
              <w:lang w:val="en-US"/>
            </w:rPr>
            <m:t>=</m:t>
          </m:r>
          <m:f>
            <m:fPr>
              <m:ctrlPr>
                <w:rPr>
                  <w:rFonts w:ascii="Cambria Math" w:eastAsia="宋体" w:hAnsi="Cambria Math" w:cs="宋体"/>
                  <w:i/>
                  <w:color w:val="000000"/>
                  <w:kern w:val="0"/>
                  <w:sz w:val="24"/>
                  <w:szCs w:val="24"/>
                  <w:lang w:val="en-US"/>
                </w:rPr>
              </m:ctrlPr>
            </m:fPr>
            <m:num>
              <m:r>
                <w:rPr>
                  <w:rFonts w:ascii="Cambria Math" w:eastAsia="宋体" w:hAnsi="Cambria Math" w:cs="宋体"/>
                  <w:color w:val="000000"/>
                  <w:kern w:val="0"/>
                  <w:sz w:val="24"/>
                  <w:szCs w:val="24"/>
                  <w:lang w:val="en-US"/>
                </w:rPr>
                <m:t>11×1</m:t>
              </m:r>
            </m:num>
            <m:den>
              <m:r>
                <w:rPr>
                  <w:rFonts w:ascii="Cambria Math" w:eastAsia="宋体" w:hAnsi="Cambria Math" w:cs="宋体"/>
                  <w:color w:val="000000"/>
                  <w:kern w:val="0"/>
                  <w:sz w:val="24"/>
                  <w:szCs w:val="24"/>
                  <w:lang w:val="en-US"/>
                </w:rPr>
                <m:t>5000</m:t>
              </m:r>
            </m:den>
          </m:f>
          <m:r>
            <w:rPr>
              <w:rFonts w:ascii="Cambria Math" w:eastAsia="宋体" w:hAnsi="Cambria Math" w:cs="宋体"/>
              <w:color w:val="000000"/>
              <w:kern w:val="0"/>
              <w:sz w:val="24"/>
              <w:szCs w:val="24"/>
              <w:lang w:val="en-US"/>
            </w:rPr>
            <m:t>=0.0022</m:t>
          </m:r>
        </m:oMath>
      </m:oMathPara>
    </w:p>
    <w:p w14:paraId="22BDBDC9" w14:textId="494FC80A" w:rsidR="009F6EC4" w:rsidRPr="009F6EC4" w:rsidRDefault="009F6EC4" w:rsidP="00A16BC0">
      <w:pPr>
        <w:widowControl/>
        <w:spacing w:line="360" w:lineRule="auto"/>
        <w:jc w:val="left"/>
        <w:rPr>
          <w:rFonts w:ascii="Times New Roman" w:eastAsia="宋体" w:hAnsi="Times New Roman" w:cs="宋体"/>
          <w:color w:val="000000"/>
          <w:kern w:val="0"/>
          <w:sz w:val="24"/>
          <w:szCs w:val="24"/>
          <w:lang w:val="en-US"/>
        </w:rPr>
      </w:pPr>
      <m:oMathPara>
        <m:oMath>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CL</m:t>
              </m:r>
            </m:sub>
          </m:sSub>
          <m:r>
            <w:rPr>
              <w:rFonts w:ascii="Cambria Math" w:eastAsia="宋体" w:hAnsi="Cambria Math" w:cs="宋体"/>
              <w:color w:val="000000"/>
              <w:kern w:val="0"/>
              <w:sz w:val="24"/>
              <w:szCs w:val="24"/>
              <w:lang w:val="en-US"/>
            </w:rPr>
            <m:t>=</m:t>
          </m:r>
          <m:f>
            <m:fPr>
              <m:ctrlPr>
                <w:rPr>
                  <w:rFonts w:ascii="Cambria Math" w:eastAsia="宋体" w:hAnsi="Cambria Math" w:cs="宋体"/>
                  <w:i/>
                  <w:color w:val="000000"/>
                  <w:kern w:val="0"/>
                  <w:sz w:val="24"/>
                  <w:szCs w:val="24"/>
                  <w:lang w:val="en-US"/>
                </w:rPr>
              </m:ctrlPr>
            </m:fPr>
            <m:num>
              <m:r>
                <w:rPr>
                  <w:rFonts w:ascii="Cambria Math" w:eastAsia="宋体" w:hAnsi="Cambria Math" w:cs="宋体"/>
                  <w:color w:val="000000"/>
                  <w:kern w:val="0"/>
                  <w:sz w:val="24"/>
                  <w:szCs w:val="24"/>
                  <w:lang w:val="en-US"/>
                </w:rPr>
                <m:t>13×5</m:t>
              </m:r>
            </m:num>
            <m:den>
              <m:r>
                <w:rPr>
                  <w:rFonts w:ascii="Cambria Math" w:eastAsia="宋体" w:hAnsi="Cambria Math" w:cs="宋体"/>
                  <w:color w:val="000000"/>
                  <w:kern w:val="0"/>
                  <w:sz w:val="24"/>
                  <w:szCs w:val="24"/>
                  <w:lang w:val="en-US"/>
                </w:rPr>
                <m:t>5000</m:t>
              </m:r>
            </m:den>
          </m:f>
          <m:r>
            <w:rPr>
              <w:rFonts w:ascii="Cambria Math" w:eastAsia="宋体" w:hAnsi="Cambria Math" w:cs="宋体"/>
              <w:color w:val="000000"/>
              <w:kern w:val="0"/>
              <w:sz w:val="24"/>
              <w:szCs w:val="24"/>
              <w:lang w:val="en-US"/>
            </w:rPr>
            <m:t>=0.013</m:t>
          </m:r>
        </m:oMath>
      </m:oMathPara>
    </w:p>
    <w:p w14:paraId="3611662A" w14:textId="7D689685" w:rsidR="009F6EC4" w:rsidRDefault="009F6EC4" w:rsidP="00A16BC0">
      <w:pPr>
        <w:widowControl/>
        <w:spacing w:line="360" w:lineRule="auto"/>
        <w:jc w:val="left"/>
        <w:rPr>
          <w:rFonts w:ascii="Times New Roman" w:eastAsia="宋体" w:hAnsi="Times New Roman" w:cs="宋体" w:hint="eastAsia"/>
          <w:color w:val="000000"/>
          <w:kern w:val="0"/>
          <w:sz w:val="24"/>
          <w:szCs w:val="24"/>
          <w:lang w:val="en-US"/>
        </w:rPr>
      </w:pPr>
      <m:oMathPara>
        <m:oMath>
          <m:r>
            <w:rPr>
              <w:rFonts w:ascii="Cambria Math" w:eastAsia="宋体" w:hAnsi="Cambria Math" w:cs="宋体"/>
              <w:color w:val="000000"/>
              <w:kern w:val="0"/>
              <w:sz w:val="24"/>
              <w:szCs w:val="24"/>
              <w:lang w:val="en-US"/>
            </w:rPr>
            <m:t>TQ=100-</m:t>
          </m:r>
          <m:d>
            <m:dPr>
              <m:ctrlPr>
                <w:rPr>
                  <w:rFonts w:ascii="Cambria Math" w:eastAsia="宋体" w:hAnsi="Cambria Math" w:cs="宋体"/>
                  <w:i/>
                  <w:color w:val="000000"/>
                  <w:kern w:val="0"/>
                  <w:sz w:val="24"/>
                  <w:szCs w:val="24"/>
                  <w:lang w:val="en-US"/>
                </w:rPr>
              </m:ctrlPr>
            </m:dPr>
            <m:e>
              <m:r>
                <w:rPr>
                  <w:rFonts w:ascii="Cambria Math" w:eastAsia="宋体" w:hAnsi="Cambria Math" w:cs="宋体"/>
                  <w:color w:val="000000"/>
                  <w:kern w:val="0"/>
                  <w:sz w:val="24"/>
                  <w:szCs w:val="24"/>
                  <w:lang w:val="en-US"/>
                </w:rPr>
                <m:t>0.0022+0.013</m:t>
              </m:r>
            </m:e>
          </m:d>
          <m:r>
            <w:rPr>
              <w:rFonts w:ascii="Cambria Math" w:eastAsia="宋体" w:hAnsi="Cambria Math" w:cs="宋体"/>
              <w:color w:val="000000"/>
              <w:kern w:val="0"/>
              <w:sz w:val="24"/>
              <w:szCs w:val="24"/>
              <w:lang w:val="en-US"/>
            </w:rPr>
            <m:t>×100=98.48</m:t>
          </m:r>
        </m:oMath>
      </m:oMathPara>
    </w:p>
    <w:p w14:paraId="6724D329" w14:textId="47B4123F" w:rsidR="00121776" w:rsidRPr="00121776" w:rsidRDefault="00634CF7" w:rsidP="00121776">
      <w:pPr>
        <w:widowControl/>
        <w:spacing w:before="100" w:beforeAutospacing="1" w:after="100" w:afterAutospacing="1" w:line="360" w:lineRule="auto"/>
        <w:jc w:val="left"/>
        <w:outlineLvl w:val="1"/>
        <w:rPr>
          <w:rFonts w:ascii="Times New Roman" w:eastAsia="宋体" w:hAnsi="Times New Roman" w:cs="宋体"/>
          <w:b/>
          <w:bCs/>
          <w:color w:val="000000"/>
          <w:kern w:val="0"/>
          <w:sz w:val="24"/>
          <w:szCs w:val="36"/>
          <w:lang w:val="en-US"/>
        </w:rPr>
      </w:pPr>
      <w:r>
        <w:rPr>
          <w:rFonts w:ascii="Times New Roman" w:eastAsia="宋体" w:hAnsi="Times New Roman" w:cs="宋体" w:hint="eastAsia"/>
          <w:b/>
          <w:bCs/>
          <w:color w:val="000000"/>
          <w:kern w:val="0"/>
          <w:sz w:val="24"/>
          <w:szCs w:val="36"/>
          <w:lang w:val="en-US"/>
        </w:rPr>
        <w:t>5</w:t>
      </w:r>
      <w:r w:rsidR="00121776" w:rsidRPr="00121776">
        <w:rPr>
          <w:rFonts w:ascii="Times New Roman" w:eastAsia="宋体" w:hAnsi="Times New Roman" w:cs="宋体"/>
          <w:b/>
          <w:bCs/>
          <w:color w:val="000000"/>
          <w:kern w:val="0"/>
          <w:sz w:val="24"/>
          <w:szCs w:val="36"/>
          <w:lang w:val="en-US"/>
        </w:rPr>
        <w:t>. Methodological Justification</w:t>
      </w:r>
    </w:p>
    <w:p w14:paraId="0AC5B6BF"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The CB-TQA framework rests on three lines of justification:</w:t>
      </w:r>
    </w:p>
    <w:p w14:paraId="5E00719C"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Ontological justification.</w:t>
      </w:r>
      <w:r w:rsidRPr="00121776">
        <w:rPr>
          <w:rFonts w:ascii="Times New Roman" w:eastAsia="宋体" w:hAnsi="Times New Roman" w:cs="宋体"/>
          <w:color w:val="000000"/>
          <w:kern w:val="0"/>
          <w:sz w:val="24"/>
          <w:szCs w:val="24"/>
          <w:lang w:val="en-US"/>
        </w:rPr>
        <w:t xml:space="preserve"> Concepts constitute the fundamental units of social scientific knowledge (Felber 1984; Faber 2012). Their cross-linguistic transfer therefore depends on two carriers: linguistic designations as symbolic vehicles (Felber 1984: 167; ISO 704:2022) and argumentative sequences as logical vehicles (Ghosh 2001; Williams 2004). The two dimensions of the framework correspond to these two modes of carriage.</w:t>
      </w:r>
    </w:p>
    <w:p w14:paraId="52135EAA"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Methodological justification.</w:t>
      </w:r>
      <w:r w:rsidRPr="00121776">
        <w:rPr>
          <w:rFonts w:ascii="Times New Roman" w:eastAsia="宋体" w:hAnsi="Times New Roman" w:cs="宋体"/>
          <w:color w:val="000000"/>
          <w:kern w:val="0"/>
          <w:sz w:val="24"/>
          <w:szCs w:val="24"/>
          <w:lang w:val="en-US"/>
        </w:rPr>
        <w:t xml:space="preserve"> Williams (2004) provides the most developed argumentation-centred framework for translation quality assessment, but his rhetorical topology comprises six overlapping sub-parameters whose operationalization is unstable. The present framework reconstructs this layer using Fahnestock's (2011) figures of argument and Hyland's (2019) metadiscourse model — both of which are corpus-validated and widely deployed in discourse analysis — and consolidates Williams's qualifier and rebuttal under Hyland's hedges to eliminate redundancy.</w:t>
      </w:r>
    </w:p>
    <w:p w14:paraId="4C23764D"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Procedural justification.</w:t>
      </w:r>
      <w:r w:rsidRPr="00121776">
        <w:rPr>
          <w:rFonts w:ascii="Times New Roman" w:eastAsia="宋体" w:hAnsi="Times New Roman" w:cs="宋体"/>
          <w:color w:val="000000"/>
          <w:kern w:val="0"/>
          <w:sz w:val="24"/>
          <w:szCs w:val="24"/>
          <w:lang w:val="en-US"/>
        </w:rPr>
        <w:t xml:space="preserve"> The differential weighting of the two dimensions (CR default minor; CL default major) operationalizes Williams's (2004: 22–23) claim that argument constitutes "the essential elements of a text's message" in reasoned discourse. The integration of escalation rules and the source-text crediting mechanism aligns the framework with the flexibility principle of MQM (Lommel, Burchardt and Uszkoreit 2014), avoiding the rigidity that has limited the applicability of earlier one-size-fits-all metrics such as the LISA QA Model and SAE J2450.</w:t>
      </w:r>
    </w:p>
    <w:p w14:paraId="077E39F3" w14:textId="77777777" w:rsidR="00121776" w:rsidRPr="00121776" w:rsidRDefault="00000000" w:rsidP="00121776">
      <w:pPr>
        <w:widowControl/>
        <w:spacing w:line="360" w:lineRule="auto"/>
        <w:jc w:val="left"/>
        <w:rPr>
          <w:rFonts w:ascii="Times New Roman" w:eastAsia="宋体" w:hAnsi="Times New Roman" w:cs="宋体"/>
          <w:color w:val="000000"/>
          <w:kern w:val="0"/>
          <w:sz w:val="24"/>
          <w:szCs w:val="24"/>
          <w:lang w:val="en-US"/>
        </w:rPr>
      </w:pPr>
      <w:r>
        <w:rPr>
          <w:rFonts w:ascii="Times New Roman" w:eastAsia="宋体" w:hAnsi="Times New Roman" w:cs="宋体"/>
          <w:color w:val="000000"/>
          <w:kern w:val="0"/>
          <w:sz w:val="24"/>
          <w:szCs w:val="24"/>
          <w:lang w:val="en-US"/>
        </w:rPr>
        <w:lastRenderedPageBreak/>
        <w:pict w14:anchorId="6ABB764D">
          <v:rect id="_x0000_i1027" style="width:0;height:1.5pt" o:hralign="center" o:hrstd="t" o:hr="t" fillcolor="#a0a0a0" stroked="f"/>
        </w:pict>
      </w:r>
    </w:p>
    <w:p w14:paraId="1081C7D1" w14:textId="77777777" w:rsidR="00121776" w:rsidRPr="00121776" w:rsidRDefault="00121776" w:rsidP="00121776">
      <w:pPr>
        <w:widowControl/>
        <w:spacing w:before="100" w:beforeAutospacing="1" w:after="100" w:afterAutospacing="1" w:line="360" w:lineRule="auto"/>
        <w:jc w:val="left"/>
        <w:outlineLvl w:val="1"/>
        <w:rPr>
          <w:rFonts w:ascii="Times New Roman" w:eastAsia="宋体" w:hAnsi="Times New Roman" w:cs="宋体"/>
          <w:b/>
          <w:bCs/>
          <w:color w:val="000000"/>
          <w:kern w:val="0"/>
          <w:sz w:val="24"/>
          <w:szCs w:val="36"/>
          <w:lang w:val="en-US"/>
        </w:rPr>
      </w:pPr>
      <w:r w:rsidRPr="00121776">
        <w:rPr>
          <w:rFonts w:ascii="Times New Roman" w:eastAsia="宋体" w:hAnsi="Times New Roman" w:cs="宋体"/>
          <w:b/>
          <w:bCs/>
          <w:color w:val="000000"/>
          <w:kern w:val="0"/>
          <w:sz w:val="24"/>
          <w:szCs w:val="36"/>
          <w:lang w:val="en-US"/>
        </w:rPr>
        <w:t>References (for the framework section)</w:t>
      </w:r>
    </w:p>
    <w:p w14:paraId="5DDB5AAA"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Faber, Pamela, ed. 2012. </w:t>
      </w:r>
      <w:r w:rsidRPr="00121776">
        <w:rPr>
          <w:rFonts w:ascii="Times New Roman" w:eastAsia="宋体" w:hAnsi="Times New Roman" w:cs="宋体"/>
          <w:i/>
          <w:iCs/>
          <w:color w:val="000000"/>
          <w:kern w:val="0"/>
          <w:sz w:val="24"/>
          <w:szCs w:val="24"/>
          <w:lang w:val="en-US"/>
        </w:rPr>
        <w:t>A Cognitive Linguistics View of Terminology and Specialized Language</w:t>
      </w:r>
      <w:r w:rsidRPr="00121776">
        <w:rPr>
          <w:rFonts w:ascii="Times New Roman" w:eastAsia="宋体" w:hAnsi="Times New Roman" w:cs="宋体"/>
          <w:color w:val="000000"/>
          <w:kern w:val="0"/>
          <w:sz w:val="24"/>
          <w:szCs w:val="24"/>
          <w:lang w:val="en-US"/>
        </w:rPr>
        <w:t>. Berlin: De Gruyter Mouton.</w:t>
      </w:r>
    </w:p>
    <w:p w14:paraId="43321F5F"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Fahnestock, Jeanne. 2011. </w:t>
      </w:r>
      <w:r w:rsidRPr="00121776">
        <w:rPr>
          <w:rFonts w:ascii="Times New Roman" w:eastAsia="宋体" w:hAnsi="Times New Roman" w:cs="宋体"/>
          <w:i/>
          <w:iCs/>
          <w:color w:val="000000"/>
          <w:kern w:val="0"/>
          <w:sz w:val="24"/>
          <w:szCs w:val="24"/>
          <w:lang w:val="en-US"/>
        </w:rPr>
        <w:t>Rhetorical Style: The Uses of Language in Persuasion</w:t>
      </w:r>
      <w:r w:rsidRPr="00121776">
        <w:rPr>
          <w:rFonts w:ascii="Times New Roman" w:eastAsia="宋体" w:hAnsi="Times New Roman" w:cs="宋体"/>
          <w:color w:val="000000"/>
          <w:kern w:val="0"/>
          <w:sz w:val="24"/>
          <w:szCs w:val="24"/>
          <w:lang w:val="en-US"/>
        </w:rPr>
        <w:t>. Oxford: Oxford University Press.</w:t>
      </w:r>
    </w:p>
    <w:p w14:paraId="74EA63C3"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Felber, Helmut. 1984. </w:t>
      </w:r>
      <w:r w:rsidRPr="00121776">
        <w:rPr>
          <w:rFonts w:ascii="Times New Roman" w:eastAsia="宋体" w:hAnsi="Times New Roman" w:cs="宋体"/>
          <w:i/>
          <w:iCs/>
          <w:color w:val="000000"/>
          <w:kern w:val="0"/>
          <w:sz w:val="24"/>
          <w:szCs w:val="24"/>
          <w:lang w:val="en-US"/>
        </w:rPr>
        <w:t>Terminology Manual</w:t>
      </w:r>
      <w:r w:rsidRPr="00121776">
        <w:rPr>
          <w:rFonts w:ascii="Times New Roman" w:eastAsia="宋体" w:hAnsi="Times New Roman" w:cs="宋体"/>
          <w:color w:val="000000"/>
          <w:kern w:val="0"/>
          <w:sz w:val="24"/>
          <w:szCs w:val="24"/>
          <w:lang w:val="en-US"/>
        </w:rPr>
        <w:t>. Paris: Unesco / Infoterm.</w:t>
      </w:r>
    </w:p>
    <w:p w14:paraId="5F023164"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Ghosh, Peter. 2001. "Translation as a Conceptual Act." </w:t>
      </w:r>
      <w:r w:rsidRPr="00121776">
        <w:rPr>
          <w:rFonts w:ascii="Times New Roman" w:eastAsia="宋体" w:hAnsi="Times New Roman" w:cs="宋体"/>
          <w:i/>
          <w:iCs/>
          <w:color w:val="000000"/>
          <w:kern w:val="0"/>
          <w:sz w:val="24"/>
          <w:szCs w:val="24"/>
          <w:lang w:val="en-US"/>
        </w:rPr>
        <w:t>Max Weber Studies</w:t>
      </w:r>
      <w:r w:rsidRPr="00121776">
        <w:rPr>
          <w:rFonts w:ascii="Times New Roman" w:eastAsia="宋体" w:hAnsi="Times New Roman" w:cs="宋体"/>
          <w:color w:val="000000"/>
          <w:kern w:val="0"/>
          <w:sz w:val="24"/>
          <w:szCs w:val="24"/>
          <w:lang w:val="en-US"/>
        </w:rPr>
        <w:t xml:space="preserve"> 2 (1): 59–63.</w:t>
      </w:r>
    </w:p>
    <w:p w14:paraId="722DA56A"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Heim, Michael Henry, and Andrzej W. Tymowski. 2006. </w:t>
      </w:r>
      <w:r w:rsidRPr="00121776">
        <w:rPr>
          <w:rFonts w:ascii="Times New Roman" w:eastAsia="宋体" w:hAnsi="Times New Roman" w:cs="宋体"/>
          <w:i/>
          <w:iCs/>
          <w:color w:val="000000"/>
          <w:kern w:val="0"/>
          <w:sz w:val="24"/>
          <w:szCs w:val="24"/>
          <w:lang w:val="en-US"/>
        </w:rPr>
        <w:t>Guidelines for the Translation of Social Science Texts</w:t>
      </w:r>
      <w:r w:rsidRPr="00121776">
        <w:rPr>
          <w:rFonts w:ascii="Times New Roman" w:eastAsia="宋体" w:hAnsi="Times New Roman" w:cs="宋体"/>
          <w:color w:val="000000"/>
          <w:kern w:val="0"/>
          <w:sz w:val="24"/>
          <w:szCs w:val="24"/>
          <w:lang w:val="en-US"/>
        </w:rPr>
        <w:t>. New York: American Council of Learned Societies.</w:t>
      </w:r>
    </w:p>
    <w:p w14:paraId="5C2FB669"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Hyland, Ken. 2019. </w:t>
      </w:r>
      <w:r w:rsidRPr="00121776">
        <w:rPr>
          <w:rFonts w:ascii="Times New Roman" w:eastAsia="宋体" w:hAnsi="Times New Roman" w:cs="宋体"/>
          <w:i/>
          <w:iCs/>
          <w:color w:val="000000"/>
          <w:kern w:val="0"/>
          <w:sz w:val="24"/>
          <w:szCs w:val="24"/>
          <w:lang w:val="en-US"/>
        </w:rPr>
        <w:t>Metadiscourse: Exploring Interaction in Writing</w:t>
      </w:r>
      <w:r w:rsidRPr="00121776">
        <w:rPr>
          <w:rFonts w:ascii="Times New Roman" w:eastAsia="宋体" w:hAnsi="Times New Roman" w:cs="宋体"/>
          <w:color w:val="000000"/>
          <w:kern w:val="0"/>
          <w:sz w:val="24"/>
          <w:szCs w:val="24"/>
          <w:lang w:val="en-US"/>
        </w:rPr>
        <w:t>. 2nd ed. London: Bloomsbury.</w:t>
      </w:r>
    </w:p>
    <w:p w14:paraId="2D75D15B"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ISO. 2022. </w:t>
      </w:r>
      <w:r w:rsidRPr="00121776">
        <w:rPr>
          <w:rFonts w:ascii="Times New Roman" w:eastAsia="宋体" w:hAnsi="Times New Roman" w:cs="宋体"/>
          <w:i/>
          <w:iCs/>
          <w:color w:val="000000"/>
          <w:kern w:val="0"/>
          <w:sz w:val="24"/>
          <w:szCs w:val="24"/>
          <w:lang w:val="en-US"/>
        </w:rPr>
        <w:t>ISO 704:2022 — Terminology Work — Principles and Methods</w:t>
      </w:r>
      <w:r w:rsidRPr="00121776">
        <w:rPr>
          <w:rFonts w:ascii="Times New Roman" w:eastAsia="宋体" w:hAnsi="Times New Roman" w:cs="宋体"/>
          <w:color w:val="000000"/>
          <w:kern w:val="0"/>
          <w:sz w:val="24"/>
          <w:szCs w:val="24"/>
          <w:lang w:val="en-US"/>
        </w:rPr>
        <w:t>. Geneva: ISO.</w:t>
      </w:r>
    </w:p>
    <w:p w14:paraId="1BED6987" w14:textId="2D36CAA6"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Lommel, Arle, Aljoscha Burchardt, and Hans Uszkoreit. 201</w:t>
      </w:r>
      <w:r w:rsidR="00E5079A">
        <w:rPr>
          <w:rFonts w:ascii="Times New Roman" w:eastAsia="宋体" w:hAnsi="Times New Roman" w:cs="宋体" w:hint="eastAsia"/>
          <w:color w:val="000000"/>
          <w:kern w:val="0"/>
          <w:sz w:val="24"/>
          <w:szCs w:val="24"/>
          <w:lang w:val="en-US"/>
        </w:rPr>
        <w:t>3</w:t>
      </w:r>
      <w:r w:rsidRPr="00121776">
        <w:rPr>
          <w:rFonts w:ascii="Times New Roman" w:eastAsia="宋体" w:hAnsi="Times New Roman" w:cs="宋体"/>
          <w:color w:val="000000"/>
          <w:kern w:val="0"/>
          <w:sz w:val="24"/>
          <w:szCs w:val="24"/>
          <w:lang w:val="en-US"/>
        </w:rPr>
        <w:t xml:space="preserve">. "Multidimensional Quality Metrics: A Flexible System for Assessing Translation Quality." In </w:t>
      </w:r>
      <w:r w:rsidRPr="00121776">
        <w:rPr>
          <w:rFonts w:ascii="Times New Roman" w:eastAsia="宋体" w:hAnsi="Times New Roman" w:cs="宋体"/>
          <w:i/>
          <w:iCs/>
          <w:color w:val="000000"/>
          <w:kern w:val="0"/>
          <w:sz w:val="24"/>
          <w:szCs w:val="24"/>
          <w:lang w:val="en-US"/>
        </w:rPr>
        <w:t>Proceedings of Translating and the Computer 35</w:t>
      </w:r>
      <w:r w:rsidRPr="00121776">
        <w:rPr>
          <w:rFonts w:ascii="Times New Roman" w:eastAsia="宋体" w:hAnsi="Times New Roman" w:cs="宋体"/>
          <w:color w:val="000000"/>
          <w:kern w:val="0"/>
          <w:sz w:val="24"/>
          <w:szCs w:val="24"/>
          <w:lang w:val="en-US"/>
        </w:rPr>
        <w:t>. London: Aslib.</w:t>
      </w:r>
    </w:p>
    <w:p w14:paraId="7DF60EDF"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Williams, Malcolm. 2004. </w:t>
      </w:r>
      <w:r w:rsidRPr="00121776">
        <w:rPr>
          <w:rFonts w:ascii="Times New Roman" w:eastAsia="宋体" w:hAnsi="Times New Roman" w:cs="宋体"/>
          <w:i/>
          <w:iCs/>
          <w:color w:val="000000"/>
          <w:kern w:val="0"/>
          <w:sz w:val="24"/>
          <w:szCs w:val="24"/>
          <w:lang w:val="en-US"/>
        </w:rPr>
        <w:t>Translation Quality Assessment: An Argumentation-Centred Approach</w:t>
      </w:r>
      <w:r w:rsidRPr="00121776">
        <w:rPr>
          <w:rFonts w:ascii="Times New Roman" w:eastAsia="宋体" w:hAnsi="Times New Roman" w:cs="宋体"/>
          <w:color w:val="000000"/>
          <w:kern w:val="0"/>
          <w:sz w:val="24"/>
          <w:szCs w:val="24"/>
          <w:lang w:val="en-US"/>
        </w:rPr>
        <w:t>. Ottawa: University of Ottawa Press.</w:t>
      </w:r>
    </w:p>
    <w:p w14:paraId="2CAE7E2B" w14:textId="77777777" w:rsidR="007F6C2E" w:rsidRPr="00121776" w:rsidRDefault="007F6C2E" w:rsidP="00121776">
      <w:pPr>
        <w:spacing w:line="360" w:lineRule="auto"/>
        <w:rPr>
          <w:rFonts w:ascii="Times New Roman" w:eastAsia="宋体" w:hAnsi="Times New Roman"/>
          <w:sz w:val="24"/>
        </w:rPr>
      </w:pPr>
    </w:p>
    <w:sectPr w:rsidR="007F6C2E" w:rsidRPr="0012177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AA714" w14:textId="77777777" w:rsidR="006C0FF9" w:rsidRDefault="006C0FF9" w:rsidP="00970C9A">
      <w:pPr>
        <w:rPr>
          <w:rFonts w:hint="eastAsia"/>
        </w:rPr>
      </w:pPr>
      <w:r>
        <w:separator/>
      </w:r>
    </w:p>
  </w:endnote>
  <w:endnote w:type="continuationSeparator" w:id="0">
    <w:p w14:paraId="593A86B4" w14:textId="77777777" w:rsidR="006C0FF9" w:rsidRDefault="006C0FF9" w:rsidP="00970C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38699"/>
      <w:docPartObj>
        <w:docPartGallery w:val="Page Numbers (Bottom of Page)"/>
        <w:docPartUnique/>
      </w:docPartObj>
    </w:sdtPr>
    <w:sdtContent>
      <w:sdt>
        <w:sdtPr>
          <w:id w:val="1728636285"/>
          <w:docPartObj>
            <w:docPartGallery w:val="Page Numbers (Top of Page)"/>
            <w:docPartUnique/>
          </w:docPartObj>
        </w:sdtPr>
        <w:sdtContent>
          <w:p w14:paraId="786FEA97" w14:textId="7286D2FE" w:rsidR="00970C9A" w:rsidRDefault="00970C9A">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764D05D" w14:textId="77777777" w:rsidR="00970C9A" w:rsidRDefault="00970C9A">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9877" w14:textId="77777777" w:rsidR="006C0FF9" w:rsidRDefault="006C0FF9" w:rsidP="00970C9A">
      <w:pPr>
        <w:rPr>
          <w:rFonts w:hint="eastAsia"/>
        </w:rPr>
      </w:pPr>
      <w:r>
        <w:separator/>
      </w:r>
    </w:p>
  </w:footnote>
  <w:footnote w:type="continuationSeparator" w:id="0">
    <w:p w14:paraId="69F3D1CC" w14:textId="77777777" w:rsidR="006C0FF9" w:rsidRDefault="006C0FF9" w:rsidP="00970C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5237"/>
    <w:multiLevelType w:val="multilevel"/>
    <w:tmpl w:val="784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A53CA"/>
    <w:multiLevelType w:val="multilevel"/>
    <w:tmpl w:val="8042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A5FF1"/>
    <w:multiLevelType w:val="multilevel"/>
    <w:tmpl w:val="F138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95552">
    <w:abstractNumId w:val="1"/>
  </w:num>
  <w:num w:numId="2" w16cid:durableId="485438387">
    <w:abstractNumId w:val="0"/>
  </w:num>
  <w:num w:numId="3" w16cid:durableId="1009529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76"/>
    <w:rsid w:val="000037F2"/>
    <w:rsid w:val="00121776"/>
    <w:rsid w:val="001B740B"/>
    <w:rsid w:val="001C0E1A"/>
    <w:rsid w:val="0030297E"/>
    <w:rsid w:val="00383549"/>
    <w:rsid w:val="003A37CB"/>
    <w:rsid w:val="003F122F"/>
    <w:rsid w:val="004006E9"/>
    <w:rsid w:val="00495274"/>
    <w:rsid w:val="004B15D3"/>
    <w:rsid w:val="004C03D1"/>
    <w:rsid w:val="00522F34"/>
    <w:rsid w:val="00554E3D"/>
    <w:rsid w:val="005A178D"/>
    <w:rsid w:val="005B5411"/>
    <w:rsid w:val="00634CF7"/>
    <w:rsid w:val="006C0FF9"/>
    <w:rsid w:val="00751250"/>
    <w:rsid w:val="00755358"/>
    <w:rsid w:val="0077793E"/>
    <w:rsid w:val="007F6C2E"/>
    <w:rsid w:val="00900C67"/>
    <w:rsid w:val="00936074"/>
    <w:rsid w:val="00936C09"/>
    <w:rsid w:val="00963F7F"/>
    <w:rsid w:val="00970C9A"/>
    <w:rsid w:val="009F6EC4"/>
    <w:rsid w:val="00A1660F"/>
    <w:rsid w:val="00A16AD3"/>
    <w:rsid w:val="00A16BC0"/>
    <w:rsid w:val="00A54698"/>
    <w:rsid w:val="00AC72FA"/>
    <w:rsid w:val="00C818C4"/>
    <w:rsid w:val="00C90160"/>
    <w:rsid w:val="00CE37A4"/>
    <w:rsid w:val="00E5079A"/>
    <w:rsid w:val="00E95A23"/>
    <w:rsid w:val="00ED5791"/>
    <w:rsid w:val="00EF6506"/>
    <w:rsid w:val="00F35262"/>
    <w:rsid w:val="00F83365"/>
    <w:rsid w:val="00FA4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87AD"/>
  <w15:chartTrackingRefBased/>
  <w15:docId w15:val="{D9528559-AB6A-4226-9C4E-3CD0DD15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1217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17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17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17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177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217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17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17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177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1776"/>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121776"/>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121776"/>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121776"/>
    <w:rPr>
      <w:rFonts w:cstheme="majorBidi"/>
      <w:color w:val="0F4761" w:themeColor="accent1" w:themeShade="BF"/>
      <w:sz w:val="28"/>
      <w:szCs w:val="28"/>
      <w:lang w:val="en-GB"/>
    </w:rPr>
  </w:style>
  <w:style w:type="character" w:customStyle="1" w:styleId="50">
    <w:name w:val="标题 5 字符"/>
    <w:basedOn w:val="a0"/>
    <w:link w:val="5"/>
    <w:uiPriority w:val="9"/>
    <w:semiHidden/>
    <w:rsid w:val="00121776"/>
    <w:rPr>
      <w:rFonts w:cstheme="majorBidi"/>
      <w:color w:val="0F4761" w:themeColor="accent1" w:themeShade="BF"/>
      <w:sz w:val="24"/>
      <w:szCs w:val="24"/>
      <w:lang w:val="en-GB"/>
    </w:rPr>
  </w:style>
  <w:style w:type="character" w:customStyle="1" w:styleId="60">
    <w:name w:val="标题 6 字符"/>
    <w:basedOn w:val="a0"/>
    <w:link w:val="6"/>
    <w:uiPriority w:val="9"/>
    <w:semiHidden/>
    <w:rsid w:val="00121776"/>
    <w:rPr>
      <w:rFonts w:cstheme="majorBidi"/>
      <w:b/>
      <w:bCs/>
      <w:color w:val="0F4761" w:themeColor="accent1" w:themeShade="BF"/>
      <w:lang w:val="en-GB"/>
    </w:rPr>
  </w:style>
  <w:style w:type="character" w:customStyle="1" w:styleId="70">
    <w:name w:val="标题 7 字符"/>
    <w:basedOn w:val="a0"/>
    <w:link w:val="7"/>
    <w:uiPriority w:val="9"/>
    <w:semiHidden/>
    <w:rsid w:val="00121776"/>
    <w:rPr>
      <w:rFonts w:cstheme="majorBidi"/>
      <w:b/>
      <w:bCs/>
      <w:color w:val="595959" w:themeColor="text1" w:themeTint="A6"/>
      <w:lang w:val="en-GB"/>
    </w:rPr>
  </w:style>
  <w:style w:type="character" w:customStyle="1" w:styleId="80">
    <w:name w:val="标题 8 字符"/>
    <w:basedOn w:val="a0"/>
    <w:link w:val="8"/>
    <w:uiPriority w:val="9"/>
    <w:semiHidden/>
    <w:rsid w:val="00121776"/>
    <w:rPr>
      <w:rFonts w:cstheme="majorBidi"/>
      <w:color w:val="595959" w:themeColor="text1" w:themeTint="A6"/>
      <w:lang w:val="en-GB"/>
    </w:rPr>
  </w:style>
  <w:style w:type="character" w:customStyle="1" w:styleId="90">
    <w:name w:val="标题 9 字符"/>
    <w:basedOn w:val="a0"/>
    <w:link w:val="9"/>
    <w:uiPriority w:val="9"/>
    <w:semiHidden/>
    <w:rsid w:val="00121776"/>
    <w:rPr>
      <w:rFonts w:eastAsiaTheme="majorEastAsia" w:cstheme="majorBidi"/>
      <w:color w:val="595959" w:themeColor="text1" w:themeTint="A6"/>
      <w:lang w:val="en-GB"/>
    </w:rPr>
  </w:style>
  <w:style w:type="paragraph" w:styleId="a3">
    <w:name w:val="Title"/>
    <w:basedOn w:val="a"/>
    <w:next w:val="a"/>
    <w:link w:val="a4"/>
    <w:uiPriority w:val="10"/>
    <w:qFormat/>
    <w:rsid w:val="001217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1776"/>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1217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1776"/>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121776"/>
    <w:pPr>
      <w:spacing w:before="160" w:after="160"/>
      <w:jc w:val="center"/>
    </w:pPr>
    <w:rPr>
      <w:i/>
      <w:iCs/>
      <w:color w:val="404040" w:themeColor="text1" w:themeTint="BF"/>
    </w:rPr>
  </w:style>
  <w:style w:type="character" w:customStyle="1" w:styleId="a8">
    <w:name w:val="引用 字符"/>
    <w:basedOn w:val="a0"/>
    <w:link w:val="a7"/>
    <w:uiPriority w:val="29"/>
    <w:rsid w:val="00121776"/>
    <w:rPr>
      <w:i/>
      <w:iCs/>
      <w:color w:val="404040" w:themeColor="text1" w:themeTint="BF"/>
      <w:lang w:val="en-GB"/>
    </w:rPr>
  </w:style>
  <w:style w:type="paragraph" w:styleId="a9">
    <w:name w:val="List Paragraph"/>
    <w:basedOn w:val="a"/>
    <w:uiPriority w:val="34"/>
    <w:qFormat/>
    <w:rsid w:val="00121776"/>
    <w:pPr>
      <w:ind w:left="720"/>
      <w:contextualSpacing/>
    </w:pPr>
  </w:style>
  <w:style w:type="character" w:styleId="aa">
    <w:name w:val="Intense Emphasis"/>
    <w:basedOn w:val="a0"/>
    <w:uiPriority w:val="21"/>
    <w:qFormat/>
    <w:rsid w:val="00121776"/>
    <w:rPr>
      <w:i/>
      <w:iCs/>
      <w:color w:val="0F4761" w:themeColor="accent1" w:themeShade="BF"/>
    </w:rPr>
  </w:style>
  <w:style w:type="paragraph" w:styleId="ab">
    <w:name w:val="Intense Quote"/>
    <w:basedOn w:val="a"/>
    <w:next w:val="a"/>
    <w:link w:val="ac"/>
    <w:uiPriority w:val="30"/>
    <w:qFormat/>
    <w:rsid w:val="00121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1776"/>
    <w:rPr>
      <w:i/>
      <w:iCs/>
      <w:color w:val="0F4761" w:themeColor="accent1" w:themeShade="BF"/>
      <w:lang w:val="en-GB"/>
    </w:rPr>
  </w:style>
  <w:style w:type="character" w:styleId="ad">
    <w:name w:val="Intense Reference"/>
    <w:basedOn w:val="a0"/>
    <w:uiPriority w:val="32"/>
    <w:qFormat/>
    <w:rsid w:val="00121776"/>
    <w:rPr>
      <w:b/>
      <w:bCs/>
      <w:smallCaps/>
      <w:color w:val="0F4761" w:themeColor="accent1" w:themeShade="BF"/>
      <w:spacing w:val="5"/>
    </w:rPr>
  </w:style>
  <w:style w:type="paragraph" w:styleId="ae">
    <w:name w:val="header"/>
    <w:basedOn w:val="a"/>
    <w:link w:val="af"/>
    <w:uiPriority w:val="99"/>
    <w:unhideWhenUsed/>
    <w:rsid w:val="00970C9A"/>
    <w:pPr>
      <w:tabs>
        <w:tab w:val="center" w:pos="4153"/>
        <w:tab w:val="right" w:pos="8306"/>
      </w:tabs>
      <w:snapToGrid w:val="0"/>
      <w:jc w:val="center"/>
    </w:pPr>
    <w:rPr>
      <w:sz w:val="18"/>
      <w:szCs w:val="18"/>
    </w:rPr>
  </w:style>
  <w:style w:type="character" w:customStyle="1" w:styleId="af">
    <w:name w:val="页眉 字符"/>
    <w:basedOn w:val="a0"/>
    <w:link w:val="ae"/>
    <w:uiPriority w:val="99"/>
    <w:rsid w:val="00970C9A"/>
    <w:rPr>
      <w:sz w:val="18"/>
      <w:szCs w:val="18"/>
      <w:lang w:val="en-GB"/>
    </w:rPr>
  </w:style>
  <w:style w:type="paragraph" w:styleId="af0">
    <w:name w:val="footer"/>
    <w:basedOn w:val="a"/>
    <w:link w:val="af1"/>
    <w:uiPriority w:val="99"/>
    <w:unhideWhenUsed/>
    <w:rsid w:val="00970C9A"/>
    <w:pPr>
      <w:tabs>
        <w:tab w:val="center" w:pos="4153"/>
        <w:tab w:val="right" w:pos="8306"/>
      </w:tabs>
      <w:snapToGrid w:val="0"/>
      <w:jc w:val="left"/>
    </w:pPr>
    <w:rPr>
      <w:sz w:val="18"/>
      <w:szCs w:val="18"/>
    </w:rPr>
  </w:style>
  <w:style w:type="character" w:customStyle="1" w:styleId="af1">
    <w:name w:val="页脚 字符"/>
    <w:basedOn w:val="a0"/>
    <w:link w:val="af0"/>
    <w:uiPriority w:val="99"/>
    <w:rsid w:val="00970C9A"/>
    <w:rPr>
      <w:sz w:val="18"/>
      <w:szCs w:val="18"/>
      <w:lang w:val="en-GB"/>
    </w:rPr>
  </w:style>
  <w:style w:type="paragraph" w:styleId="af2">
    <w:name w:val="Normal (Web)"/>
    <w:basedOn w:val="a"/>
    <w:uiPriority w:val="99"/>
    <w:semiHidden/>
    <w:unhideWhenUsed/>
    <w:rsid w:val="00A16BC0"/>
    <w:rPr>
      <w:rFonts w:ascii="Times New Roman" w:hAnsi="Times New Roman" w:cs="Times New Roman"/>
      <w:sz w:val="24"/>
      <w:szCs w:val="24"/>
    </w:rPr>
  </w:style>
  <w:style w:type="table" w:styleId="af3">
    <w:name w:val="Table Grid"/>
    <w:basedOn w:val="a1"/>
    <w:uiPriority w:val="39"/>
    <w:rsid w:val="00900C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7512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09D4C-C74E-4269-B440-9A9D714F6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3534</Words>
  <Characters>20147</Characters>
  <Application>Microsoft Office Word</Application>
  <DocSecurity>0</DocSecurity>
  <Lines>167</Lines>
  <Paragraphs>47</Paragraphs>
  <ScaleCrop>false</ScaleCrop>
  <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Taya Tian</cp:lastModifiedBy>
  <cp:revision>20</cp:revision>
  <cp:lastPrinted>2026-05-28T00:33:00Z</cp:lastPrinted>
  <dcterms:created xsi:type="dcterms:W3CDTF">2026-05-20T07:21:00Z</dcterms:created>
  <dcterms:modified xsi:type="dcterms:W3CDTF">2026-06-24T00:41:00Z</dcterms:modified>
</cp:coreProperties>
</file>