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3C6F"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##Persona</w:t>
      </w:r>
    </w:p>
    <w:p w14:paraId="392546AA"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You are a leading expert in assessing translation quality of academic concepts in social science texts. </w:t>
      </w:r>
    </w:p>
    <w:p w14:paraId="6614C78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##Context</w:t>
      </w:r>
    </w:p>
    <w:p w14:paraId="4636F209" w14:textId="676C5D0B"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I conducted a case study on whether RAG technique can improve the LLM-generated translation of social science academic concepts in Fei Xiaotong's "</w:t>
      </w:r>
      <w:r w:rsidRPr="00810807">
        <w:rPr>
          <w:rFonts w:ascii="Times New Roman" w:eastAsia="宋体" w:hAnsi="Times New Roman" w:hint="eastAsia"/>
          <w:sz w:val="24"/>
        </w:rPr>
        <w:t>乡土中国</w:t>
      </w:r>
      <w:r w:rsidRPr="00810807">
        <w:rPr>
          <w:rFonts w:ascii="Times New Roman" w:eastAsia="宋体" w:hAnsi="Times New Roman" w:hint="eastAsia"/>
          <w:sz w:val="24"/>
        </w:rPr>
        <w:t xml:space="preserve">" in which four concept groups showing the most stark contrast between Chinese and Western societies were chosen. The expert translation done by Gary G. Hamilton and Wang Zheng was set as the reference (Not gold standard, of course, because translation is never an either-or act, and because my research questions are: (1) How </w:t>
      </w:r>
      <w:r w:rsidR="00253B28">
        <w:rPr>
          <w:rFonts w:ascii="Times New Roman" w:eastAsia="宋体" w:hAnsi="Times New Roman" w:hint="eastAsia"/>
          <w:sz w:val="24"/>
        </w:rPr>
        <w:t>i</w:t>
      </w:r>
      <w:r w:rsidRPr="00810807">
        <w:rPr>
          <w:rFonts w:ascii="Times New Roman" w:eastAsia="宋体" w:hAnsi="Times New Roman" w:hint="eastAsia"/>
          <w:sz w:val="24"/>
        </w:rPr>
        <w:t>s LLM translation quality of academic concepts compare</w:t>
      </w:r>
      <w:r w:rsidR="00253B28">
        <w:rPr>
          <w:rFonts w:ascii="Times New Roman" w:eastAsia="宋体" w:hAnsi="Times New Roman" w:hint="eastAsia"/>
          <w:sz w:val="24"/>
        </w:rPr>
        <w:t>d</w:t>
      </w:r>
      <w:r w:rsidRPr="00810807">
        <w:rPr>
          <w:rFonts w:ascii="Times New Roman" w:eastAsia="宋体" w:hAnsi="Times New Roman" w:hint="eastAsia"/>
          <w:sz w:val="24"/>
        </w:rPr>
        <w:t xml:space="preserve"> to that of expert translators? (2) To what extent does RAG improve LLM performance in academic concept translation?). A framework for assessing translation quality of social science academic concepts was established. You can find this framework in the uploaded PDF "</w:t>
      </w:r>
      <w:r w:rsidR="00253B28" w:rsidRPr="00253B28">
        <w:rPr>
          <w:rFonts w:ascii="Times New Roman" w:eastAsia="宋体" w:hAnsi="Times New Roman" w:hint="eastAsia"/>
          <w:sz w:val="24"/>
        </w:rPr>
        <w:t>CB-TQA Framework.pdf</w:t>
      </w:r>
      <w:r w:rsidRPr="00810807">
        <w:rPr>
          <w:rFonts w:ascii="Times New Roman" w:eastAsia="宋体" w:hAnsi="Times New Roman" w:hint="eastAsia"/>
          <w:sz w:val="24"/>
        </w:rPr>
        <w:t xml:space="preserve">". </w:t>
      </w:r>
    </w:p>
    <w:p w14:paraId="44F0305D"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##Task </w:t>
      </w:r>
    </w:p>
    <w:p w14:paraId="4D7C4B9B"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1. Please read this PDF, especially for how to calculate the translation quality score in the sections "4.5 Source-Text Crediting Mechanism" and "4.6 Worked Example".  </w:t>
      </w:r>
    </w:p>
    <w:p w14:paraId="346D61C2" w14:textId="749AC5DE"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Special note: about the calculation of Source-Text Crediting, the word count should be the source text whose word count is included in the "Codebook for Concept Group 1.xlsx". </w:t>
      </w:r>
    </w:p>
    <w:p w14:paraId="634C3142" w14:textId="70A5BE65"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2. Please read the uploaded codebook "Codebook for Concept Group 1.xlsx". I have listed Expert reference translation (ERT), acceptable renderings, unacceptable renderings to facilitate your in-depth assessment. </w:t>
      </w:r>
    </w:p>
    <w:p w14:paraId="7D0A8C63"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Special note: As I mentioned above, ERT is no gold standard. For your fine-grained analysis to answer the above research questions, I added "ERT status" in the codebook containing two scenarios of the ERT: "acceptable" and "fail". If the ERT is "acceptable", use this translation, and the information in the "Acceptable renderings" as the benchmark to evaluate the LLM translations. If the ERT is "fail", count the case in the ERT translation itself as an error, of course. </w:t>
      </w:r>
    </w:p>
    <w:p w14:paraId="18B8A2E2"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lastRenderedPageBreak/>
        <w:t>3. About the design of the codebook:</w:t>
      </w:r>
    </w:p>
    <w:p w14:paraId="7E4D87BF"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(1) Read the section "0. Sub-parameter Definitions" for what all sub-parameters mean when you are evaluating the translations;</w:t>
      </w:r>
    </w:p>
    <w:p w14:paraId="7F5DADCF"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(2) Read the section "1. Operative Coding Rules" for how to make decisions under specific circumstances;</w:t>
      </w:r>
    </w:p>
    <w:p w14:paraId="47E1CF1E"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(3) Read the section "2. Textual Profile and Scope of Assessment" to get a correct understanding of argument logic of the source text.</w:t>
      </w:r>
    </w:p>
    <w:p w14:paraId="3CD3818C"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sz w:val="24"/>
        </w:rPr>
        <w:t>(4) Read the section "3. Source-Text Deficiencies and Expert Reference Remedies" for source</w:t>
      </w:r>
      <w:r w:rsidRPr="00810807">
        <w:rPr>
          <w:rFonts w:ascii="Times New Roman" w:eastAsia="宋体" w:hAnsi="Times New Roman" w:cs="Cambria Math"/>
          <w:sz w:val="24"/>
        </w:rPr>
        <w:t>‑</w:t>
      </w:r>
      <w:r w:rsidRPr="00810807">
        <w:rPr>
          <w:rFonts w:ascii="Times New Roman" w:eastAsia="宋体" w:hAnsi="Times New Roman"/>
          <w:sz w:val="24"/>
        </w:rPr>
        <w:t>defect IDs, so you can compute source defects.</w:t>
      </w:r>
    </w:p>
    <w:p w14:paraId="191DB4EC"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4. Special mention should be made about the "5.1 Layer A </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Argument Schema (Williams 2004)". As I described in OCR-6, Layer A is diagnostic-only. For this reason, I wrote OCR-8, highlighting your responsibility to "flag Argument Integrity: compromised (or uncertain), reported beside the numeric score and never folded into it."</w:t>
      </w:r>
    </w:p>
    <w:p w14:paraId="23B28C2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cs="Times New Roman"/>
          <w:sz w:val="24"/>
        </w:rPr>
        <w:t>​</w:t>
      </w:r>
      <w:r w:rsidRPr="00810807">
        <w:rPr>
          <w:rFonts w:ascii="Times New Roman" w:eastAsia="宋体" w:hAnsi="Times New Roman"/>
          <w:sz w:val="24"/>
        </w:rPr>
        <w:t>5. Special mention should also be made about the "Acceptable renderings" and "Unacceptable renderings" in the codebook for your fine-grained analysis:</w:t>
      </w:r>
    </w:p>
    <w:p w14:paraId="13B702B8"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(1) When compelling most of these renderings, I combined general principles with typical examples. For example, in CG1-520, the criterion for acceptable renderings is </w:t>
      </w:r>
      <w:r w:rsidRPr="00810807">
        <w:rPr>
          <w:rFonts w:ascii="Times New Roman" w:eastAsia="宋体" w:hAnsi="Times New Roman" w:hint="eastAsia"/>
          <w:sz w:val="24"/>
        </w:rPr>
        <w:t>“与上一句衔接紧密，合成一句，译作</w:t>
      </w:r>
      <w:r w:rsidRPr="00810807">
        <w:rPr>
          <w:rFonts w:ascii="Times New Roman" w:eastAsia="宋体" w:hAnsi="Times New Roman" w:hint="eastAsia"/>
          <w:sz w:val="24"/>
        </w:rPr>
        <w:t>e.g., "what I will henthforth/hereinafter call</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and for unacceptable renderings is </w:t>
      </w:r>
      <w:r w:rsidRPr="00810807">
        <w:rPr>
          <w:rFonts w:ascii="Times New Roman" w:eastAsia="宋体" w:hAnsi="Times New Roman" w:hint="eastAsia"/>
          <w:sz w:val="24"/>
        </w:rPr>
        <w:t>“未能与上一句衔接紧密，单独成句译作</w:t>
      </w:r>
      <w:r w:rsidRPr="00810807">
        <w:rPr>
          <w:rFonts w:ascii="Times New Roman" w:eastAsia="宋体" w:hAnsi="Times New Roman" w:hint="eastAsia"/>
          <w:sz w:val="24"/>
        </w:rPr>
        <w:t>e.g., "We may call</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In evaluating LLM translations, you can base your judgement, first, on the general principle </w:t>
      </w:r>
      <w:r w:rsidRPr="00810807">
        <w:rPr>
          <w:rFonts w:ascii="Times New Roman" w:eastAsia="宋体" w:hAnsi="Times New Roman" w:hint="eastAsia"/>
          <w:sz w:val="24"/>
        </w:rPr>
        <w:t>“与上一句衔接紧密，合成一句</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then, on the typical examples "</w:t>
      </w:r>
      <w:r w:rsidRPr="00810807">
        <w:rPr>
          <w:rFonts w:ascii="Times New Roman" w:eastAsia="宋体" w:hAnsi="Times New Roman" w:hint="eastAsia"/>
          <w:sz w:val="24"/>
        </w:rPr>
        <w:t>译作</w:t>
      </w:r>
      <w:r w:rsidRPr="00810807">
        <w:rPr>
          <w:rFonts w:ascii="Times New Roman" w:eastAsia="宋体" w:hAnsi="Times New Roman" w:hint="eastAsia"/>
          <w:sz w:val="24"/>
        </w:rPr>
        <w:t>e.g., 'We may call</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for the recognizable pattern. Of course, the typical examples are only illustrative for you to figure out the pattern, rather than being exhaustive. This means you should not use these typical examples for equivalence matching, which is ridiculous, given that translation can never be one-on-one matching. </w:t>
      </w:r>
    </w:p>
    <w:p w14:paraId="6EF004D0"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Of course, with these general principles and typical examples, you may still be unsure about how to evaluate some translations. In this case, please list these uncertain parts for my final judgement.    </w:t>
      </w:r>
    </w:p>
    <w:p w14:paraId="08F593B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6. Please output the following results:</w:t>
      </w:r>
    </w:p>
    <w:p w14:paraId="503028D8"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lastRenderedPageBreak/>
        <w:t xml:space="preserve">(1) "Error Tabulation" comparing the translation performance of expert reference translation (this translation will be provided below), </w:t>
      </w:r>
      <w:r w:rsidRPr="007915AF">
        <w:rPr>
          <w:rFonts w:ascii="Times New Roman" w:eastAsia="宋体" w:hAnsi="Times New Roman" w:hint="eastAsia"/>
          <w:sz w:val="24"/>
          <w:highlight w:val="yellow"/>
        </w:rPr>
        <w:t>a RAG-enhanced LLM translation (this translation is shown in the uploaded text entitled "ragrun1_20260505_123753.txt". The word count of this translation is 1,317), and a non-enhanced LLM translation (this translation is shown in the uploaded text entitled "run1_20260505_123753.txt". The word count of this translation is 1,302).</w:t>
      </w:r>
      <w:r w:rsidRPr="00810807">
        <w:rPr>
          <w:rFonts w:ascii="Times New Roman" w:eastAsia="宋体" w:hAnsi="Times New Roman" w:hint="eastAsia"/>
          <w:sz w:val="24"/>
        </w:rPr>
        <w:t xml:space="preserve">  </w:t>
      </w:r>
    </w:p>
    <w:p w14:paraId="629BD91B"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This "Error Tabulation" report should include the following sections "ID  Sub-parameter  ERT  run1  ragrun1", giving detailed information about the desirable translation and errors;</w:t>
      </w:r>
    </w:p>
    <w:p w14:paraId="0FE4DD91"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(2) "Source-Text Penalties", based on the "3. Source-Text Deficiencies and Expert Reference Remedies";</w:t>
      </w:r>
    </w:p>
    <w:p w14:paraId="5A14C7B6"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(3) "Translation Quality Scores";</w:t>
      </w:r>
    </w:p>
    <w:p w14:paraId="6A3E6842"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(4) "Interpretation" containing where RAG helped, where RAG did not help, and where ERT itself fails;</w:t>
      </w:r>
    </w:p>
    <w:p w14:paraId="77328F54" w14:textId="3885A43F"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(5) Flag IDs (including those under CL-A1-CL-A4 sub-parameters </w:t>
      </w:r>
      <w:r w:rsidR="00A053B3">
        <w:rPr>
          <w:rFonts w:ascii="Times New Roman" w:eastAsia="宋体" w:hAnsi="Times New Roman" w:hint="eastAsia"/>
          <w:sz w:val="24"/>
        </w:rPr>
        <w:t>of</w:t>
      </w:r>
      <w:r w:rsidRPr="00810807">
        <w:rPr>
          <w:rFonts w:ascii="Times New Roman" w:eastAsia="宋体" w:hAnsi="Times New Roman" w:hint="eastAsia"/>
          <w:sz w:val="24"/>
        </w:rPr>
        <w:t xml:space="preserve"> Layer A) with any part that you are uncertain about for my final judgement.</w:t>
      </w:r>
    </w:p>
    <w:p w14:paraId="69B1842C"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Here is the source text and Hamilton and Wang's translation (the word count of this translation is 1,324; the word count of the source text is 1,717) in the 1st concept group:"</w:t>
      </w:r>
      <w:r w:rsidRPr="00810807">
        <w:rPr>
          <w:rFonts w:ascii="Times New Roman" w:eastAsia="宋体" w:hAnsi="Times New Roman" w:hint="eastAsia"/>
          <w:sz w:val="24"/>
        </w:rPr>
        <w:t>①西洋的社会有些像我们在田里捆柴，几根稻草束成一把，几把束成一扎，几扎束成一捆，几捆束成一挑。每一根柴在整个挑里都属于一定的捆、扎、把。每一根柴也可以找到同把、同扎、同捆的柴，分扎得清楚不会乱的。在社会，这些单位就是团体。我说西洋社会组织像捆柴就是想指明：他们常常由若干人组成一个个的团体。团体是有一定界限的，谁是团体里的人，谁是团体外的人，不能模糊，一定分得清楚。在团体里的人是一伙，对于团体的关系是相同的，如果同一团体中有组别或等级的分别，那也是先规定的。我用捆柴来比拟，有一点不太合，就是一个人可以参加好几个团体，而好几扎柴里都有某一根柴当然是不可能的，这是人和柴不同的地方。我用这譬喻是在想具体一些使我们看到社会生活中人和人的关系的一种格局。我们不妨称之作团体格局。</w:t>
      </w:r>
    </w:p>
    <w:p w14:paraId="5A287329"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①</w:t>
      </w:r>
      <w:r w:rsidRPr="00810807">
        <w:rPr>
          <w:rFonts w:ascii="Times New Roman" w:eastAsia="宋体" w:hAnsi="Times New Roman" w:hint="eastAsia"/>
          <w:sz w:val="24"/>
        </w:rPr>
        <w:t xml:space="preserve">Western societies are somewhat like the way we collect rice straw to use to cook our food. After harvest, the rice straw is bound into small bundles; several bundles are </w:t>
      </w:r>
      <w:r w:rsidRPr="00810807">
        <w:rPr>
          <w:rFonts w:ascii="Times New Roman" w:eastAsia="宋体" w:hAnsi="Times New Roman" w:hint="eastAsia"/>
          <w:sz w:val="24"/>
        </w:rPr>
        <w:lastRenderedPageBreak/>
        <w:t xml:space="preserve">bound into larger bundles; and these are then stacked together so that they can be carried on shoulder poles. Each piece of straw belongs in a small bundle, which in turn belongs in a larger bundle, which in turn makes up a stack. The separate straws, the separate bundles, and finally the separate stacks all fit together to make up the whole haystack. In this way, the separately bound bundles can be stacked in an orderly way. In Western society, these separate units are organizations. By making an analogy between organizations in Western societies and the composition of haystacks, I want to indicate that in Western society individuals form organizations. Each organization has its own boundaries, which clearly define those people who are members and those who are not. That much is always clear. The people in an organization form a group, and their relationship to the organization is usually the same. If there are differences among group members or distinctions among ranks within the organization, these would have been agreed upon earlier as part of the rules of the organization. In one respect, my analogy is not too appropriate. An individual may join several organizations, but it is impossible for a straw to be in several bundles at the same time. That is the difference between people and straws. My purpose in making the analogy, however, is only to help us see more concretely the pattern of personal relationships in social life, what I will henceforth call the </w:t>
      </w:r>
      <w:r w:rsidRPr="00810807">
        <w:rPr>
          <w:rFonts w:ascii="Times New Roman" w:eastAsia="宋体" w:hAnsi="Times New Roman" w:hint="eastAsia"/>
          <w:sz w:val="24"/>
        </w:rPr>
        <w:t>“</w:t>
      </w:r>
      <w:r w:rsidRPr="00810807">
        <w:rPr>
          <w:rFonts w:ascii="Times New Roman" w:eastAsia="宋体" w:hAnsi="Times New Roman" w:hint="eastAsia"/>
          <w:sz w:val="24"/>
        </w:rPr>
        <w:t>organizational mode of association</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(tuantigeju).</w:t>
      </w:r>
    </w:p>
    <w:p w14:paraId="5CD6CA4E"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②家庭在西洋是一种界限分明的团体。如果有一位朋友写信给你说他将要“带了他的家庭”一起来看你，他很知道要和他一同来的是哪几个人。在中国，这句话是含糊得很。在英美，家庭包括他和他的妻以及未成年的孩子。如果他只和他太太一起来，就不会用“家庭”。在我们中国“阖第光临”虽则常见，但是很少人能说得出这个“第”字究竟应当包括些什么人。</w:t>
      </w:r>
    </w:p>
    <w:p w14:paraId="371BE715"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②</w:t>
      </w:r>
      <w:r w:rsidRPr="00810807">
        <w:rPr>
          <w:rFonts w:ascii="Times New Roman" w:eastAsia="宋体" w:hAnsi="Times New Roman" w:hint="eastAsia"/>
          <w:sz w:val="24"/>
        </w:rPr>
        <w:t xml:space="preserve">Families in the West are organizations with distinct boundaries. If a Western friend writes to you saying that he will "bring his family" to visit you, he knows very well who will be coming with him. In China, however, this sentence is very ambiguous. In England and America, a family will include the man, his wife, and his children who have not yet grown up. If he is bringing only his wife, he does not use the word family. In China, we often see the sentence </w:t>
      </w:r>
      <w:r w:rsidRPr="00810807">
        <w:rPr>
          <w:rFonts w:ascii="Times New Roman" w:eastAsia="宋体" w:hAnsi="Times New Roman" w:hint="eastAsia"/>
          <w:sz w:val="24"/>
        </w:rPr>
        <w:t>“</w:t>
      </w:r>
      <w:r w:rsidRPr="00810807">
        <w:rPr>
          <w:rFonts w:ascii="Times New Roman" w:eastAsia="宋体" w:hAnsi="Times New Roman" w:hint="eastAsia"/>
          <w:sz w:val="24"/>
        </w:rPr>
        <w:t>The whole family will come</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(hedi guanglin), but few people can tell what family members should be included in the word di(family).</w:t>
      </w:r>
    </w:p>
    <w:p w14:paraId="447CD4D0"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lastRenderedPageBreak/>
        <w:t>③提到了我们的用字，这个“家”字可以说最能伸缩自如了。“家里的”可以指自己的太太一个人；“家门”可以指伯叔侄子一大批；“自家人”可以包罗任何要拉入自己的圈子，表示亲热的人物。自家人的范围是因时因地可伸缩的，大到数不清，真是天下可成一家。</w:t>
      </w:r>
    </w:p>
    <w:p w14:paraId="03FD14A5"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③</w:t>
      </w:r>
      <w:r w:rsidRPr="00810807">
        <w:rPr>
          <w:rFonts w:ascii="Times New Roman" w:eastAsia="宋体" w:hAnsi="Times New Roman" w:hint="eastAsia"/>
          <w:sz w:val="24"/>
        </w:rPr>
        <w:t>In Chinese, the word jia (family) is used in many ways. Jialide (the one at home) can mean one's wife. Jiamen (kinsmen) may be directed at a big group of uncles and nephews. Zijiaren (my own people) may include anyone whom you want to drag into your own circle, and you use it to indicate your intimacy with them. The scope of zijiaren can be expanded or contracted according to the specific time and place. It can be used in a very general way, even to mean that everyone under the sun is a jia (one family).</w:t>
      </w:r>
    </w:p>
    <w:p w14:paraId="1F0DB2B1"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④为什么我们这个最基本的社会单位的名词会这样不清不楚呢？在我看来却表示了我们的社会结构本身和西洋的格局是不相同的，我们的格局不是一捆一捆扎清楚的柴，而是好像把一块石头丢在水面上所发生的一圈圈推出去的波纹。每个人都是他社会影响所推出去的圈子的中心。被圈子的波纹所推及的就发生联系。每个人在某一时间某一地点所动用的圈子是不一定相同的。</w:t>
      </w:r>
    </w:p>
    <w:p w14:paraId="6B8D0558"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④</w:t>
      </w:r>
      <w:r w:rsidRPr="00810807">
        <w:rPr>
          <w:rFonts w:ascii="Times New Roman" w:eastAsia="宋体" w:hAnsi="Times New Roman" w:hint="eastAsia"/>
          <w:sz w:val="24"/>
        </w:rPr>
        <w:t>Why are nouns for such basic social units so ambiguous in Chinese? In my opinion, the ambiguity indicates the difference between our social structure and that of the West. Our pattern is not like distinct bundles of straws. Rather, it is like the circles that appear on the surface of a lake when a rock is thrown into it. Everyone stands at the center of the circles produced by his or her own social influence. Everyone's circles are interrelated. One touches different circles at different times and places.</w:t>
      </w:r>
    </w:p>
    <w:p w14:paraId="1C12E108"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⑤我们社会中最重要的亲属关系就是这种丢石头形成同心圆波纹的性质。亲属关系是根据生育和婚姻事实所发生的社会关系。从生育和婚姻所结成的网络，可以一直推出去包括无穷的人，过去的、现在的和未来的人物。我们俗语里有“一表三千里”，就是这个意思，其实三千里者也不过指其广袤的意思而已。这个网络像个蜘蛛的网，有一个中心，就是自己。我们每个人都有这么一个以亲属关系布出去的网，但是没有一个网所罩住的人是相同的。在一个社会里的人可以用同一个体系来记认他们的亲属，所同的只是这体系罢了。体系是抽象的格局，或是范</w:t>
      </w:r>
      <w:r w:rsidRPr="00810807">
        <w:rPr>
          <w:rFonts w:ascii="Times New Roman" w:eastAsia="宋体" w:hAnsi="Times New Roman" w:hint="eastAsia"/>
          <w:sz w:val="24"/>
        </w:rPr>
        <w:lastRenderedPageBreak/>
        <w:t>畴性的有关概念。当我们用这体系来认取具体的亲亲戚戚时，各人所认的就不同了。我们在亲属体系里都有父母，可是我的父母却不是你的父母。再进一步说，天下没有两个人所认取的亲属可以完全相同的。兄弟两人固然有相同的父母了，但是各人有各人的妻子儿女。因之，以亲属关系所联系成的社会关系的网络来说，是个别的。每一个网络有个“己”作为中心，各个网络的中心都不同。</w:t>
      </w:r>
    </w:p>
    <w:p w14:paraId="1B4F9E4A"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⑤</w:t>
      </w:r>
      <w:r w:rsidRPr="00810807">
        <w:rPr>
          <w:rFonts w:ascii="Times New Roman" w:eastAsia="宋体" w:hAnsi="Times New Roman" w:hint="eastAsia"/>
          <w:sz w:val="24"/>
        </w:rPr>
        <w:t>In Chinese society, the most important relationship-kinship</w:t>
      </w:r>
      <w:r w:rsidRPr="00810807">
        <w:rPr>
          <w:rFonts w:ascii="Times New Roman" w:eastAsia="宋体" w:hAnsi="Times New Roman" w:hint="eastAsia"/>
          <w:sz w:val="24"/>
        </w:rPr>
        <w:t>—</w:t>
      </w:r>
      <w:r w:rsidRPr="00810807">
        <w:rPr>
          <w:rFonts w:ascii="Times New Roman" w:eastAsia="宋体" w:hAnsi="Times New Roman" w:hint="eastAsia"/>
          <w:sz w:val="24"/>
        </w:rPr>
        <w:t>is similar to the concentric circles formed when a stone is thrown into a lake. Kinship is a social relationship formed through marriage and reproduction. The networks woven by marriage and reproduction can be extended to embrace countless numbers of people</w:t>
      </w:r>
      <w:r w:rsidRPr="00810807">
        <w:rPr>
          <w:rFonts w:ascii="Times New Roman" w:eastAsia="宋体" w:hAnsi="Times New Roman" w:hint="eastAsia"/>
          <w:sz w:val="24"/>
        </w:rPr>
        <w:t>—</w:t>
      </w:r>
      <w:r w:rsidRPr="00810807">
        <w:rPr>
          <w:rFonts w:ascii="Times New Roman" w:eastAsia="宋体" w:hAnsi="Times New Roman" w:hint="eastAsia"/>
          <w:sz w:val="24"/>
        </w:rPr>
        <w:t>in the past, present, and future. The same meaning is implied in our saying "Everyone has a cousin three thousand miles away," with three thousand miles indicating the vastness of kinship networks. Despite the vastness, though, each network is like a spider's web in the sense that it centers on oneself. Everyone has this kind of kinship network, but the people covered by one network are not the same as those covered by any other. We all use the same system of notation to identify our relatives, but the only thing we hold in common is the system of notation itself. This system is merely an abstract pattern, a set of categorical concepts. When we use this system to identify concrete relatives, however, each term identifies a different person. In our kinship system, we all have parents, but my parents are not your parents. No two people in the world can have entirely the same set of relatives. Two brothers certainly would have the same parents, but each brother would have his own wife and children. Therefore, the web of social relationships linked with kinship is specific to each person. Each web has a self as its center, and every web has a different center.</w:t>
      </w:r>
    </w:p>
    <w:p w14:paraId="58784111"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⑥在我们乡土社会里，不但亲属关系如此，地缘关系也是如此。现代的保甲制度是团体格局性的，但是这和传统的结构却格格不相入。在传统结构中，每一家以自己的地位作中心，周围划出一个圈子，这个圈子是“街坊”。有喜事要请酒，生了孩子要送红蛋，有丧事要出来助殓、抬棺材，是生活上的互助机构。可是这不是一个固定的团体，而是一个范围。范围的大小也要依着中心的势力厚薄而定。有势力的人家的街坊可以遍及全村，穷苦人家的街坊只是比邻的两三家。这和我</w:t>
      </w:r>
      <w:r w:rsidRPr="00810807">
        <w:rPr>
          <w:rFonts w:ascii="Times New Roman" w:eastAsia="宋体" w:hAnsi="Times New Roman" w:hint="eastAsia"/>
          <w:sz w:val="24"/>
        </w:rPr>
        <w:lastRenderedPageBreak/>
        <w:t>们的亲属圈子一般的。像贾家的大观园里，可以住着姑表林黛玉、姨表薛宝钗，后来更多了，什么宝琴、岫烟，凡是拉得上亲戚的，都包容得下。可是势力一变，树倒猢狲散，缩成一小团。到极端时，可以像苏秦潦倒归来，“妻不以为夫，嫂不以为叔”。中国传统结构中的差序格局具有这种伸缩能力。在乡下，家庭可以很小，而一到有钱的地主和官僚阶层，可以大到像个小国。中国人也特别对世态炎凉有感触，正因为这富于伸缩的社会圈子会因中心势力的变化而大小。</w:t>
      </w:r>
    </w:p>
    <w:p w14:paraId="18650E42"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⑥</w:t>
      </w:r>
      <w:r w:rsidRPr="00810807">
        <w:rPr>
          <w:rFonts w:ascii="Times New Roman" w:eastAsia="宋体" w:hAnsi="Times New Roman" w:hint="eastAsia"/>
          <w:sz w:val="24"/>
        </w:rPr>
        <w:t>In our rural society, this pattern of organization applies not only to kinship but also to spatial relationships. An exception might be the modern baojia system, which is somewhat similar to the Western organizational mode of association (tuantigeju) and is quite incompatible with traditional social structure. In the traditional structure, every family regards its own household as the center and draws a circle around it. This circle is the neighborhood, which is established to facilitate reciprocation in daily life. A family invites the neighbors to its weddings, sends them red-dyed eggs when a new baby is born, and asks for their help in lifting its dead into coffins and carrying the coffins to the cemetery. But a neighborhood is not a fixed group. Instead, it is an area whose size is determined by the power and authority of each center. The neighborhood of a powerful family may expand to the entire village, while a poor family's neighborhood is composed of only two or three nearby families. This pattern is just like the circles of kinship. For instance, in The Dream of the Red Chamber, the story</w:t>
      </w:r>
      <w:r w:rsidRPr="00810807">
        <w:rPr>
          <w:rFonts w:ascii="Times New Roman" w:eastAsia="宋体" w:hAnsi="Times New Roman" w:hint="eastAsia"/>
          <w:sz w:val="24"/>
        </w:rPr>
        <w:t>’</w:t>
      </w:r>
      <w:r w:rsidRPr="00810807">
        <w:rPr>
          <w:rFonts w:ascii="Times New Roman" w:eastAsia="宋体" w:hAnsi="Times New Roman" w:hint="eastAsia"/>
          <w:sz w:val="24"/>
        </w:rPr>
        <w:t>s main family, the Jia family, was so wealthy and powerful that the family</w:t>
      </w:r>
      <w:r w:rsidRPr="00810807">
        <w:rPr>
          <w:rFonts w:ascii="Times New Roman" w:eastAsia="宋体" w:hAnsi="Times New Roman" w:hint="eastAsia"/>
          <w:sz w:val="24"/>
        </w:rPr>
        <w:t>’</w:t>
      </w:r>
      <w:r w:rsidRPr="00810807">
        <w:rPr>
          <w:rFonts w:ascii="Times New Roman" w:eastAsia="宋体" w:hAnsi="Times New Roman" w:hint="eastAsia"/>
          <w:sz w:val="24"/>
        </w:rPr>
        <w:t>s compound contained both Lin Daiyu, a cousin on the father's side, and Xue Baochai, a cousin on the mother</w:t>
      </w:r>
      <w:r w:rsidRPr="00810807">
        <w:rPr>
          <w:rFonts w:ascii="Times New Roman" w:eastAsia="宋体" w:hAnsi="Times New Roman" w:hint="eastAsia"/>
          <w:sz w:val="24"/>
        </w:rPr>
        <w:t>’</w:t>
      </w:r>
      <w:r w:rsidRPr="00810807">
        <w:rPr>
          <w:rFonts w:ascii="Times New Roman" w:eastAsia="宋体" w:hAnsi="Times New Roman" w:hint="eastAsia"/>
          <w:sz w:val="24"/>
        </w:rPr>
        <w:t xml:space="preserve">s side. Later in the story, the Jia family house, which was called </w:t>
      </w:r>
      <w:r w:rsidRPr="00810807">
        <w:rPr>
          <w:rFonts w:ascii="Times New Roman" w:eastAsia="宋体" w:hAnsi="Times New Roman" w:hint="eastAsia"/>
          <w:sz w:val="24"/>
        </w:rPr>
        <w:t>“</w:t>
      </w:r>
      <w:r w:rsidRPr="00810807">
        <w:rPr>
          <w:rFonts w:ascii="Times New Roman" w:eastAsia="宋体" w:hAnsi="Times New Roman" w:hint="eastAsia"/>
          <w:sz w:val="24"/>
        </w:rPr>
        <w:t>Jia</w:t>
      </w:r>
      <w:r w:rsidRPr="00810807">
        <w:rPr>
          <w:rFonts w:ascii="Times New Roman" w:eastAsia="宋体" w:hAnsi="Times New Roman" w:hint="eastAsia"/>
          <w:sz w:val="24"/>
        </w:rPr>
        <w:t>’</w:t>
      </w:r>
      <w:r w:rsidRPr="00810807">
        <w:rPr>
          <w:rFonts w:ascii="Times New Roman" w:eastAsia="宋体" w:hAnsi="Times New Roman" w:hint="eastAsia"/>
          <w:sz w:val="24"/>
        </w:rPr>
        <w:t>s Grand Garden,</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contained even more distant relatives, such as Baoqin and Xiuyan. But when the Jia family lost its power and wealth, the family dwindled away into a tiny group. As the saying goes, </w:t>
      </w:r>
      <w:r w:rsidRPr="00810807">
        <w:rPr>
          <w:rFonts w:ascii="Times New Roman" w:eastAsia="宋体" w:hAnsi="Times New Roman" w:hint="eastAsia"/>
          <w:sz w:val="24"/>
        </w:rPr>
        <w:t>“</w:t>
      </w:r>
      <w:r w:rsidRPr="00810807">
        <w:rPr>
          <w:rFonts w:ascii="Times New Roman" w:eastAsia="宋体" w:hAnsi="Times New Roman" w:hint="eastAsia"/>
          <w:sz w:val="24"/>
        </w:rPr>
        <w:t>When the tree falls, the monkeys scatter.</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There is even a more extreme case, that of Su Qin, who, after seeking his fortune for many years, returned home as a total failure. His wife refused to regard him as a husband, and his sister-in-law refused to regard him as her brother-in-law. This pattern of organization in Chinese traditional society has the special quality of elasticity. In the country, families can be very small, but in the wealthy landlord and bureaucratic classes, families </w:t>
      </w:r>
      <w:r w:rsidRPr="00810807">
        <w:rPr>
          <w:rFonts w:ascii="Times New Roman" w:eastAsia="宋体" w:hAnsi="Times New Roman" w:hint="eastAsia"/>
          <w:sz w:val="24"/>
        </w:rPr>
        <w:lastRenderedPageBreak/>
        <w:t>can be as big as small kingdoms. These highly elastic social circles, which can be expanded or contracted according to a change in the power of the center, cause the Chinese to be particularly sensitive to changes in human relationships.</w:t>
      </w:r>
    </w:p>
    <w:p w14:paraId="77E0AEB9"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⑦在孩子成年了住在家里都得给父母膳宿费的西洋社会里，大家承认团体的界限。在团体里的有一定的资格。资格取消了就得走出这个团体。在他们不是人情冷热的问题，而是权利问题。在西洋社会里争的是权，而在我们却是攀关系、讲交情。</w:t>
      </w:r>
    </w:p>
    <w:p w14:paraId="6EBF95DA" w14:textId="019BEA9E" w:rsidR="007F6C2E"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⑦</w:t>
      </w:r>
      <w:r w:rsidRPr="00810807">
        <w:rPr>
          <w:rFonts w:ascii="Times New Roman" w:eastAsia="宋体" w:hAnsi="Times New Roman" w:hint="eastAsia"/>
          <w:sz w:val="24"/>
        </w:rPr>
        <w:t>In the West, everyone recognizes his or her social boundaries. Even adult children who still live with their parents usually pay for their room and board. People in an organization must fulfill the particular qualifications for membership, and, accordingly, people who no longer possess those qualifications must leave the organization. To Westerners, such requirements show not a lack of human warmth but, rather, a respect for individual rights. Westerners struggle for their rights, but in our society people seek connections in higher places and do things for the sake of friendship."</w:t>
      </w:r>
    </w:p>
    <w:sectPr w:rsidR="007F6C2E" w:rsidRPr="008108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807"/>
    <w:rsid w:val="00253B28"/>
    <w:rsid w:val="00554E3D"/>
    <w:rsid w:val="007915AF"/>
    <w:rsid w:val="007F6C2E"/>
    <w:rsid w:val="00810807"/>
    <w:rsid w:val="00A053B3"/>
    <w:rsid w:val="00BC6773"/>
    <w:rsid w:val="00C818C4"/>
    <w:rsid w:val="00C85ECC"/>
    <w:rsid w:val="00C90160"/>
    <w:rsid w:val="00E95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2980"/>
  <w15:chartTrackingRefBased/>
  <w15:docId w15:val="{641D29EB-D7E3-4EBF-A0B8-1667AEC0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8108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08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08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08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080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108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08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08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080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0807"/>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810807"/>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810807"/>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810807"/>
    <w:rPr>
      <w:rFonts w:cstheme="majorBidi"/>
      <w:color w:val="0F4761" w:themeColor="accent1" w:themeShade="BF"/>
      <w:sz w:val="28"/>
      <w:szCs w:val="28"/>
      <w:lang w:val="en-GB"/>
    </w:rPr>
  </w:style>
  <w:style w:type="character" w:customStyle="1" w:styleId="50">
    <w:name w:val="标题 5 字符"/>
    <w:basedOn w:val="a0"/>
    <w:link w:val="5"/>
    <w:uiPriority w:val="9"/>
    <w:semiHidden/>
    <w:rsid w:val="00810807"/>
    <w:rPr>
      <w:rFonts w:cstheme="majorBidi"/>
      <w:color w:val="0F4761" w:themeColor="accent1" w:themeShade="BF"/>
      <w:sz w:val="24"/>
      <w:szCs w:val="24"/>
      <w:lang w:val="en-GB"/>
    </w:rPr>
  </w:style>
  <w:style w:type="character" w:customStyle="1" w:styleId="60">
    <w:name w:val="标题 6 字符"/>
    <w:basedOn w:val="a0"/>
    <w:link w:val="6"/>
    <w:uiPriority w:val="9"/>
    <w:semiHidden/>
    <w:rsid w:val="00810807"/>
    <w:rPr>
      <w:rFonts w:cstheme="majorBidi"/>
      <w:b/>
      <w:bCs/>
      <w:color w:val="0F4761" w:themeColor="accent1" w:themeShade="BF"/>
      <w:lang w:val="en-GB"/>
    </w:rPr>
  </w:style>
  <w:style w:type="character" w:customStyle="1" w:styleId="70">
    <w:name w:val="标题 7 字符"/>
    <w:basedOn w:val="a0"/>
    <w:link w:val="7"/>
    <w:uiPriority w:val="9"/>
    <w:semiHidden/>
    <w:rsid w:val="00810807"/>
    <w:rPr>
      <w:rFonts w:cstheme="majorBidi"/>
      <w:b/>
      <w:bCs/>
      <w:color w:val="595959" w:themeColor="text1" w:themeTint="A6"/>
      <w:lang w:val="en-GB"/>
    </w:rPr>
  </w:style>
  <w:style w:type="character" w:customStyle="1" w:styleId="80">
    <w:name w:val="标题 8 字符"/>
    <w:basedOn w:val="a0"/>
    <w:link w:val="8"/>
    <w:uiPriority w:val="9"/>
    <w:semiHidden/>
    <w:rsid w:val="00810807"/>
    <w:rPr>
      <w:rFonts w:cstheme="majorBidi"/>
      <w:color w:val="595959" w:themeColor="text1" w:themeTint="A6"/>
      <w:lang w:val="en-GB"/>
    </w:rPr>
  </w:style>
  <w:style w:type="character" w:customStyle="1" w:styleId="90">
    <w:name w:val="标题 9 字符"/>
    <w:basedOn w:val="a0"/>
    <w:link w:val="9"/>
    <w:uiPriority w:val="9"/>
    <w:semiHidden/>
    <w:rsid w:val="00810807"/>
    <w:rPr>
      <w:rFonts w:eastAsiaTheme="majorEastAsia" w:cstheme="majorBidi"/>
      <w:color w:val="595959" w:themeColor="text1" w:themeTint="A6"/>
      <w:lang w:val="en-GB"/>
    </w:rPr>
  </w:style>
  <w:style w:type="paragraph" w:styleId="a3">
    <w:name w:val="Title"/>
    <w:basedOn w:val="a"/>
    <w:next w:val="a"/>
    <w:link w:val="a4"/>
    <w:uiPriority w:val="10"/>
    <w:qFormat/>
    <w:rsid w:val="008108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0807"/>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8108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0807"/>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810807"/>
    <w:pPr>
      <w:spacing w:before="160" w:after="160"/>
      <w:jc w:val="center"/>
    </w:pPr>
    <w:rPr>
      <w:i/>
      <w:iCs/>
      <w:color w:val="404040" w:themeColor="text1" w:themeTint="BF"/>
    </w:rPr>
  </w:style>
  <w:style w:type="character" w:customStyle="1" w:styleId="a8">
    <w:name w:val="引用 字符"/>
    <w:basedOn w:val="a0"/>
    <w:link w:val="a7"/>
    <w:uiPriority w:val="29"/>
    <w:rsid w:val="00810807"/>
    <w:rPr>
      <w:i/>
      <w:iCs/>
      <w:color w:val="404040" w:themeColor="text1" w:themeTint="BF"/>
      <w:lang w:val="en-GB"/>
    </w:rPr>
  </w:style>
  <w:style w:type="paragraph" w:styleId="a9">
    <w:name w:val="List Paragraph"/>
    <w:basedOn w:val="a"/>
    <w:uiPriority w:val="34"/>
    <w:qFormat/>
    <w:rsid w:val="00810807"/>
    <w:pPr>
      <w:ind w:left="720"/>
      <w:contextualSpacing/>
    </w:pPr>
  </w:style>
  <w:style w:type="character" w:styleId="aa">
    <w:name w:val="Intense Emphasis"/>
    <w:basedOn w:val="a0"/>
    <w:uiPriority w:val="21"/>
    <w:qFormat/>
    <w:rsid w:val="00810807"/>
    <w:rPr>
      <w:i/>
      <w:iCs/>
      <w:color w:val="0F4761" w:themeColor="accent1" w:themeShade="BF"/>
    </w:rPr>
  </w:style>
  <w:style w:type="paragraph" w:styleId="ab">
    <w:name w:val="Intense Quote"/>
    <w:basedOn w:val="a"/>
    <w:next w:val="a"/>
    <w:link w:val="ac"/>
    <w:uiPriority w:val="30"/>
    <w:qFormat/>
    <w:rsid w:val="00810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0807"/>
    <w:rPr>
      <w:i/>
      <w:iCs/>
      <w:color w:val="0F4761" w:themeColor="accent1" w:themeShade="BF"/>
      <w:lang w:val="en-GB"/>
    </w:rPr>
  </w:style>
  <w:style w:type="character" w:styleId="ad">
    <w:name w:val="Intense Reference"/>
    <w:basedOn w:val="a0"/>
    <w:uiPriority w:val="32"/>
    <w:qFormat/>
    <w:rsid w:val="008108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2192</Words>
  <Characters>12501</Characters>
  <Application>Microsoft Office Word</Application>
  <DocSecurity>0</DocSecurity>
  <Lines>104</Lines>
  <Paragraphs>29</Paragraphs>
  <ScaleCrop>false</ScaleCrop>
  <Company/>
  <LinksUpToDate>false</LinksUpToDate>
  <CharactersWithSpaces>14664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 Tian</dc:creator>
  <cp:keywords/>
  <dc:description/>
  <cp:lastModifiedBy>Taya Tian</cp:lastModifiedBy>
  <cp:revision>4</cp:revision>
  <dcterms:created xsi:type="dcterms:W3CDTF">2026-06-11T13:13:00Z</dcterms:created>
  <dcterms:modified xsi:type="dcterms:W3CDTF">2026-07-02T01:57:00Z</dcterms:modified>
</cp:coreProperties>
</file>