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23C6F"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##Persona</w:t>
      </w:r>
    </w:p>
    <w:p w14:paraId="392546AA"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You are a leading expert in assessing translation quality of academic concepts in social science texts. </w:t>
      </w:r>
    </w:p>
    <w:p w14:paraId="6614C784"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##Context</w:t>
      </w:r>
    </w:p>
    <w:p w14:paraId="4636F209" w14:textId="72817C8D"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I conducted a case study on whether RAG technique can improve the LLM-generated translation of social science academic concepts in Fei Xiaotong's "</w:t>
      </w:r>
      <w:r w:rsidRPr="00810807">
        <w:rPr>
          <w:rFonts w:ascii="Times New Roman" w:eastAsia="宋体" w:hAnsi="Times New Roman" w:hint="eastAsia"/>
          <w:sz w:val="24"/>
        </w:rPr>
        <w:t>乡土中国</w:t>
      </w:r>
      <w:r w:rsidRPr="00810807">
        <w:rPr>
          <w:rFonts w:ascii="Times New Roman" w:eastAsia="宋体" w:hAnsi="Times New Roman" w:hint="eastAsia"/>
          <w:sz w:val="24"/>
        </w:rPr>
        <w:t xml:space="preserve">" in which four concept groups showing the most stark contrast between Chinese and Western societies were chosen. The expert translation done by Gary G. Hamilton and Wang Zheng was set as the reference (Not gold standard, of course, because translation is never an either-or act, and because my research questions are: </w:t>
      </w:r>
      <w:r w:rsidR="00E10238" w:rsidRPr="00E10238">
        <w:rPr>
          <w:rFonts w:ascii="Times New Roman" w:eastAsia="宋体" w:hAnsi="Times New Roman" w:hint="eastAsia"/>
          <w:sz w:val="24"/>
        </w:rPr>
        <w:t>When AI has probably been exposed to an expert translation, which expert decisions at the rich points of concepts do LLMs select? Enhanced by RAG technique, how do LLMs select from viable and relevant translations? Does the varied RAG setting of retrieval, filtering and ranking change how LLMs select? Each question will test one generating source of translation: the AI model</w:t>
      </w:r>
      <w:r w:rsidR="00E10238" w:rsidRPr="00E10238">
        <w:rPr>
          <w:rFonts w:ascii="Times New Roman" w:eastAsia="宋体" w:hAnsi="Times New Roman" w:hint="eastAsia"/>
          <w:sz w:val="24"/>
        </w:rPr>
        <w:t>’</w:t>
      </w:r>
      <w:r w:rsidR="00E10238" w:rsidRPr="00E10238">
        <w:rPr>
          <w:rFonts w:ascii="Times New Roman" w:eastAsia="宋体" w:hAnsi="Times New Roman" w:hint="eastAsia"/>
          <w:sz w:val="24"/>
        </w:rPr>
        <w:t>s pre-training, RAG retrieval, and the way retrieval is set up in RAG system. You can find this framework in the uploaded PDF "CB-TQA Framework.pdf".</w:t>
      </w:r>
    </w:p>
    <w:p w14:paraId="44F0305D"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##Task </w:t>
      </w:r>
    </w:p>
    <w:p w14:paraId="12E1D7D2" w14:textId="77777777" w:rsidR="00E10238" w:rsidRPr="00E10238" w:rsidRDefault="00E10238" w:rsidP="00E10238">
      <w:pPr>
        <w:spacing w:line="360" w:lineRule="auto"/>
        <w:rPr>
          <w:rFonts w:ascii="Times New Roman" w:eastAsia="宋体" w:hAnsi="Times New Roman" w:hint="eastAsia"/>
          <w:sz w:val="24"/>
        </w:rPr>
      </w:pPr>
      <w:r w:rsidRPr="00E10238">
        <w:rPr>
          <w:rFonts w:ascii="Times New Roman" w:eastAsia="宋体" w:hAnsi="Times New Roman" w:hint="eastAsia"/>
          <w:sz w:val="24"/>
        </w:rPr>
        <w:t xml:space="preserve">1. Please read this PDF, especially for how to calculate the translation quality score in the section "3.4 Worked Example".  </w:t>
      </w:r>
    </w:p>
    <w:p w14:paraId="346D61C2" w14:textId="76B43147" w:rsidR="00810807" w:rsidRPr="00810807" w:rsidRDefault="00E10238" w:rsidP="00E10238">
      <w:pPr>
        <w:spacing w:line="360" w:lineRule="auto"/>
        <w:rPr>
          <w:rFonts w:ascii="Times New Roman" w:eastAsia="宋体" w:hAnsi="Times New Roman"/>
          <w:sz w:val="24"/>
        </w:rPr>
      </w:pPr>
      <w:r w:rsidRPr="00E10238">
        <w:rPr>
          <w:rFonts w:ascii="Times New Roman" w:eastAsia="宋体" w:hAnsi="Times New Roman" w:hint="eastAsia"/>
          <w:sz w:val="24"/>
        </w:rPr>
        <w:t>Special note: about the calculation of Source-Text Crediting, the word count should be the source text whose word count is included in the "</w:t>
      </w:r>
      <w:bookmarkStart w:id="0" w:name="_Hlk244161835"/>
      <w:r w:rsidRPr="00E10238">
        <w:rPr>
          <w:rFonts w:ascii="Times New Roman" w:eastAsia="宋体" w:hAnsi="Times New Roman" w:hint="eastAsia"/>
          <w:sz w:val="24"/>
        </w:rPr>
        <w:t>Version 2</w:t>
      </w:r>
      <w:bookmarkEnd w:id="0"/>
      <w:r w:rsidRPr="00E10238">
        <w:rPr>
          <w:rFonts w:ascii="Times New Roman" w:eastAsia="宋体" w:hAnsi="Times New Roman" w:hint="eastAsia"/>
          <w:sz w:val="24"/>
        </w:rPr>
        <w:t xml:space="preserve"> Codebook for Concept Group </w:t>
      </w:r>
      <w:r>
        <w:rPr>
          <w:rFonts w:ascii="Times New Roman" w:eastAsia="宋体" w:hAnsi="Times New Roman" w:hint="eastAsia"/>
          <w:sz w:val="24"/>
        </w:rPr>
        <w:t>2</w:t>
      </w:r>
      <w:r w:rsidRPr="00E10238">
        <w:rPr>
          <w:rFonts w:ascii="Times New Roman" w:eastAsia="宋体" w:hAnsi="Times New Roman" w:hint="eastAsia"/>
          <w:sz w:val="24"/>
        </w:rPr>
        <w:t>.xlsx".</w:t>
      </w:r>
    </w:p>
    <w:p w14:paraId="634C3142" w14:textId="328DE0E2"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2. Please read the uploaded codebook "</w:t>
      </w:r>
      <w:r w:rsidR="00E10238" w:rsidRPr="00E10238">
        <w:rPr>
          <w:rFonts w:hint="eastAsia"/>
        </w:rPr>
        <w:t xml:space="preserve"> </w:t>
      </w:r>
      <w:r w:rsidR="00E10238" w:rsidRPr="00E10238">
        <w:rPr>
          <w:rFonts w:ascii="Times New Roman" w:eastAsia="宋体" w:hAnsi="Times New Roman" w:hint="eastAsia"/>
          <w:sz w:val="24"/>
        </w:rPr>
        <w:t>Version 2</w:t>
      </w:r>
      <w:r w:rsidRPr="00810807">
        <w:rPr>
          <w:rFonts w:ascii="Times New Roman" w:eastAsia="宋体" w:hAnsi="Times New Roman" w:hint="eastAsia"/>
          <w:sz w:val="24"/>
        </w:rPr>
        <w:t xml:space="preserve"> Codebook for Concept Group </w:t>
      </w:r>
      <w:r w:rsidR="00806EA7">
        <w:rPr>
          <w:rFonts w:ascii="Times New Roman" w:eastAsia="宋体" w:hAnsi="Times New Roman" w:hint="eastAsia"/>
          <w:sz w:val="24"/>
        </w:rPr>
        <w:t>2</w:t>
      </w:r>
      <w:r w:rsidRPr="00810807">
        <w:rPr>
          <w:rFonts w:ascii="Times New Roman" w:eastAsia="宋体" w:hAnsi="Times New Roman" w:hint="eastAsia"/>
          <w:sz w:val="24"/>
        </w:rPr>
        <w:t xml:space="preserve">.xlsx". I have listed Expert reference translation (ERT), acceptable renderings, unacceptable renderings to facilitate your in-depth assessment. </w:t>
      </w:r>
    </w:p>
    <w:p w14:paraId="7D0A8C63"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Special note: As I mentioned above, ERT is no gold standard. For your fine-grained analysis to answer the above research questions, I added "ERT status" in the codebook containing two scenarios of the ERT: "acceptable" and "fail". If the ERT is "acceptable", use this translation, and the information in the "Acceptable renderings" as the </w:t>
      </w:r>
      <w:r w:rsidRPr="00810807">
        <w:rPr>
          <w:rFonts w:ascii="Times New Roman" w:eastAsia="宋体" w:hAnsi="Times New Roman" w:hint="eastAsia"/>
          <w:sz w:val="24"/>
        </w:rPr>
        <w:lastRenderedPageBreak/>
        <w:t xml:space="preserve">benchmark to evaluate the LLM translations. If the ERT is "fail", count the case in the ERT translation itself as an error, of course. </w:t>
      </w:r>
    </w:p>
    <w:p w14:paraId="18B8A2E2"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3. About the design of the codebook:</w:t>
      </w:r>
    </w:p>
    <w:p w14:paraId="7E4D87BF"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(1) Read the section "0. Sub-parameter Definitions" for what all sub-parameters mean when you are evaluating the translations;</w:t>
      </w:r>
    </w:p>
    <w:p w14:paraId="7F5DADCF"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(2) Read the section "1. Operative Coding Rules" for how to make decisions under specific circumstances;</w:t>
      </w:r>
    </w:p>
    <w:p w14:paraId="47E1CF1E"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(3) Read the section "2. Textual Profile and Scope of Assessment" to get a correct understanding of argument logic of the source text.</w:t>
      </w:r>
    </w:p>
    <w:p w14:paraId="3CD3818C"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sz w:val="24"/>
        </w:rPr>
        <w:t>(4) Read the section "3. Source-Text Deficiencies and Expert Reference Remedies" for source</w:t>
      </w:r>
      <w:r w:rsidRPr="00810807">
        <w:rPr>
          <w:rFonts w:ascii="Times New Roman" w:eastAsia="宋体" w:hAnsi="Times New Roman" w:cs="Cambria Math"/>
          <w:sz w:val="24"/>
        </w:rPr>
        <w:t>‑</w:t>
      </w:r>
      <w:r w:rsidRPr="00810807">
        <w:rPr>
          <w:rFonts w:ascii="Times New Roman" w:eastAsia="宋体" w:hAnsi="Times New Roman"/>
          <w:sz w:val="24"/>
        </w:rPr>
        <w:t>defect IDs, so you can compute source defects.</w:t>
      </w:r>
    </w:p>
    <w:p w14:paraId="191DB4EC" w14:textId="79D35B1D"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4. Special mention should be made about the "Layer A </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Argument Schema (Williams 2004)". As I described in OCR-6, Layer A is diagnostic-only. For this reason, I wrote OCR-8, highlighting your responsibility to "flag Argument Integrity: compromised (or uncertain), reported beside the numeric score and never folded into it."</w:t>
      </w:r>
    </w:p>
    <w:p w14:paraId="23B28C24"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cs="Times New Roman"/>
          <w:sz w:val="24"/>
        </w:rPr>
        <w:t>​</w:t>
      </w:r>
      <w:r w:rsidRPr="00810807">
        <w:rPr>
          <w:rFonts w:ascii="Times New Roman" w:eastAsia="宋体" w:hAnsi="Times New Roman"/>
          <w:sz w:val="24"/>
        </w:rPr>
        <w:t>5. Special mention should also be made about the "Acceptable renderings" and "Unacceptable renderings" in the codebook for your fine-grained analysis:</w:t>
      </w:r>
    </w:p>
    <w:p w14:paraId="13B702B8" w14:textId="3D26B46C"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(1) When compelling most of these renderings, I combined general principles with typical examples. For example, in </w:t>
      </w:r>
      <w:r w:rsidR="007C0F23" w:rsidRPr="007C0F23">
        <w:rPr>
          <w:rFonts w:ascii="Times New Roman" w:eastAsia="宋体" w:hAnsi="Times New Roman" w:hint="eastAsia"/>
          <w:sz w:val="24"/>
        </w:rPr>
        <w:t>CG2-409</w:t>
      </w:r>
      <w:r w:rsidRPr="00810807">
        <w:rPr>
          <w:rFonts w:ascii="Times New Roman" w:eastAsia="宋体" w:hAnsi="Times New Roman" w:hint="eastAsia"/>
          <w:sz w:val="24"/>
        </w:rPr>
        <w:t xml:space="preserve">, the criterion for acceptable renderings is </w:t>
      </w:r>
      <w:r w:rsidRPr="00810807">
        <w:rPr>
          <w:rFonts w:ascii="Times New Roman" w:eastAsia="宋体" w:hAnsi="Times New Roman" w:hint="eastAsia"/>
          <w:sz w:val="24"/>
        </w:rPr>
        <w:t>“</w:t>
      </w:r>
      <w:bookmarkStart w:id="1" w:name="_Hlk232490948"/>
      <w:r w:rsidR="007C0F23" w:rsidRPr="007C0F23">
        <w:rPr>
          <w:rFonts w:ascii="Times New Roman" w:eastAsia="宋体" w:hAnsi="Times New Roman" w:hint="eastAsia"/>
          <w:sz w:val="24"/>
        </w:rPr>
        <w:t>结合中国文化常识</w:t>
      </w:r>
      <w:bookmarkEnd w:id="1"/>
      <w:r w:rsidR="007C0F23" w:rsidRPr="007C0F23">
        <w:rPr>
          <w:rFonts w:ascii="Times New Roman" w:eastAsia="宋体" w:hAnsi="Times New Roman" w:hint="eastAsia"/>
          <w:sz w:val="24"/>
        </w:rPr>
        <w:t>，</w:t>
      </w:r>
      <w:bookmarkStart w:id="2" w:name="_Hlk232490962"/>
      <w:r w:rsidR="007C0F23" w:rsidRPr="007C0F23">
        <w:rPr>
          <w:rFonts w:ascii="Times New Roman" w:eastAsia="宋体" w:hAnsi="Times New Roman" w:hint="eastAsia"/>
          <w:sz w:val="24"/>
        </w:rPr>
        <w:t>译作</w:t>
      </w:r>
      <w:r w:rsidR="007C0F23" w:rsidRPr="007C0F23">
        <w:rPr>
          <w:rFonts w:ascii="Times New Roman" w:eastAsia="宋体" w:hAnsi="Times New Roman" w:hint="eastAsia"/>
          <w:sz w:val="24"/>
        </w:rPr>
        <w:t>e.g., the great/universal Way of all under heaven</w:t>
      </w:r>
      <w:bookmarkEnd w:id="2"/>
      <w:r w:rsidRPr="00810807">
        <w:rPr>
          <w:rFonts w:ascii="Times New Roman" w:eastAsia="宋体" w:hAnsi="Times New Roman" w:hint="eastAsia"/>
          <w:sz w:val="24"/>
        </w:rPr>
        <w:t xml:space="preserve">", and for unacceptable renderings is </w:t>
      </w:r>
      <w:r w:rsidRPr="00810807">
        <w:rPr>
          <w:rFonts w:ascii="Times New Roman" w:eastAsia="宋体" w:hAnsi="Times New Roman" w:hint="eastAsia"/>
          <w:sz w:val="24"/>
        </w:rPr>
        <w:t>“</w:t>
      </w:r>
      <w:r w:rsidR="007C0F23" w:rsidRPr="007C0F23">
        <w:rPr>
          <w:rFonts w:ascii="Times New Roman" w:eastAsia="宋体" w:hAnsi="Times New Roman" w:hint="eastAsia"/>
          <w:sz w:val="24"/>
        </w:rPr>
        <w:t>未能结合中国文化常识，译作</w:t>
      </w:r>
      <w:r w:rsidR="007C0F23" w:rsidRPr="007C0F23">
        <w:rPr>
          <w:rFonts w:ascii="Times New Roman" w:eastAsia="宋体" w:hAnsi="Times New Roman" w:hint="eastAsia"/>
          <w:sz w:val="24"/>
        </w:rPr>
        <w:t>e.g., the world's road</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In evaluating LLM translations, you can base your judgement, first, on the general principle </w:t>
      </w:r>
      <w:r w:rsidRPr="00810807">
        <w:rPr>
          <w:rFonts w:ascii="Times New Roman" w:eastAsia="宋体" w:hAnsi="Times New Roman" w:hint="eastAsia"/>
          <w:sz w:val="24"/>
        </w:rPr>
        <w:t>“</w:t>
      </w:r>
      <w:r w:rsidR="007C0F23" w:rsidRPr="007C0F23">
        <w:rPr>
          <w:rFonts w:ascii="Times New Roman" w:eastAsia="宋体" w:hAnsi="Times New Roman" w:hint="eastAsia"/>
          <w:sz w:val="24"/>
        </w:rPr>
        <w:t>结合中国文化常识</w:t>
      </w:r>
      <w:r w:rsidRPr="00810807">
        <w:rPr>
          <w:rFonts w:ascii="Times New Roman" w:eastAsia="宋体" w:hAnsi="Times New Roman" w:hint="eastAsia"/>
          <w:sz w:val="24"/>
        </w:rPr>
        <w:t>,</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then, on the typical examples "</w:t>
      </w:r>
      <w:r w:rsidR="007C0F23" w:rsidRPr="007C0F23">
        <w:rPr>
          <w:rFonts w:ascii="Times New Roman" w:eastAsia="宋体" w:hAnsi="Times New Roman" w:hint="eastAsia"/>
          <w:sz w:val="24"/>
        </w:rPr>
        <w:t>译作</w:t>
      </w:r>
      <w:r w:rsidR="007C0F23" w:rsidRPr="007C0F23">
        <w:rPr>
          <w:rFonts w:ascii="Times New Roman" w:eastAsia="宋体" w:hAnsi="Times New Roman" w:hint="eastAsia"/>
          <w:sz w:val="24"/>
        </w:rPr>
        <w:t>e.g., the great/universal Way of all under heaven</w:t>
      </w:r>
      <w:r w:rsidRPr="00810807">
        <w:rPr>
          <w:rFonts w:ascii="Times New Roman" w:eastAsia="宋体" w:hAnsi="Times New Roman" w:hint="eastAsia"/>
          <w:sz w:val="24"/>
        </w:rPr>
        <w:t xml:space="preserve">'" for the recognizable pattern. Of course, the typical examples are only illustrative for you to figure out the pattern, rather than being exhaustive. This means you should not use these typical examples for equivalence matching, which is ridiculous, given that translation can never be one-on-one matching. </w:t>
      </w:r>
    </w:p>
    <w:p w14:paraId="6EF004D0" w14:textId="1101C041"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Of course, with these general principles and typical examples, you may still be unsure about how to evaluate some translations. In this case, please list these uncertain parts </w:t>
      </w:r>
      <w:r w:rsidRPr="00810807">
        <w:rPr>
          <w:rFonts w:ascii="Times New Roman" w:eastAsia="宋体" w:hAnsi="Times New Roman" w:hint="eastAsia"/>
          <w:sz w:val="24"/>
        </w:rPr>
        <w:lastRenderedPageBreak/>
        <w:t>for my final judgement.</w:t>
      </w:r>
    </w:p>
    <w:p w14:paraId="08F593B4"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6. Please output the following results:</w:t>
      </w:r>
    </w:p>
    <w:p w14:paraId="503028D8" w14:textId="0BFAC73C"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(1) "Error Tabulation" comparing the translation performance of expert reference translation (this translation will be provided below), </w:t>
      </w:r>
      <w:r w:rsidRPr="00F37551">
        <w:rPr>
          <w:rFonts w:ascii="Times New Roman" w:eastAsia="宋体" w:hAnsi="Times New Roman" w:hint="eastAsia"/>
          <w:sz w:val="24"/>
        </w:rPr>
        <w:t>a RAG-enhanced LLM translation (this translation is shown in the uploaded text entitled "</w:t>
      </w:r>
      <w:r w:rsidR="00F37551" w:rsidRPr="00F37551">
        <w:rPr>
          <w:rFonts w:hint="eastAsia"/>
        </w:rPr>
        <w:t xml:space="preserve"> </w:t>
      </w:r>
      <w:r w:rsidR="00F37551" w:rsidRPr="00F37551">
        <w:rPr>
          <w:rFonts w:ascii="Times New Roman" w:eastAsia="宋体" w:hAnsi="Times New Roman" w:hint="eastAsia"/>
          <w:sz w:val="24"/>
        </w:rPr>
        <w:t xml:space="preserve">ragrun1_20260505_123753.txt </w:t>
      </w:r>
      <w:r w:rsidRPr="00F37551">
        <w:rPr>
          <w:rFonts w:ascii="Times New Roman" w:eastAsia="宋体" w:hAnsi="Times New Roman" w:hint="eastAsia"/>
          <w:sz w:val="24"/>
        </w:rPr>
        <w:t xml:space="preserve">". The word count of this translation is </w:t>
      </w:r>
      <w:r w:rsidR="00F37551" w:rsidRPr="00F37551">
        <w:rPr>
          <w:rFonts w:ascii="Times New Roman" w:eastAsia="宋体" w:hAnsi="Times New Roman" w:hint="eastAsia"/>
          <w:sz w:val="24"/>
        </w:rPr>
        <w:t>1,200</w:t>
      </w:r>
      <w:r w:rsidRPr="00F37551">
        <w:rPr>
          <w:rFonts w:ascii="Times New Roman" w:eastAsia="宋体" w:hAnsi="Times New Roman" w:hint="eastAsia"/>
          <w:sz w:val="24"/>
        </w:rPr>
        <w:t>), and a non-enhanced LLM translation (this translation is shown in the uploaded text entitled "</w:t>
      </w:r>
      <w:r w:rsidR="00F37551" w:rsidRPr="00F37551">
        <w:rPr>
          <w:rFonts w:hint="eastAsia"/>
        </w:rPr>
        <w:t xml:space="preserve"> </w:t>
      </w:r>
      <w:r w:rsidR="00F37551" w:rsidRPr="00F37551">
        <w:rPr>
          <w:rFonts w:ascii="Times New Roman" w:eastAsia="宋体" w:hAnsi="Times New Roman" w:hint="eastAsia"/>
          <w:sz w:val="24"/>
        </w:rPr>
        <w:t xml:space="preserve">run1_20260505_123753.txt </w:t>
      </w:r>
      <w:r w:rsidRPr="00F37551">
        <w:rPr>
          <w:rFonts w:ascii="Times New Roman" w:eastAsia="宋体" w:hAnsi="Times New Roman" w:hint="eastAsia"/>
          <w:sz w:val="24"/>
        </w:rPr>
        <w:t>". The word count of this translation is 1,</w:t>
      </w:r>
      <w:r w:rsidR="00F37551" w:rsidRPr="00F37551">
        <w:rPr>
          <w:rFonts w:ascii="Times New Roman" w:eastAsia="宋体" w:hAnsi="Times New Roman" w:hint="eastAsia"/>
          <w:sz w:val="24"/>
        </w:rPr>
        <w:t>211</w:t>
      </w:r>
      <w:r w:rsidRPr="00F37551">
        <w:rPr>
          <w:rFonts w:ascii="Times New Roman" w:eastAsia="宋体" w:hAnsi="Times New Roman" w:hint="eastAsia"/>
          <w:sz w:val="24"/>
        </w:rPr>
        <w:t>).</w:t>
      </w:r>
      <w:r w:rsidRPr="00810807">
        <w:rPr>
          <w:rFonts w:ascii="Times New Roman" w:eastAsia="宋体" w:hAnsi="Times New Roman" w:hint="eastAsia"/>
          <w:sz w:val="24"/>
        </w:rPr>
        <w:t xml:space="preserve">  </w:t>
      </w:r>
    </w:p>
    <w:p w14:paraId="629BD91B"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This "Error Tabulation" report should include the following sections "ID  Sub-parameter  ERT  run1  ragrun1", giving detailed information about the desirable translation and errors;</w:t>
      </w:r>
    </w:p>
    <w:p w14:paraId="0FE4DD91"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(2) "Source-Text Penalties", based on the "3. Source-Text Deficiencies and Expert Reference Remedies";</w:t>
      </w:r>
    </w:p>
    <w:p w14:paraId="5A14C7B6"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(3) "Translation Quality Scores";</w:t>
      </w:r>
    </w:p>
    <w:p w14:paraId="6A3E6842"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(4) "Interpretation" containing where RAG helped, where RAG did not help, and where ERT itself fails;</w:t>
      </w:r>
    </w:p>
    <w:p w14:paraId="77328F54" w14:textId="3885A43F"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(5) Flag IDs (including those under CL-A1-CL-A4 sub-parameters </w:t>
      </w:r>
      <w:r w:rsidR="00A053B3">
        <w:rPr>
          <w:rFonts w:ascii="Times New Roman" w:eastAsia="宋体" w:hAnsi="Times New Roman" w:hint="eastAsia"/>
          <w:sz w:val="24"/>
        </w:rPr>
        <w:t>of</w:t>
      </w:r>
      <w:r w:rsidRPr="00810807">
        <w:rPr>
          <w:rFonts w:ascii="Times New Roman" w:eastAsia="宋体" w:hAnsi="Times New Roman" w:hint="eastAsia"/>
          <w:sz w:val="24"/>
        </w:rPr>
        <w:t xml:space="preserve"> Layer A) with any part that you are uncertain about for my final judgement.</w:t>
      </w:r>
    </w:p>
    <w:p w14:paraId="292A05AB" w14:textId="5029185B" w:rsidR="00131270" w:rsidRPr="008B10A6" w:rsidRDefault="00810807" w:rsidP="00131270">
      <w:pPr>
        <w:spacing w:line="360" w:lineRule="auto"/>
        <w:rPr>
          <w:rFonts w:ascii="Times New Roman" w:eastAsia="宋体" w:hAnsi="Times New Roman"/>
          <w:sz w:val="24"/>
        </w:rPr>
      </w:pPr>
      <w:r w:rsidRPr="00810807">
        <w:rPr>
          <w:rFonts w:ascii="Times New Roman" w:eastAsia="宋体" w:hAnsi="Times New Roman" w:hint="eastAsia"/>
          <w:sz w:val="24"/>
        </w:rPr>
        <w:t xml:space="preserve">Here is the source text and Hamilton and Wang's translation (the word count of this translation is </w:t>
      </w:r>
      <w:r w:rsidR="00F37551" w:rsidRPr="00F37551">
        <w:rPr>
          <w:rFonts w:ascii="Times New Roman" w:eastAsia="宋体" w:hAnsi="Times New Roman" w:hint="eastAsia"/>
          <w:sz w:val="24"/>
        </w:rPr>
        <w:t>1</w:t>
      </w:r>
      <w:r w:rsidR="00F37551">
        <w:rPr>
          <w:rFonts w:ascii="Times New Roman" w:eastAsia="宋体" w:hAnsi="Times New Roman" w:hint="eastAsia"/>
          <w:sz w:val="24"/>
        </w:rPr>
        <w:t>,</w:t>
      </w:r>
      <w:r w:rsidR="00F37551" w:rsidRPr="00F37551">
        <w:rPr>
          <w:rFonts w:ascii="Times New Roman" w:eastAsia="宋体" w:hAnsi="Times New Roman" w:hint="eastAsia"/>
          <w:sz w:val="24"/>
        </w:rPr>
        <w:t>311 words</w:t>
      </w:r>
      <w:r w:rsidRPr="00810807">
        <w:rPr>
          <w:rFonts w:ascii="Times New Roman" w:eastAsia="宋体" w:hAnsi="Times New Roman" w:hint="eastAsia"/>
          <w:sz w:val="24"/>
        </w:rPr>
        <w:t xml:space="preserve">; the word count of the source text is </w:t>
      </w:r>
      <w:r w:rsidR="00F37551" w:rsidRPr="00F37551">
        <w:rPr>
          <w:rFonts w:ascii="Times New Roman" w:eastAsia="宋体" w:hAnsi="Times New Roman" w:hint="eastAsia"/>
          <w:sz w:val="24"/>
        </w:rPr>
        <w:t>1</w:t>
      </w:r>
      <w:r w:rsidR="00F37551">
        <w:rPr>
          <w:rFonts w:ascii="Times New Roman" w:eastAsia="宋体" w:hAnsi="Times New Roman" w:hint="eastAsia"/>
          <w:sz w:val="24"/>
        </w:rPr>
        <w:t>,</w:t>
      </w:r>
      <w:r w:rsidR="00F37551" w:rsidRPr="00F37551">
        <w:rPr>
          <w:rFonts w:ascii="Times New Roman" w:eastAsia="宋体" w:hAnsi="Times New Roman" w:hint="eastAsia"/>
          <w:sz w:val="24"/>
        </w:rPr>
        <w:t>420 words</w:t>
      </w:r>
      <w:r w:rsidRPr="00810807">
        <w:rPr>
          <w:rFonts w:ascii="Times New Roman" w:eastAsia="宋体" w:hAnsi="Times New Roman" w:hint="eastAsia"/>
          <w:sz w:val="24"/>
        </w:rPr>
        <w:t xml:space="preserve">) in the </w:t>
      </w:r>
      <w:r w:rsidR="00F37551">
        <w:rPr>
          <w:rFonts w:ascii="Times New Roman" w:eastAsia="宋体" w:hAnsi="Times New Roman" w:hint="eastAsia"/>
          <w:sz w:val="24"/>
        </w:rPr>
        <w:t>2nd</w:t>
      </w:r>
      <w:r w:rsidRPr="00810807">
        <w:rPr>
          <w:rFonts w:ascii="Times New Roman" w:eastAsia="宋体" w:hAnsi="Times New Roman" w:hint="eastAsia"/>
          <w:sz w:val="24"/>
        </w:rPr>
        <w:t xml:space="preserve"> concept group:"</w:t>
      </w:r>
      <w:r w:rsidR="00131270" w:rsidRPr="00131270">
        <w:rPr>
          <w:rFonts w:ascii="Times New Roman" w:eastAsia="宋体" w:hAnsi="Times New Roman" w:hint="eastAsia"/>
          <w:sz w:val="24"/>
        </w:rPr>
        <w:t xml:space="preserve"> </w:t>
      </w:r>
      <w:r w:rsidR="00131270" w:rsidRPr="008B10A6">
        <w:rPr>
          <w:rFonts w:ascii="Times New Roman" w:eastAsia="宋体" w:hAnsi="Times New Roman" w:hint="eastAsia"/>
          <w:sz w:val="24"/>
        </w:rPr>
        <w:t>①以“己”为中心，像石子一般投入水中，和别人所联系成的社会关系，不像团体中的分子一般大家立在一个平面上的，而是像水的波纹一般，一圈圈推出去，愈推愈远，也愈推愈薄。在这里我们遇到了中国社会结构的基本特性了。我们儒家最考究的是人伦，伦是什么呢？我的解释就是从自己推出去的和自己发生社会关系的那一群人里所发生的一轮轮波纹的差序。《释名》于“沦”字下也说：“伦也，水文相次有伦理也。”潘光旦先生曾说：凡是有“仑”作公分母的意义都相通，“共同表示的是条理、类别、秩序的一番意思”（见潘光旦《说伦字》，《社会研究》第十九期）。</w:t>
      </w:r>
    </w:p>
    <w:p w14:paraId="4C284976" w14:textId="77777777" w:rsidR="00131270" w:rsidRPr="008B10A6" w:rsidRDefault="00131270" w:rsidP="00131270">
      <w:pPr>
        <w:spacing w:line="360" w:lineRule="auto"/>
        <w:rPr>
          <w:rFonts w:ascii="Times New Roman" w:eastAsia="宋体" w:hAnsi="Times New Roman"/>
          <w:sz w:val="24"/>
        </w:rPr>
      </w:pPr>
      <w:r w:rsidRPr="008B10A6">
        <w:rPr>
          <w:rFonts w:ascii="Times New Roman" w:eastAsia="宋体" w:hAnsi="Times New Roman" w:hint="eastAsia"/>
          <w:sz w:val="24"/>
        </w:rPr>
        <w:t>①</w:t>
      </w:r>
      <w:r w:rsidRPr="008B10A6">
        <w:rPr>
          <w:rFonts w:ascii="Times New Roman" w:eastAsia="宋体" w:hAnsi="Times New Roman" w:hint="eastAsia"/>
          <w:sz w:val="24"/>
        </w:rPr>
        <w:t xml:space="preserve">According to the Western pattern, all members in an organization are equivalent, just as all straws in a bundle are alike. This is quite different from the Chinese pattern. Social </w:t>
      </w:r>
      <w:r w:rsidRPr="008B10A6">
        <w:rPr>
          <w:rFonts w:ascii="Times New Roman" w:eastAsia="宋体" w:hAnsi="Times New Roman" w:hint="eastAsia"/>
          <w:sz w:val="24"/>
        </w:rPr>
        <w:lastRenderedPageBreak/>
        <w:t>relationships in China possess a self-centered quality. Like the ripples formed from a stone thrown into a lake, each circle spreading out from the center becomes more distant and at the same time more insignificant. With this pattern, we are faced with the basic characteristic of Chinese social structure, or what the Confucian school has called renlun (human relationships). What is lun? To me, insofar as it is used to describe Chinese social relationships, the term itself signifies the ripplelike effect created from circles of relationships that spread out from the self, an effect that produces a pattern of discrete circles. In the ancient text Shiming(The Interpretation of Names), lun is defined as "the order existing in ripples of water." Pan Guangdan once said, "Word combinations with lun all have similar meanings, which express proper arrangements, classifications, and order."</w:t>
      </w:r>
    </w:p>
    <w:p w14:paraId="409713A0" w14:textId="77777777" w:rsidR="00131270" w:rsidRPr="008B10A6" w:rsidRDefault="00131270" w:rsidP="00131270">
      <w:pPr>
        <w:spacing w:line="360" w:lineRule="auto"/>
        <w:rPr>
          <w:rFonts w:ascii="Times New Roman" w:eastAsia="宋体" w:hAnsi="Times New Roman"/>
          <w:sz w:val="24"/>
        </w:rPr>
      </w:pPr>
      <w:r w:rsidRPr="008B10A6">
        <w:rPr>
          <w:rFonts w:ascii="Times New Roman" w:eastAsia="宋体" w:hAnsi="Times New Roman" w:hint="eastAsia"/>
          <w:sz w:val="24"/>
        </w:rPr>
        <w:t>②伦重在分别，在《礼记·祭统》里所讲的十伦，鬼神、君臣、父子、贵贱、亲疏、爵赏、夫妇、政事、长幼、上下，都是指差等。“不失其伦”是在别父子、远近、亲疏。伦是有差等的次序。在我们现在读来，鬼神、君臣、父子、夫妇等具体的社会关系，怎能和贵贱、亲疏、远近、上下等抽象的相对地位相提并论？其实在我们传统的社会结构里最基本的概念，这个人和人往来所构成的网络中的纲纪，就是一个差序，也就是伦。《礼记·大传》里说：“亲亲也，尊尊也，长长也，男女有别，此其不可得与民变革者也。”意思是这个社会结构的架格是不能变的，变的只是利用这架格所做的事。</w:t>
      </w:r>
    </w:p>
    <w:p w14:paraId="7ED8C035" w14:textId="77777777" w:rsidR="00131270" w:rsidRPr="008B10A6" w:rsidRDefault="00131270" w:rsidP="00131270">
      <w:pPr>
        <w:spacing w:line="360" w:lineRule="auto"/>
        <w:rPr>
          <w:rFonts w:ascii="Times New Roman" w:eastAsia="宋体" w:hAnsi="Times New Roman"/>
          <w:sz w:val="24"/>
        </w:rPr>
      </w:pPr>
      <w:r w:rsidRPr="008B10A6">
        <w:rPr>
          <w:rFonts w:ascii="Times New Roman" w:eastAsia="宋体" w:hAnsi="Times New Roman" w:hint="eastAsia"/>
          <w:sz w:val="24"/>
        </w:rPr>
        <w:t>②</w:t>
      </w:r>
      <w:r w:rsidRPr="008B10A6">
        <w:rPr>
          <w:rFonts w:ascii="Times New Roman" w:eastAsia="宋体" w:hAnsi="Times New Roman" w:hint="eastAsia"/>
          <w:sz w:val="24"/>
        </w:rPr>
        <w:t>Lun stresses differentiation. In the Book of Rites (Liji), the "ten relationships" form a discontinuous classification. Gods and ghosts, monarchs and subjects, fathers and sons, the noble and the base, the intimate and the unconnected, the rewarded and the punished, husbands and wives, public affairs and private affairs, seniors and juniors, and superiors and inferiors</w:t>
      </w:r>
      <w:r w:rsidRPr="008B10A6">
        <w:rPr>
          <w:rFonts w:ascii="Times New Roman" w:eastAsia="宋体" w:hAnsi="Times New Roman" w:hint="eastAsia"/>
          <w:sz w:val="24"/>
        </w:rPr>
        <w:t>—</w:t>
      </w:r>
      <w:r w:rsidRPr="008B10A6">
        <w:rPr>
          <w:rFonts w:ascii="Times New Roman" w:eastAsia="宋体" w:hAnsi="Times New Roman" w:hint="eastAsia"/>
          <w:sz w:val="24"/>
        </w:rPr>
        <w:t xml:space="preserve">these are principal types of human relationships." Everyone should stay in his place" (bu shi qi lun); thereby, fathers are differentiated from sons, those remote from those close, those who are intimate from those who are not. Lun is order based on classifications. Some may wonder why the concrete social relationships, such as gods and ghosts, monarchs and subjects, fathers and sons, and husbands and wives, are placed in the same category as the abstract positional types, such as the noble and the base, the intimate and the unconnected, the remote and the </w:t>
      </w:r>
      <w:r w:rsidRPr="008B10A6">
        <w:rPr>
          <w:rFonts w:ascii="Times New Roman" w:eastAsia="宋体" w:hAnsi="Times New Roman" w:hint="eastAsia"/>
          <w:sz w:val="24"/>
        </w:rPr>
        <w:lastRenderedPageBreak/>
        <w:t>close, those above and those below. In fact, the basic character of traditional Chinese social structure rests precisely on such hierarchical differentiations as these. Therefore, the key to understanding networks of human relationships is to recognize that such distinctions create the very patterns of Chinese social organization. In the Book of Rites, it is written," Toward the intimate, there is only intimacy; toward the respected, only respect; toward superiors, only deference; between men and women, only differences; these are things that people cannot alter." This means that the framework of social structure is unchangeable; what is changeable is only the use to which the framework is put.</w:t>
      </w:r>
    </w:p>
    <w:p w14:paraId="5C529E59" w14:textId="77777777" w:rsidR="00131270" w:rsidRPr="008B10A6" w:rsidRDefault="00131270" w:rsidP="00131270">
      <w:pPr>
        <w:spacing w:line="360" w:lineRule="auto"/>
        <w:rPr>
          <w:rFonts w:ascii="Times New Roman" w:eastAsia="宋体" w:hAnsi="Times New Roman"/>
          <w:sz w:val="24"/>
        </w:rPr>
      </w:pPr>
      <w:r w:rsidRPr="008B10A6">
        <w:rPr>
          <w:rFonts w:ascii="Times New Roman" w:eastAsia="宋体" w:hAnsi="Times New Roman" w:hint="eastAsia"/>
          <w:sz w:val="24"/>
        </w:rPr>
        <w:t>③孔子最注重的就是水纹波浪向外扩张的“推”字。他先承认一个己，推己及人的己，对于这己，得加以克服于礼，克己就是修身。顺着这同心圆的伦常，就可向外推了。“本立而道生”，“其为人也孝悌，而好犯上者鲜矣，不好犯上而好作乱者，未之有也”。从己到家，由家到国，由国到天下，是一条通路。《中庸》里把五伦作为“天下之达道”。因为在这种社会结构里，从己到天下是一圈一圈推出去的，所以孟子说他“善推而已矣”。</w:t>
      </w:r>
    </w:p>
    <w:p w14:paraId="6891A827" w14:textId="77777777" w:rsidR="00131270" w:rsidRPr="008B10A6" w:rsidRDefault="00131270" w:rsidP="00131270">
      <w:pPr>
        <w:spacing w:line="360" w:lineRule="auto"/>
        <w:rPr>
          <w:rFonts w:ascii="Times New Roman" w:eastAsia="宋体" w:hAnsi="Times New Roman"/>
          <w:sz w:val="24"/>
        </w:rPr>
      </w:pPr>
      <w:r w:rsidRPr="008B10A6">
        <w:rPr>
          <w:rFonts w:ascii="Times New Roman" w:eastAsia="宋体" w:hAnsi="Times New Roman" w:hint="eastAsia"/>
          <w:sz w:val="24"/>
        </w:rPr>
        <w:t>③</w:t>
      </w:r>
      <w:r w:rsidRPr="008B10A6">
        <w:rPr>
          <w:rFonts w:ascii="Times New Roman" w:eastAsia="宋体" w:hAnsi="Times New Roman" w:hint="eastAsia"/>
          <w:sz w:val="24"/>
        </w:rPr>
        <w:t xml:space="preserve">Confucius paid a lot of attention to the word tui (pushing or extending out), in the sense of ripples expanding out from the center. He first recognized the centrality of the self. Noting that one should "do to others as you would have done to yourself," Confucius explained that one should"control oneself and conform to rituals" (ke ji fu li). By exercising such self-restraint, one cultivates moral character. Attaining control over one's inner self, one then can tui, can extend oneself out into other circles of human relationships. Confucius wrote, "When the inner person is established, the way is born.... A man who is a good son and a dutiful brother will seldom be disposed to quarrel with those in authority over him, and a man who is not disposed to quarrel with those in authority will never be found to disturb the peace and order of the state." The path runs from the self to the family, from the family to the state, and from the state to the whole world (tianxia). In the Doctrine of the Mean (Zhongyong), the five relationships (monarch and subject, father and son, husband and wife, older and younger brothers, and friends) are regarded as passages to the world (tianxia zhi dadao). In such a social structure, the way to go beyond oneself and reach out to the world is to extend oneself </w:t>
      </w:r>
      <w:r w:rsidRPr="008B10A6">
        <w:rPr>
          <w:rFonts w:ascii="Times New Roman" w:eastAsia="宋体" w:hAnsi="Times New Roman" w:hint="eastAsia"/>
          <w:sz w:val="24"/>
        </w:rPr>
        <w:lastRenderedPageBreak/>
        <w:t>circle by circle. Mencius even praised Confucius by saying that he "was good at extending himself."</w:t>
      </w:r>
    </w:p>
    <w:p w14:paraId="36ECC89E" w14:textId="77777777" w:rsidR="00131270" w:rsidRPr="008B10A6" w:rsidRDefault="00131270" w:rsidP="00131270">
      <w:pPr>
        <w:spacing w:line="360" w:lineRule="auto"/>
        <w:rPr>
          <w:rFonts w:ascii="Times New Roman" w:eastAsia="宋体" w:hAnsi="Times New Roman"/>
          <w:sz w:val="24"/>
        </w:rPr>
      </w:pPr>
      <w:r w:rsidRPr="008B10A6">
        <w:rPr>
          <w:rFonts w:ascii="Times New Roman" w:eastAsia="宋体" w:hAnsi="Times New Roman" w:hint="eastAsia"/>
          <w:sz w:val="24"/>
        </w:rPr>
        <w:t>④在这种富于伸缩性的网络里，随时随地是有一个“己”作中心的。这并不是个人主义，而是自我主义。个人是对团体而说的，是分子对团体。在个人主义下，一方面是平等观念，指在同一团体中各分子的地位相等，个人不能侵犯大家的权利；一方面是宪法观念，指团体不能抹煞个人，只能在个人所愿意交出的一份权利上控制个人。这些观念必须先假定了团体的存在。在我们中国传统思想里是没有这一套的，因为我们所有的是自我主义，一切价值是以“己”作为中心的主义。</w:t>
      </w:r>
    </w:p>
    <w:p w14:paraId="34D9372E" w14:textId="77777777" w:rsidR="00131270" w:rsidRPr="008B10A6" w:rsidRDefault="00131270" w:rsidP="00131270">
      <w:pPr>
        <w:spacing w:line="360" w:lineRule="auto"/>
        <w:rPr>
          <w:rFonts w:ascii="Times New Roman" w:eastAsia="宋体" w:hAnsi="Times New Roman"/>
          <w:sz w:val="24"/>
        </w:rPr>
      </w:pPr>
      <w:r w:rsidRPr="008B10A6">
        <w:rPr>
          <w:rFonts w:ascii="Times New Roman" w:eastAsia="宋体" w:hAnsi="Times New Roman" w:hint="eastAsia"/>
          <w:sz w:val="24"/>
        </w:rPr>
        <w:t>④</w:t>
      </w:r>
      <w:r w:rsidRPr="008B10A6">
        <w:rPr>
          <w:rFonts w:ascii="Times New Roman" w:eastAsia="宋体" w:hAnsi="Times New Roman" w:hint="eastAsia"/>
          <w:sz w:val="24"/>
        </w:rPr>
        <w:t>In these elastic networks that make up Chinese society, there is always a self at the center of each web. But this notion of the self amounts to egocentrism, not individualism. With individualism, individuals make up organizations in the same way that parts make up the whole. The balance between parts and whole produces a concept of equality: since the position of each individual in an organization is the same, one person cannot encroach on the others. It also produces a concept of constitutionality: an organization cannot deny the rights of an individual; it controls individuals merely on the basis of the partial rights they have willingly handed over. Without these concepts, such organizations as these could not exist. However, in Chinese traditional thought, there is no comparable set of ideas, because, for us, there is only egocentrism. Everything worthwhile rests on an ideology in which the self is central.</w:t>
      </w:r>
    </w:p>
    <w:p w14:paraId="0C26BB20" w14:textId="77777777" w:rsidR="00131270" w:rsidRPr="008B10A6" w:rsidRDefault="00131270" w:rsidP="00131270">
      <w:pPr>
        <w:spacing w:line="360" w:lineRule="auto"/>
        <w:rPr>
          <w:rFonts w:ascii="Times New Roman" w:eastAsia="宋体" w:hAnsi="Times New Roman"/>
          <w:sz w:val="24"/>
        </w:rPr>
      </w:pPr>
      <w:r w:rsidRPr="008B10A6">
        <w:rPr>
          <w:rFonts w:ascii="Times New Roman" w:eastAsia="宋体" w:hAnsi="Times New Roman" w:hint="eastAsia"/>
          <w:sz w:val="24"/>
        </w:rPr>
        <w:t>⑤自我主义并不限于拔一毛而利天下不为的杨朱，连儒家都该包括在内。杨朱和孔子不同的是杨朱忽略了自我主义的相对性和伸缩性，他太死心眼儿，一口咬了一个自己不放；孔子是会推己及人的，可是尽管放之于四海，中心还是在自己。子曰：“为政以德，譬如北辰，居其所，而众星拱之。”这是很好一个差序格局的譬喻，自己总是中心，像四季不移的北斗星，所有其他的人，随着他转动。孔子并不像耶稣，耶稣是有超于个人的团体的，他有他的天国，所以他可以牺牲自己去成全天国。孔子呢？不然。</w:t>
      </w:r>
    </w:p>
    <w:p w14:paraId="44E5852E" w14:textId="77777777" w:rsidR="00131270" w:rsidRPr="008B10A6" w:rsidRDefault="00131270" w:rsidP="00131270">
      <w:pPr>
        <w:spacing w:line="360" w:lineRule="auto"/>
        <w:rPr>
          <w:rFonts w:ascii="Times New Roman" w:eastAsia="宋体" w:hAnsi="Times New Roman"/>
          <w:sz w:val="24"/>
        </w:rPr>
      </w:pPr>
      <w:r w:rsidRPr="008B10A6">
        <w:rPr>
          <w:rFonts w:ascii="Times New Roman" w:eastAsia="宋体" w:hAnsi="Times New Roman" w:hint="eastAsia"/>
          <w:sz w:val="24"/>
        </w:rPr>
        <w:t>⑤</w:t>
      </w:r>
      <w:r w:rsidRPr="008B10A6">
        <w:rPr>
          <w:rFonts w:ascii="Times New Roman" w:eastAsia="宋体" w:hAnsi="Times New Roman" w:hint="eastAsia"/>
          <w:sz w:val="24"/>
        </w:rPr>
        <w:t xml:space="preserve">This kind of egocentrism is not limited to the actions of someone like Yang Zhu, who was unwilling to pluck out even a single hair in order to benefit the world. It also includes the Confucians. The difference between Yang Zhu and Confucius himself is that Yang Zhu neglected the relative, elastic qualities of egocentrism. He held his self </w:t>
      </w:r>
      <w:r w:rsidRPr="008B10A6">
        <w:rPr>
          <w:rFonts w:ascii="Times New Roman" w:eastAsia="宋体" w:hAnsi="Times New Roman" w:hint="eastAsia"/>
          <w:sz w:val="24"/>
        </w:rPr>
        <w:lastRenderedPageBreak/>
        <w:t>close and would not let it out. Confucius, however, felt that people need to extend beyond themselves in order to achieve their own interests. But even if one extends as far as possible, one's self is still at the center. Confucius wrote, "A ruler who exercises government by means of his virtue is like the North Star, which makes all the other stars surround it." This is, in fact, a very apt simile for describing the Chinese system of organization, that of a pattern of discrete circles, the differential mode of association (chaxugeju). The self is always at the center; so, like the motionless North Star, the self is always surrounded by others who come under the influence of the center. In this regard, Confucius is not like Jesus Christ. Jesus transcends human organizations. He has his Heaven; so he can sacrifice himself for the sake of Heaven, for something beyond human society. Confucius, however, is different.</w:t>
      </w:r>
    </w:p>
    <w:p w14:paraId="34330549" w14:textId="77777777" w:rsidR="00131270" w:rsidRPr="008B10A6" w:rsidRDefault="00131270" w:rsidP="00131270">
      <w:pPr>
        <w:spacing w:line="360" w:lineRule="auto"/>
        <w:rPr>
          <w:rFonts w:ascii="Times New Roman" w:eastAsia="宋体" w:hAnsi="Times New Roman"/>
          <w:sz w:val="24"/>
        </w:rPr>
      </w:pPr>
      <w:r w:rsidRPr="008B10A6">
        <w:rPr>
          <w:rFonts w:ascii="Times New Roman" w:eastAsia="宋体" w:hAnsi="Times New Roman" w:hint="eastAsia"/>
          <w:sz w:val="24"/>
        </w:rPr>
        <w:t>⑥子贡曰：“如有博施于民，而能济众，何如？可谓仁乎？”子曰：“何事于仁，必也圣乎！尧舜其犹病诸？夫仁者，己欲立而立人，己欲达而达人，能近取譬，可谓仁之方也已。”</w:t>
      </w:r>
    </w:p>
    <w:p w14:paraId="245E979D" w14:textId="77777777" w:rsidR="00131270" w:rsidRPr="008B10A6" w:rsidRDefault="00131270" w:rsidP="00131270">
      <w:pPr>
        <w:spacing w:line="360" w:lineRule="auto"/>
        <w:rPr>
          <w:rFonts w:ascii="Times New Roman" w:eastAsia="宋体" w:hAnsi="Times New Roman"/>
          <w:sz w:val="24"/>
        </w:rPr>
      </w:pPr>
      <w:r w:rsidRPr="008B10A6">
        <w:rPr>
          <w:rFonts w:ascii="Times New Roman" w:eastAsia="宋体" w:hAnsi="Times New Roman" w:hint="eastAsia"/>
          <w:sz w:val="24"/>
        </w:rPr>
        <w:t>⑥</w:t>
      </w:r>
      <w:r w:rsidRPr="008B10A6">
        <w:rPr>
          <w:rFonts w:ascii="Times New Roman" w:eastAsia="宋体" w:hAnsi="Times New Roman" w:hint="eastAsia"/>
          <w:sz w:val="24"/>
        </w:rPr>
        <w:t>One of his disciples, Zigong, said to him, "If there were a man who extensively carried out good works for the welfare of the people and really gave benefits to the multitude, what would you say of such a man? Could he be called benevolent (ren)?" The Master said, "It is not a matter of benevolence with such a man. If you must describe him, sage is the right word. Even Yao and Shun would have found it difficult to accomplish as much. A benevolent man, in forming his own moral character, forms the character of others; in enlightening himself, he enlightens others. This is a good method for attaining a moral life, if one is able to judge of others by what is nigh in himself."</w:t>
      </w:r>
    </w:p>
    <w:p w14:paraId="5BEB308F" w14:textId="77777777" w:rsidR="00131270" w:rsidRPr="008B10A6" w:rsidRDefault="00131270" w:rsidP="00131270">
      <w:pPr>
        <w:spacing w:line="360" w:lineRule="auto"/>
        <w:rPr>
          <w:rFonts w:ascii="Times New Roman" w:eastAsia="宋体" w:hAnsi="Times New Roman"/>
          <w:sz w:val="24"/>
        </w:rPr>
      </w:pPr>
      <w:r w:rsidRPr="008B10A6">
        <w:rPr>
          <w:rFonts w:ascii="Times New Roman" w:eastAsia="宋体" w:hAnsi="Times New Roman" w:hint="eastAsia"/>
          <w:sz w:val="24"/>
        </w:rPr>
        <w:t>⑦孔子的道德系统里绝不肯离开差序格局的中心，“君子求诸己，小人求诸人”。因之，他不能像耶稣一样普爱天下，甚至而爱他的仇敌，还要为杀死他的人求上帝的饶赦——这些不是从自我中心出发的。孔子呢？或曰：“以德报怨，何如？”子曰：“何以报德？以直报怨，以德报德。”这是差序层次，孔子是决不放松的。孔子并不像杨朱一般以小己来应付一切情境，他把这道德范围依着需要而推广或缩小。他不像耶稣或中国的墨翟，一放不能收。</w:t>
      </w:r>
    </w:p>
    <w:p w14:paraId="6EBF95DA" w14:textId="6F81F543" w:rsidR="007F6C2E" w:rsidRPr="00810807" w:rsidRDefault="00131270" w:rsidP="00810807">
      <w:pPr>
        <w:spacing w:line="360" w:lineRule="auto"/>
        <w:rPr>
          <w:rFonts w:ascii="Times New Roman" w:eastAsia="宋体" w:hAnsi="Times New Roman"/>
          <w:sz w:val="24"/>
        </w:rPr>
      </w:pPr>
      <w:r w:rsidRPr="008B10A6">
        <w:rPr>
          <w:rFonts w:ascii="Times New Roman" w:eastAsia="宋体" w:hAnsi="Times New Roman" w:hint="eastAsia"/>
          <w:sz w:val="24"/>
        </w:rPr>
        <w:lastRenderedPageBreak/>
        <w:t>⑦</w:t>
      </w:r>
      <w:r w:rsidRPr="008B10A6">
        <w:rPr>
          <w:rFonts w:ascii="Times New Roman" w:eastAsia="宋体" w:hAnsi="Times New Roman" w:hint="eastAsia"/>
          <w:sz w:val="24"/>
        </w:rPr>
        <w:t>Confucian ethics cannot be divorced from the idea of discrete centers fanning out into a weblike network. As Confucius wrote, "What the superior man seeks is in himself; what the petty man seeks is in others." With sentiments such as these, Confucius could not be like Jesus, who so loved everyone under the sun, including his enemies, that he asked God to have mercy on those who killed him. These actions could not have been motivated by egocentrism. What would Confucius have done? When someone asked him, "What about returning good for evil?" Confucius answered, "Why should one return good for evil? Treat evil with justice and return good for good." Confucius could not put aside these kinds of distinctions. But Confucius was certainly not like Yang Zhu, who used his miserly little self to control all situations. Instead, Confucius expanded and contracted the moral scope according to necessity.</w:t>
      </w:r>
      <w:r>
        <w:rPr>
          <w:rFonts w:ascii="Times New Roman" w:eastAsia="宋体" w:hAnsi="Times New Roman"/>
          <w:sz w:val="24"/>
        </w:rPr>
        <w:t>”</w:t>
      </w:r>
    </w:p>
    <w:sectPr w:rsidR="007F6C2E" w:rsidRPr="0081080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6C46F" w14:textId="77777777" w:rsidR="00401933" w:rsidRDefault="00401933" w:rsidP="00E10238">
      <w:pPr>
        <w:rPr>
          <w:rFonts w:hint="eastAsia"/>
        </w:rPr>
      </w:pPr>
      <w:r>
        <w:separator/>
      </w:r>
    </w:p>
  </w:endnote>
  <w:endnote w:type="continuationSeparator" w:id="0">
    <w:p w14:paraId="73A828DC" w14:textId="77777777" w:rsidR="00401933" w:rsidRDefault="00401933" w:rsidP="00E1023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6AAFC" w14:textId="77777777" w:rsidR="00401933" w:rsidRDefault="00401933" w:rsidP="00E10238">
      <w:pPr>
        <w:rPr>
          <w:rFonts w:hint="eastAsia"/>
        </w:rPr>
      </w:pPr>
      <w:r>
        <w:separator/>
      </w:r>
    </w:p>
  </w:footnote>
  <w:footnote w:type="continuationSeparator" w:id="0">
    <w:p w14:paraId="25A1616B" w14:textId="77777777" w:rsidR="00401933" w:rsidRDefault="00401933" w:rsidP="00E1023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807"/>
    <w:rsid w:val="00131270"/>
    <w:rsid w:val="00401933"/>
    <w:rsid w:val="00554E3D"/>
    <w:rsid w:val="007915AF"/>
    <w:rsid w:val="007C0F23"/>
    <w:rsid w:val="007F6C2E"/>
    <w:rsid w:val="00806EA7"/>
    <w:rsid w:val="00810807"/>
    <w:rsid w:val="00A053B3"/>
    <w:rsid w:val="00C80115"/>
    <w:rsid w:val="00C818C4"/>
    <w:rsid w:val="00C85ECC"/>
    <w:rsid w:val="00C90160"/>
    <w:rsid w:val="00E10238"/>
    <w:rsid w:val="00E95A23"/>
    <w:rsid w:val="00F37551"/>
    <w:rsid w:val="00F53F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72980"/>
  <w15:chartTrackingRefBased/>
  <w15:docId w15:val="{641D29EB-D7E3-4EBF-A0B8-1667AEC0D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next w:val="a"/>
    <w:link w:val="10"/>
    <w:uiPriority w:val="9"/>
    <w:qFormat/>
    <w:rsid w:val="0081080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1080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1080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1080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1080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1080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1080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1080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1080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10807"/>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semiHidden/>
    <w:rsid w:val="00810807"/>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810807"/>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810807"/>
    <w:rPr>
      <w:rFonts w:cstheme="majorBidi"/>
      <w:color w:val="0F4761" w:themeColor="accent1" w:themeShade="BF"/>
      <w:sz w:val="28"/>
      <w:szCs w:val="28"/>
      <w:lang w:val="en-GB"/>
    </w:rPr>
  </w:style>
  <w:style w:type="character" w:customStyle="1" w:styleId="50">
    <w:name w:val="标题 5 字符"/>
    <w:basedOn w:val="a0"/>
    <w:link w:val="5"/>
    <w:uiPriority w:val="9"/>
    <w:semiHidden/>
    <w:rsid w:val="00810807"/>
    <w:rPr>
      <w:rFonts w:cstheme="majorBidi"/>
      <w:color w:val="0F4761" w:themeColor="accent1" w:themeShade="BF"/>
      <w:sz w:val="24"/>
      <w:szCs w:val="24"/>
      <w:lang w:val="en-GB"/>
    </w:rPr>
  </w:style>
  <w:style w:type="character" w:customStyle="1" w:styleId="60">
    <w:name w:val="标题 6 字符"/>
    <w:basedOn w:val="a0"/>
    <w:link w:val="6"/>
    <w:uiPriority w:val="9"/>
    <w:semiHidden/>
    <w:rsid w:val="00810807"/>
    <w:rPr>
      <w:rFonts w:cstheme="majorBidi"/>
      <w:b/>
      <w:bCs/>
      <w:color w:val="0F4761" w:themeColor="accent1" w:themeShade="BF"/>
      <w:lang w:val="en-GB"/>
    </w:rPr>
  </w:style>
  <w:style w:type="character" w:customStyle="1" w:styleId="70">
    <w:name w:val="标题 7 字符"/>
    <w:basedOn w:val="a0"/>
    <w:link w:val="7"/>
    <w:uiPriority w:val="9"/>
    <w:semiHidden/>
    <w:rsid w:val="00810807"/>
    <w:rPr>
      <w:rFonts w:cstheme="majorBidi"/>
      <w:b/>
      <w:bCs/>
      <w:color w:val="595959" w:themeColor="text1" w:themeTint="A6"/>
      <w:lang w:val="en-GB"/>
    </w:rPr>
  </w:style>
  <w:style w:type="character" w:customStyle="1" w:styleId="80">
    <w:name w:val="标题 8 字符"/>
    <w:basedOn w:val="a0"/>
    <w:link w:val="8"/>
    <w:uiPriority w:val="9"/>
    <w:semiHidden/>
    <w:rsid w:val="00810807"/>
    <w:rPr>
      <w:rFonts w:cstheme="majorBidi"/>
      <w:color w:val="595959" w:themeColor="text1" w:themeTint="A6"/>
      <w:lang w:val="en-GB"/>
    </w:rPr>
  </w:style>
  <w:style w:type="character" w:customStyle="1" w:styleId="90">
    <w:name w:val="标题 9 字符"/>
    <w:basedOn w:val="a0"/>
    <w:link w:val="9"/>
    <w:uiPriority w:val="9"/>
    <w:semiHidden/>
    <w:rsid w:val="00810807"/>
    <w:rPr>
      <w:rFonts w:eastAsiaTheme="majorEastAsia" w:cstheme="majorBidi"/>
      <w:color w:val="595959" w:themeColor="text1" w:themeTint="A6"/>
      <w:lang w:val="en-GB"/>
    </w:rPr>
  </w:style>
  <w:style w:type="paragraph" w:styleId="a3">
    <w:name w:val="Title"/>
    <w:basedOn w:val="a"/>
    <w:next w:val="a"/>
    <w:link w:val="a4"/>
    <w:uiPriority w:val="10"/>
    <w:qFormat/>
    <w:rsid w:val="0081080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10807"/>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81080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10807"/>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810807"/>
    <w:pPr>
      <w:spacing w:before="160" w:after="160"/>
      <w:jc w:val="center"/>
    </w:pPr>
    <w:rPr>
      <w:i/>
      <w:iCs/>
      <w:color w:val="404040" w:themeColor="text1" w:themeTint="BF"/>
    </w:rPr>
  </w:style>
  <w:style w:type="character" w:customStyle="1" w:styleId="a8">
    <w:name w:val="引用 字符"/>
    <w:basedOn w:val="a0"/>
    <w:link w:val="a7"/>
    <w:uiPriority w:val="29"/>
    <w:rsid w:val="00810807"/>
    <w:rPr>
      <w:i/>
      <w:iCs/>
      <w:color w:val="404040" w:themeColor="text1" w:themeTint="BF"/>
      <w:lang w:val="en-GB"/>
    </w:rPr>
  </w:style>
  <w:style w:type="paragraph" w:styleId="a9">
    <w:name w:val="List Paragraph"/>
    <w:basedOn w:val="a"/>
    <w:uiPriority w:val="34"/>
    <w:qFormat/>
    <w:rsid w:val="00810807"/>
    <w:pPr>
      <w:ind w:left="720"/>
      <w:contextualSpacing/>
    </w:pPr>
  </w:style>
  <w:style w:type="character" w:styleId="aa">
    <w:name w:val="Intense Emphasis"/>
    <w:basedOn w:val="a0"/>
    <w:uiPriority w:val="21"/>
    <w:qFormat/>
    <w:rsid w:val="00810807"/>
    <w:rPr>
      <w:i/>
      <w:iCs/>
      <w:color w:val="0F4761" w:themeColor="accent1" w:themeShade="BF"/>
    </w:rPr>
  </w:style>
  <w:style w:type="paragraph" w:styleId="ab">
    <w:name w:val="Intense Quote"/>
    <w:basedOn w:val="a"/>
    <w:next w:val="a"/>
    <w:link w:val="ac"/>
    <w:uiPriority w:val="30"/>
    <w:qFormat/>
    <w:rsid w:val="008108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10807"/>
    <w:rPr>
      <w:i/>
      <w:iCs/>
      <w:color w:val="0F4761" w:themeColor="accent1" w:themeShade="BF"/>
      <w:lang w:val="en-GB"/>
    </w:rPr>
  </w:style>
  <w:style w:type="character" w:styleId="ad">
    <w:name w:val="Intense Reference"/>
    <w:basedOn w:val="a0"/>
    <w:uiPriority w:val="32"/>
    <w:qFormat/>
    <w:rsid w:val="00810807"/>
    <w:rPr>
      <w:b/>
      <w:bCs/>
      <w:smallCaps/>
      <w:color w:val="0F4761" w:themeColor="accent1" w:themeShade="BF"/>
      <w:spacing w:val="5"/>
    </w:rPr>
  </w:style>
  <w:style w:type="paragraph" w:styleId="ae">
    <w:name w:val="header"/>
    <w:basedOn w:val="a"/>
    <w:link w:val="af"/>
    <w:uiPriority w:val="99"/>
    <w:unhideWhenUsed/>
    <w:rsid w:val="00E10238"/>
    <w:pPr>
      <w:tabs>
        <w:tab w:val="center" w:pos="4153"/>
        <w:tab w:val="right" w:pos="8306"/>
      </w:tabs>
      <w:snapToGrid w:val="0"/>
      <w:jc w:val="center"/>
    </w:pPr>
    <w:rPr>
      <w:sz w:val="18"/>
      <w:szCs w:val="18"/>
    </w:rPr>
  </w:style>
  <w:style w:type="character" w:customStyle="1" w:styleId="af">
    <w:name w:val="页眉 字符"/>
    <w:basedOn w:val="a0"/>
    <w:link w:val="ae"/>
    <w:uiPriority w:val="99"/>
    <w:rsid w:val="00E10238"/>
    <w:rPr>
      <w:sz w:val="18"/>
      <w:szCs w:val="18"/>
      <w:lang w:val="en-GB"/>
    </w:rPr>
  </w:style>
  <w:style w:type="paragraph" w:styleId="af0">
    <w:name w:val="footer"/>
    <w:basedOn w:val="a"/>
    <w:link w:val="af1"/>
    <w:uiPriority w:val="99"/>
    <w:unhideWhenUsed/>
    <w:rsid w:val="00E10238"/>
    <w:pPr>
      <w:tabs>
        <w:tab w:val="center" w:pos="4153"/>
        <w:tab w:val="right" w:pos="8306"/>
      </w:tabs>
      <w:snapToGrid w:val="0"/>
      <w:jc w:val="left"/>
    </w:pPr>
    <w:rPr>
      <w:sz w:val="18"/>
      <w:szCs w:val="18"/>
    </w:rPr>
  </w:style>
  <w:style w:type="character" w:customStyle="1" w:styleId="af1">
    <w:name w:val="页脚 字符"/>
    <w:basedOn w:val="a0"/>
    <w:link w:val="af0"/>
    <w:uiPriority w:val="99"/>
    <w:rsid w:val="00E10238"/>
    <w:rPr>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2205</Words>
  <Characters>12570</Characters>
  <Application>Microsoft Office Word</Application>
  <DocSecurity>0</DocSecurity>
  <Lines>104</Lines>
  <Paragraphs>29</Paragraphs>
  <ScaleCrop>false</ScaleCrop>
  <Company/>
  <LinksUpToDate>false</LinksUpToDate>
  <CharactersWithSpaces>14746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Taya Tian</dc:creator>
  <cp:keywords/>
  <dc:description/>
  <cp:lastModifiedBy>DELL</cp:lastModifiedBy>
  <cp:revision>7</cp:revision>
  <dcterms:created xsi:type="dcterms:W3CDTF">2026-06-11T13:13:00Z</dcterms:created>
  <dcterms:modified xsi:type="dcterms:W3CDTF">2026-10-29T02:24:00Z</dcterms:modified>
</cp:coreProperties>
</file>