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009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##Persona</w:t>
      </w:r>
    </w:p>
    <w:p w14:paraId="0EE387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You are a leading expert in assessing translation quality of academic concepts in social science texts. </w:t>
      </w:r>
    </w:p>
    <w:p w14:paraId="49DCB39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##Context</w:t>
      </w:r>
    </w:p>
    <w:p w14:paraId="32E34B1A" w14:textId="06956914"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I conducted a case study on whether RAG technique can improve the LLM-generated translation of social science academic concepts in Fei Xiaotong's "</w:t>
      </w:r>
      <w:r w:rsidRPr="00810807">
        <w:rPr>
          <w:rFonts w:ascii="Times New Roman" w:eastAsia="宋体" w:hAnsi="Times New Roman" w:hint="eastAsia"/>
          <w:sz w:val="24"/>
        </w:rPr>
        <w:t>乡土中国</w:t>
      </w:r>
      <w:r w:rsidRPr="00810807">
        <w:rPr>
          <w:rFonts w:ascii="Times New Roman" w:eastAsia="宋体" w:hAnsi="Times New Roman" w:hint="eastAsia"/>
          <w:sz w:val="24"/>
        </w:rPr>
        <w:t xml:space="preserve">" in which four concept groups showing the most stark contrast between Chinese and Western societies were chosen. The expert translation done by Gary G. Hamilton and Wang Zheng was set as the reference (Not gold standard, of course, because translation is never an either-or act, and because my research questions are: </w:t>
      </w:r>
      <w:r w:rsidR="007C6F5B" w:rsidRPr="007C6F5B">
        <w:rPr>
          <w:rFonts w:ascii="Times New Roman" w:eastAsia="宋体" w:hAnsi="Times New Roman" w:hint="eastAsia"/>
          <w:sz w:val="24"/>
        </w:rPr>
        <w:t>When AI has probably been exposed to an expert translation, which expert decisions at the rich points of concepts do LLMs select? Enhanced by RAG technique, how do LLMs select from viable and relevant translations? Does the varied RAG setting of retrieval, filtering and ranking change how LLMs select? Each question will test one generating source of translation: the AI model</w:t>
      </w:r>
      <w:r w:rsidR="007C6F5B" w:rsidRPr="007C6F5B">
        <w:rPr>
          <w:rFonts w:ascii="Times New Roman" w:eastAsia="宋体" w:hAnsi="Times New Roman" w:hint="eastAsia"/>
          <w:sz w:val="24"/>
        </w:rPr>
        <w:t>’</w:t>
      </w:r>
      <w:r w:rsidR="007C6F5B" w:rsidRPr="007C6F5B">
        <w:rPr>
          <w:rFonts w:ascii="Times New Roman" w:eastAsia="宋体" w:hAnsi="Times New Roman" w:hint="eastAsia"/>
          <w:sz w:val="24"/>
        </w:rPr>
        <w:t>s pre-training, RAG retrieval, and the way retrieval is set up in RAG system. You can find this framework in the uploaded PDF "CB-TQA Framework.pdf".</w:t>
      </w:r>
    </w:p>
    <w:p w14:paraId="54C4FFB5"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##Task </w:t>
      </w:r>
    </w:p>
    <w:p w14:paraId="7CA010AB" w14:textId="77777777" w:rsidR="007C6F5B" w:rsidRPr="007C6F5B" w:rsidRDefault="007C6F5B" w:rsidP="007C6F5B">
      <w:pPr>
        <w:spacing w:line="360" w:lineRule="auto"/>
        <w:rPr>
          <w:rFonts w:ascii="Times New Roman" w:eastAsia="宋体" w:hAnsi="Times New Roman" w:hint="eastAsia"/>
          <w:sz w:val="24"/>
        </w:rPr>
      </w:pPr>
      <w:r w:rsidRPr="007C6F5B">
        <w:rPr>
          <w:rFonts w:ascii="Times New Roman" w:eastAsia="宋体" w:hAnsi="Times New Roman" w:hint="eastAsia"/>
          <w:sz w:val="24"/>
        </w:rPr>
        <w:t xml:space="preserve">1. Please read this PDF, especially for how to calculate the translation quality score in the section "3.4 Worked Example".  </w:t>
      </w:r>
    </w:p>
    <w:p w14:paraId="28ECF51D" w14:textId="570C783E" w:rsidR="00672CE3" w:rsidRPr="00810807" w:rsidRDefault="007C6F5B" w:rsidP="007C6F5B">
      <w:pPr>
        <w:spacing w:line="360" w:lineRule="auto"/>
        <w:rPr>
          <w:rFonts w:ascii="Times New Roman" w:eastAsia="宋体" w:hAnsi="Times New Roman"/>
          <w:sz w:val="24"/>
        </w:rPr>
      </w:pPr>
      <w:r w:rsidRPr="007C6F5B">
        <w:rPr>
          <w:rFonts w:ascii="Times New Roman" w:eastAsia="宋体" w:hAnsi="Times New Roman" w:hint="eastAsia"/>
          <w:sz w:val="24"/>
        </w:rPr>
        <w:t>Special note: about the calculation of Source-Text Crediting, the word count should be the source text whose word count is included in the "</w:t>
      </w:r>
      <w:bookmarkStart w:id="0" w:name="_Hlk244162052"/>
      <w:r w:rsidRPr="007C6F5B">
        <w:rPr>
          <w:rFonts w:ascii="Times New Roman" w:eastAsia="宋体" w:hAnsi="Times New Roman" w:hint="eastAsia"/>
          <w:sz w:val="24"/>
        </w:rPr>
        <w:t>Version 2</w:t>
      </w:r>
      <w:bookmarkEnd w:id="0"/>
      <w:r w:rsidRPr="007C6F5B">
        <w:rPr>
          <w:rFonts w:ascii="Times New Roman" w:eastAsia="宋体" w:hAnsi="Times New Roman" w:hint="eastAsia"/>
          <w:sz w:val="24"/>
        </w:rPr>
        <w:t xml:space="preserve"> Codebook for Concept Group </w:t>
      </w:r>
      <w:r>
        <w:rPr>
          <w:rFonts w:ascii="Times New Roman" w:eastAsia="宋体" w:hAnsi="Times New Roman" w:hint="eastAsia"/>
          <w:sz w:val="24"/>
        </w:rPr>
        <w:t>3</w:t>
      </w:r>
      <w:r w:rsidRPr="007C6F5B">
        <w:rPr>
          <w:rFonts w:ascii="Times New Roman" w:eastAsia="宋体" w:hAnsi="Times New Roman" w:hint="eastAsia"/>
          <w:sz w:val="24"/>
        </w:rPr>
        <w:t>.xlsx".</w:t>
      </w:r>
    </w:p>
    <w:p w14:paraId="25842EE1" w14:textId="2EEC6081"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Please read the uploaded codebook "</w:t>
      </w:r>
      <w:r w:rsidR="007C6F5B" w:rsidRPr="007C6F5B">
        <w:rPr>
          <w:rFonts w:ascii="Times New Roman" w:eastAsia="宋体" w:hAnsi="Times New Roman" w:hint="eastAsia"/>
          <w:sz w:val="24"/>
        </w:rPr>
        <w:t xml:space="preserve"> </w:t>
      </w:r>
      <w:r w:rsidR="007C6F5B" w:rsidRPr="007C6F5B">
        <w:rPr>
          <w:rFonts w:ascii="Times New Roman" w:eastAsia="宋体" w:hAnsi="Times New Roman" w:hint="eastAsia"/>
          <w:sz w:val="24"/>
        </w:rPr>
        <w:t>Version 2</w:t>
      </w:r>
      <w:r w:rsidRPr="00810807">
        <w:rPr>
          <w:rFonts w:ascii="Times New Roman" w:eastAsia="宋体" w:hAnsi="Times New Roman" w:hint="eastAsia"/>
          <w:sz w:val="24"/>
        </w:rPr>
        <w:t xml:space="preserve"> Codebook for Concept Group </w:t>
      </w:r>
      <w:r w:rsidR="00E31F2E">
        <w:rPr>
          <w:rFonts w:ascii="Times New Roman" w:eastAsia="宋体" w:hAnsi="Times New Roman" w:hint="eastAsia"/>
          <w:sz w:val="24"/>
        </w:rPr>
        <w:t>3</w:t>
      </w:r>
      <w:r w:rsidRPr="00810807">
        <w:rPr>
          <w:rFonts w:ascii="Times New Roman" w:eastAsia="宋体" w:hAnsi="Times New Roman" w:hint="eastAsia"/>
          <w:sz w:val="24"/>
        </w:rPr>
        <w:t xml:space="preserve">.xlsx". I have listed Expert reference translation (ERT), acceptable renderings, unacceptable renderings to facilitate your in-depth assessment. </w:t>
      </w:r>
    </w:p>
    <w:p w14:paraId="5B07434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Special note: As I mentioned above, ERT is no gold standard. For your fine-grained analysis to answer the above research questions, I added "ERT status" in the codebook containing two scenarios of the ERT: "acceptable" and "fail". If the ERT is "acceptable", use this translation, and the information in the "Acceptable renderings" as the </w:t>
      </w:r>
      <w:r w:rsidRPr="00810807">
        <w:rPr>
          <w:rFonts w:ascii="Times New Roman" w:eastAsia="宋体" w:hAnsi="Times New Roman" w:hint="eastAsia"/>
          <w:sz w:val="24"/>
        </w:rPr>
        <w:lastRenderedPageBreak/>
        <w:t xml:space="preserve">benchmark to evaluate the LLM translations. If the ERT is "fail", count the case in the ERT translation itself as an error, of course. </w:t>
      </w:r>
    </w:p>
    <w:p w14:paraId="40ADF1C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About the design of the codebook:</w:t>
      </w:r>
    </w:p>
    <w:p w14:paraId="6C22704F"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(1) Read the section "0. Sub-parameter Definitions" for what all sub-parameters mean when you are evaluating the translations;</w:t>
      </w:r>
    </w:p>
    <w:p w14:paraId="003B65F0"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Read the section "1. Operative Coding Rules" for how to make decisions under specific circumstances;</w:t>
      </w:r>
    </w:p>
    <w:p w14:paraId="01C25692"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Read the section "2. Textual Profile and Scope of Assessment" to get a correct understanding of argument logic of the source text.</w:t>
      </w:r>
    </w:p>
    <w:p w14:paraId="177FE33A"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sz w:val="24"/>
        </w:rPr>
        <w:t>(4) Read the section "3. Source-Text Deficiencies and Expert Reference Remedies" for source</w:t>
      </w:r>
      <w:r w:rsidRPr="00810807">
        <w:rPr>
          <w:rFonts w:ascii="Times New Roman" w:eastAsia="宋体" w:hAnsi="Times New Roman" w:cs="Cambria Math"/>
          <w:sz w:val="24"/>
        </w:rPr>
        <w:t>‑</w:t>
      </w:r>
      <w:r w:rsidRPr="00810807">
        <w:rPr>
          <w:rFonts w:ascii="Times New Roman" w:eastAsia="宋体" w:hAnsi="Times New Roman"/>
          <w:sz w:val="24"/>
        </w:rPr>
        <w:t>defect IDs, so you can compute source defects.</w:t>
      </w:r>
    </w:p>
    <w:p w14:paraId="203CF529" w14:textId="5F524318"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4. Special mention should be made about the "Layer A </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Argument Schema (Williams 2004)". As I described in OCR-6, Layer A is diagnostic-only. For this reason, I wrote OCR-8, highlighting your responsibility to "flag Argument Integrity: compromised (or uncertain), reported beside the numeric score and never folded into it."</w:t>
      </w:r>
    </w:p>
    <w:p w14:paraId="5D95FC53"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cs="Times New Roman"/>
          <w:sz w:val="24"/>
        </w:rPr>
        <w:t>​</w:t>
      </w:r>
      <w:r w:rsidRPr="00810807">
        <w:rPr>
          <w:rFonts w:ascii="Times New Roman" w:eastAsia="宋体" w:hAnsi="Times New Roman"/>
          <w:sz w:val="24"/>
        </w:rPr>
        <w:t>5. Special mention should also be made about the "Acceptable renderings" and "Unacceptable renderings" in the codebook for your fine-grained analysis:</w:t>
      </w:r>
    </w:p>
    <w:p w14:paraId="5DFDD6DA" w14:textId="281B466F"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When compelling most of these renderings, I combined general principles with typical examples. For example, in </w:t>
      </w:r>
      <w:r w:rsidR="00E31F2E" w:rsidRPr="00E31F2E">
        <w:rPr>
          <w:rFonts w:ascii="Times New Roman" w:eastAsia="宋体" w:hAnsi="Times New Roman" w:hint="eastAsia"/>
          <w:sz w:val="24"/>
        </w:rPr>
        <w:t>CG3-411</w:t>
      </w:r>
      <w:r w:rsidRPr="00810807">
        <w:rPr>
          <w:rFonts w:ascii="Times New Roman" w:eastAsia="宋体" w:hAnsi="Times New Roman" w:hint="eastAsia"/>
          <w:sz w:val="24"/>
        </w:rPr>
        <w:t xml:space="preserve">, the criterion for acceptable renderings is </w:t>
      </w:r>
      <w:r w:rsidRPr="00810807">
        <w:rPr>
          <w:rFonts w:ascii="Times New Roman" w:eastAsia="宋体" w:hAnsi="Times New Roman" w:hint="eastAsia"/>
          <w:sz w:val="24"/>
        </w:rPr>
        <w:t>“</w:t>
      </w:r>
      <w:bookmarkStart w:id="1" w:name="_Hlk232662053"/>
      <w:r w:rsidR="00E31F2E" w:rsidRPr="00E31F2E">
        <w:rPr>
          <w:rFonts w:ascii="Times New Roman" w:eastAsia="宋体" w:hAnsi="Times New Roman" w:hint="eastAsia"/>
          <w:sz w:val="24"/>
        </w:rPr>
        <w:t>结合此处语境</w:t>
      </w:r>
      <w:bookmarkEnd w:id="1"/>
      <w:r w:rsidR="00E31F2E" w:rsidRPr="00E31F2E">
        <w:rPr>
          <w:rFonts w:ascii="Times New Roman" w:eastAsia="宋体" w:hAnsi="Times New Roman" w:hint="eastAsia"/>
          <w:sz w:val="24"/>
        </w:rPr>
        <w:t>，译作</w:t>
      </w:r>
      <w:r w:rsidR="00E31F2E" w:rsidRPr="00E31F2E">
        <w:rPr>
          <w:rFonts w:ascii="Times New Roman" w:eastAsia="宋体" w:hAnsi="Times New Roman" w:hint="eastAsia"/>
          <w:sz w:val="24"/>
        </w:rPr>
        <w:t>e.g., concept of public service || the public-service concept || notion of public duty || concept of public office</w:t>
      </w:r>
      <w:r w:rsidRPr="00810807">
        <w:rPr>
          <w:rFonts w:ascii="Times New Roman" w:eastAsia="宋体" w:hAnsi="Times New Roman" w:hint="eastAsia"/>
          <w:sz w:val="24"/>
        </w:rPr>
        <w:t xml:space="preserve">", and for unacceptable renderings is </w:t>
      </w:r>
      <w:r w:rsidRPr="00810807">
        <w:rPr>
          <w:rFonts w:ascii="Times New Roman" w:eastAsia="宋体" w:hAnsi="Times New Roman" w:hint="eastAsia"/>
          <w:sz w:val="24"/>
        </w:rPr>
        <w:t>“</w:t>
      </w:r>
      <w:r w:rsidR="00E31F2E" w:rsidRPr="00E31F2E">
        <w:rPr>
          <w:rFonts w:ascii="Times New Roman" w:eastAsia="宋体" w:hAnsi="Times New Roman" w:hint="eastAsia"/>
          <w:sz w:val="24"/>
        </w:rPr>
        <w:t>未结合此处语境，译作</w:t>
      </w:r>
      <w:r w:rsidR="00E31F2E" w:rsidRPr="00E31F2E">
        <w:rPr>
          <w:rFonts w:ascii="Times New Roman" w:eastAsia="宋体" w:hAnsi="Times New Roman" w:hint="eastAsia"/>
          <w:sz w:val="24"/>
        </w:rPr>
        <w:t>e.g., civil service || public affairs</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In evaluating LLM translations, you can base your judgement, first, on the general principle </w:t>
      </w:r>
      <w:r w:rsidRPr="00810807">
        <w:rPr>
          <w:rFonts w:ascii="Times New Roman" w:eastAsia="宋体" w:hAnsi="Times New Roman" w:hint="eastAsia"/>
          <w:sz w:val="24"/>
        </w:rPr>
        <w:t>“</w:t>
      </w:r>
      <w:r w:rsidR="00E31F2E" w:rsidRPr="00E31F2E">
        <w:rPr>
          <w:rFonts w:ascii="Times New Roman" w:eastAsia="宋体" w:hAnsi="Times New Roman" w:hint="eastAsia"/>
          <w:sz w:val="24"/>
        </w:rPr>
        <w:t>结合此处语境</w:t>
      </w:r>
      <w:r w:rsidRPr="00810807">
        <w:rPr>
          <w:rFonts w:ascii="Times New Roman" w:eastAsia="宋体" w:hAnsi="Times New Roman" w:hint="eastAsia"/>
          <w:sz w:val="24"/>
        </w:rPr>
        <w:t>,</w:t>
      </w:r>
      <w:r w:rsidRPr="00810807">
        <w:rPr>
          <w:rFonts w:ascii="Times New Roman" w:eastAsia="宋体" w:hAnsi="Times New Roman" w:hint="eastAsia"/>
          <w:sz w:val="24"/>
        </w:rPr>
        <w:t>”</w:t>
      </w:r>
      <w:r w:rsidRPr="00810807">
        <w:rPr>
          <w:rFonts w:ascii="Times New Roman" w:eastAsia="宋体" w:hAnsi="Times New Roman" w:hint="eastAsia"/>
          <w:sz w:val="24"/>
        </w:rPr>
        <w:t xml:space="preserve"> then, on the typical examples "</w:t>
      </w:r>
      <w:r w:rsidR="00E31F2E" w:rsidRPr="00E31F2E">
        <w:rPr>
          <w:rFonts w:ascii="Times New Roman" w:eastAsia="宋体" w:hAnsi="Times New Roman" w:hint="eastAsia"/>
          <w:sz w:val="24"/>
        </w:rPr>
        <w:t>译作</w:t>
      </w:r>
      <w:r w:rsidR="00E31F2E" w:rsidRPr="00E31F2E">
        <w:rPr>
          <w:rFonts w:ascii="Times New Roman" w:eastAsia="宋体" w:hAnsi="Times New Roman" w:hint="eastAsia"/>
          <w:sz w:val="24"/>
        </w:rPr>
        <w:t xml:space="preserve">e.g., civil service || public affairs </w:t>
      </w:r>
      <w:r w:rsidRPr="00810807">
        <w:rPr>
          <w:rFonts w:ascii="Times New Roman" w:eastAsia="宋体" w:hAnsi="Times New Roman" w:hint="eastAsia"/>
          <w:sz w:val="24"/>
        </w:rPr>
        <w:t xml:space="preserve">" for the recognizable pattern. Of course, the typical examples are only illustrative for you to figure out the pattern, rather than being exhaustive. This means you should not use these typical examples for equivalence matching, which is ridiculous, given that translation can never be one-on-one matching. </w:t>
      </w:r>
    </w:p>
    <w:p w14:paraId="6E28517E"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Of course, with these general principles and typical examples, you may still be unsure </w:t>
      </w:r>
      <w:r w:rsidRPr="00810807">
        <w:rPr>
          <w:rFonts w:ascii="Times New Roman" w:eastAsia="宋体" w:hAnsi="Times New Roman" w:hint="eastAsia"/>
          <w:sz w:val="24"/>
        </w:rPr>
        <w:lastRenderedPageBreak/>
        <w:t xml:space="preserve">about how to evaluate some translations. In this case, please list these uncertain parts for my final judgement.    </w:t>
      </w:r>
    </w:p>
    <w:p w14:paraId="1BCB48FC"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6. Please output the following results:</w:t>
      </w:r>
    </w:p>
    <w:p w14:paraId="60BBA8E9" w14:textId="0B281C69"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(1) "Error Tabulation" comparing the translation performance of expert reference translation (this translation will be provided below), </w:t>
      </w:r>
      <w:r w:rsidRPr="00672CE3">
        <w:rPr>
          <w:rFonts w:ascii="Times New Roman" w:eastAsia="宋体" w:hAnsi="Times New Roman" w:hint="eastAsia"/>
          <w:sz w:val="24"/>
        </w:rPr>
        <w:t xml:space="preserve">a </w:t>
      </w:r>
      <w:r w:rsidRPr="00D47B8E">
        <w:rPr>
          <w:rFonts w:ascii="Times New Roman" w:eastAsia="宋体" w:hAnsi="Times New Roman" w:hint="eastAsia"/>
          <w:sz w:val="24"/>
          <w:highlight w:val="yellow"/>
        </w:rPr>
        <w:t>RAG-enhanced LLM translation (this translation is shown in the uploaded text entitled "ragrun1_20260505_123753.txt". The word count of this translation is 1,441), and a non-enhanced LLM translation (this translation is shown in the uploaded text entitled "run1_20260505_123753.txt". The word count of this translation is 1,413).</w:t>
      </w:r>
      <w:r w:rsidRPr="00810807">
        <w:rPr>
          <w:rFonts w:ascii="Times New Roman" w:eastAsia="宋体" w:hAnsi="Times New Roman" w:hint="eastAsia"/>
          <w:sz w:val="24"/>
        </w:rPr>
        <w:t xml:space="preserve">  </w:t>
      </w:r>
    </w:p>
    <w:p w14:paraId="1A4BE9C8"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This "Error Tabulation" report should include the following sections </w:t>
      </w:r>
      <w:r w:rsidRPr="00D75CDD">
        <w:rPr>
          <w:rFonts w:ascii="Times New Roman" w:eastAsia="宋体" w:hAnsi="Times New Roman" w:hint="eastAsia"/>
          <w:sz w:val="24"/>
        </w:rPr>
        <w:t>"ID  Sub-parameter  ERT</w:t>
      </w:r>
      <w:r w:rsidRPr="00D47B8E">
        <w:rPr>
          <w:rFonts w:ascii="Times New Roman" w:eastAsia="宋体" w:hAnsi="Times New Roman" w:hint="eastAsia"/>
          <w:sz w:val="24"/>
          <w:highlight w:val="yellow"/>
        </w:rPr>
        <w:t xml:space="preserve">  run1  ragrun1"</w:t>
      </w:r>
      <w:r w:rsidRPr="00810807">
        <w:rPr>
          <w:rFonts w:ascii="Times New Roman" w:eastAsia="宋体" w:hAnsi="Times New Roman" w:hint="eastAsia"/>
          <w:sz w:val="24"/>
        </w:rPr>
        <w:t>, giving detailed information about the desirable translation and errors;</w:t>
      </w:r>
    </w:p>
    <w:p w14:paraId="6D54702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(2) "Source-Text Penalties", based on the "3. Source-Text Deficiencies and Expert Reference Remedies";</w:t>
      </w:r>
    </w:p>
    <w:p w14:paraId="5B5F617B"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(3) "Translation Quality Scores";</w:t>
      </w:r>
    </w:p>
    <w:p w14:paraId="752B994D"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(4) "Interpretation" containing where RAG helped, where RAG did not help, and where ERT itself fails;</w:t>
      </w:r>
    </w:p>
    <w:p w14:paraId="24A51536" w14:textId="77777777" w:rsidR="00672CE3" w:rsidRPr="00810807" w:rsidRDefault="00672CE3" w:rsidP="00672CE3">
      <w:pPr>
        <w:spacing w:line="360" w:lineRule="auto"/>
        <w:rPr>
          <w:rFonts w:ascii="Times New Roman" w:eastAsia="宋体" w:hAnsi="Times New Roman"/>
          <w:sz w:val="24"/>
        </w:rPr>
      </w:pPr>
      <w:r w:rsidRPr="00810807">
        <w:rPr>
          <w:rFonts w:ascii="Times New Roman" w:eastAsia="宋体" w:hAnsi="Times New Roman" w:hint="eastAsia"/>
          <w:sz w:val="24"/>
        </w:rPr>
        <w:t xml:space="preserve">(5) Flag IDs (including those under CL-A1-CL-A4 sub-parameters </w:t>
      </w:r>
      <w:r>
        <w:rPr>
          <w:rFonts w:ascii="Times New Roman" w:eastAsia="宋体" w:hAnsi="Times New Roman" w:hint="eastAsia"/>
          <w:sz w:val="24"/>
        </w:rPr>
        <w:t>of</w:t>
      </w:r>
      <w:r w:rsidRPr="00810807">
        <w:rPr>
          <w:rFonts w:ascii="Times New Roman" w:eastAsia="宋体" w:hAnsi="Times New Roman" w:hint="eastAsia"/>
          <w:sz w:val="24"/>
        </w:rPr>
        <w:t xml:space="preserve"> Layer A) with any part that you are uncertain about for my final judgement.</w:t>
      </w:r>
    </w:p>
    <w:p w14:paraId="7F2C71F7" w14:textId="28F0C887" w:rsidR="00DA63EB" w:rsidRPr="008B10A6" w:rsidRDefault="00672CE3" w:rsidP="00DA63EB">
      <w:pPr>
        <w:spacing w:line="360" w:lineRule="auto"/>
        <w:rPr>
          <w:rFonts w:ascii="Times New Roman" w:eastAsia="宋体" w:hAnsi="Times New Roman"/>
          <w:sz w:val="24"/>
        </w:rPr>
      </w:pPr>
      <w:r w:rsidRPr="00810807">
        <w:rPr>
          <w:rFonts w:ascii="Times New Roman" w:eastAsia="宋体" w:hAnsi="Times New Roman" w:hint="eastAsia"/>
          <w:sz w:val="24"/>
        </w:rPr>
        <w:t>Here is the source text and Hamilton and Wang's translation (the word count of this translation is</w:t>
      </w:r>
      <w:r w:rsidR="00DA63EB">
        <w:rPr>
          <w:rFonts w:ascii="Times New Roman" w:eastAsia="宋体" w:hAnsi="Times New Roman" w:hint="eastAsia"/>
          <w:sz w:val="24"/>
        </w:rPr>
        <w:t xml:space="preserve"> 1,316</w:t>
      </w:r>
      <w:r w:rsidRPr="00810807">
        <w:rPr>
          <w:rFonts w:ascii="Times New Roman" w:eastAsia="宋体" w:hAnsi="Times New Roman" w:hint="eastAsia"/>
          <w:sz w:val="24"/>
        </w:rPr>
        <w:t>; the word count of the source text is</w:t>
      </w:r>
      <w:r w:rsidR="00DA63EB">
        <w:rPr>
          <w:rFonts w:ascii="Times New Roman" w:eastAsia="宋体" w:hAnsi="Times New Roman" w:hint="eastAsia"/>
          <w:sz w:val="24"/>
        </w:rPr>
        <w:t xml:space="preserve"> </w:t>
      </w:r>
      <w:r w:rsidR="00D03D46" w:rsidRPr="00D03D46">
        <w:rPr>
          <w:rFonts w:ascii="Times New Roman" w:eastAsia="宋体" w:hAnsi="Times New Roman" w:hint="eastAsia"/>
          <w:sz w:val="24"/>
        </w:rPr>
        <w:t>1</w:t>
      </w:r>
      <w:r w:rsidR="00D03D46">
        <w:rPr>
          <w:rFonts w:ascii="Times New Roman" w:eastAsia="宋体" w:hAnsi="Times New Roman" w:hint="eastAsia"/>
          <w:sz w:val="24"/>
        </w:rPr>
        <w:t>,</w:t>
      </w:r>
      <w:r w:rsidR="00D03D46" w:rsidRPr="00D03D46">
        <w:rPr>
          <w:rFonts w:ascii="Times New Roman" w:eastAsia="宋体" w:hAnsi="Times New Roman" w:hint="eastAsia"/>
          <w:sz w:val="24"/>
        </w:rPr>
        <w:t>941</w:t>
      </w:r>
      <w:r w:rsidRPr="00810807">
        <w:rPr>
          <w:rFonts w:ascii="Times New Roman" w:eastAsia="宋体" w:hAnsi="Times New Roman" w:hint="eastAsia"/>
          <w:sz w:val="24"/>
        </w:rPr>
        <w:t xml:space="preserve">) in the </w:t>
      </w:r>
      <w:r>
        <w:rPr>
          <w:rFonts w:ascii="Times New Roman" w:eastAsia="宋体" w:hAnsi="Times New Roman" w:hint="eastAsia"/>
          <w:sz w:val="24"/>
        </w:rPr>
        <w:t>3rd</w:t>
      </w:r>
      <w:r w:rsidRPr="00810807">
        <w:rPr>
          <w:rFonts w:ascii="Times New Roman" w:eastAsia="宋体" w:hAnsi="Times New Roman" w:hint="eastAsia"/>
          <w:sz w:val="24"/>
        </w:rPr>
        <w:t xml:space="preserve"> concept group:"</w:t>
      </w:r>
      <w:r w:rsidR="00DA63EB" w:rsidRPr="00DA63EB">
        <w:rPr>
          <w:rFonts w:ascii="Times New Roman" w:eastAsia="宋体" w:hAnsi="Times New Roman" w:hint="eastAsia"/>
          <w:sz w:val="24"/>
        </w:rPr>
        <w:t xml:space="preserve"> </w:t>
      </w:r>
      <w:r w:rsidR="00DA63EB" w:rsidRPr="008B10A6">
        <w:rPr>
          <w:rFonts w:ascii="Times New Roman" w:eastAsia="宋体" w:hAnsi="Times New Roman" w:hint="eastAsia"/>
          <w:sz w:val="24"/>
        </w:rPr>
        <w:t>①中国乡土社会的基层机构是一种我所谓“差序格局”，是一个“一根根私人联系所构成的网络”。这种格局和现代西洋的“团体格局”是不同的。在团体格局里个人间的联系靠着一个共同的架子；先有了这架子，每个人结上这架子，而互相发生关联。“公民”的观念不能不先有个“国家”。这种结构很可能是从初民民族的“部落”形态中传下来的。部落形态在游牧经济中很显著的是“团体格局”的。生活相倚赖的一群人不能单独地、零散地在山林里求生。在他们，“团体”是生活的前提。可是在一个安居的乡土社会，每个人可以在土地上自食其力地生活时，只在偶然的和临时的非常状态中才感觉到伙伴的需要。在他们，和别</w:t>
      </w:r>
      <w:r w:rsidR="00DA63EB" w:rsidRPr="008B10A6">
        <w:rPr>
          <w:rFonts w:ascii="Times New Roman" w:eastAsia="宋体" w:hAnsi="Times New Roman" w:hint="eastAsia"/>
          <w:sz w:val="24"/>
        </w:rPr>
        <w:lastRenderedPageBreak/>
        <w:t>人发生关系是后起和次要的，而且他们在不同的场合下需要着不同程度的结合，并不显著地需要一个经常的和广被的团体。因之他们的社会采取了“差序格局”。</w:t>
      </w:r>
    </w:p>
    <w:p w14:paraId="671D16A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①</w:t>
      </w:r>
      <w:r w:rsidRPr="008B10A6">
        <w:rPr>
          <w:rFonts w:ascii="Times New Roman" w:eastAsia="宋体" w:hAnsi="Times New Roman" w:hint="eastAsia"/>
          <w:sz w:val="24"/>
        </w:rPr>
        <w:t>The basic structure of Chinese rural society is what I have called "a differential mode of association" (chaxugeju). This pattern is composed of distinctive networks spreading out from each individual's personal connections. It is quite different from the modern Western organizational mode of association (tuantigeju). In such a pattern, personal relationships depend on a common structure. People attach themselves to a preexisting structure and then, through that structure, form personal relationships. The concept of the citizen, for example, necessarily follows the development of the state. It seems likely that this type of organizational pattern grew out of primitive tribal formations. In primitive nomadic economies, these patterns were quite prominent. Depending on each other in daily life, tribal peoples could not survive if they spread out among the mountains, with each person living alone. To them, a cohesive organization was a precondition of life. But it is different for those people living in a settled agricultural society, where everyone earns his or her own living from the land and feels the need of companions only under fortuitous, temporary, or special circumstances. To these people, starting relationships with others is a matter of secondary importance. Moreover, they need connections to different degrees on different occasions. They do not seem to need large, continuous organizations. Therefore, their society has adopted a differential mode of association.</w:t>
      </w:r>
    </w:p>
    <w:p w14:paraId="61F9E8BE"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②社会结构格局的差别引起了不同的道德观念。道德观念是在社会里生活的人自觉应当遵守社会行为规范的信念。它包括着行为规范、行为者的信念和社会的制裁。它的内容是人和人关系的行为规范，是依着该社会的格局而决定的。从社会观点说，道德是社会对个人行为的制裁力，使他们合于规定下的形式行事，用以维持该社会的生存和绵续。</w:t>
      </w:r>
    </w:p>
    <w:p w14:paraId="4B629B16"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②</w:t>
      </w:r>
      <w:r w:rsidRPr="008B10A6">
        <w:rPr>
          <w:rFonts w:ascii="Times New Roman" w:eastAsia="宋体" w:hAnsi="Times New Roman" w:hint="eastAsia"/>
          <w:sz w:val="24"/>
        </w:rPr>
        <w:t xml:space="preserve">These two patterns of social organization give rise to different types of morality. Morality is the belief that people in a society should abide by certain norms of social behavior. Morality always includes regulations, beliefs, and sanctions, all of which are shaped by the constraints imposed by a social structure. According to a sociological perspective, morality is society's sanction on individual behavior; it makes people </w:t>
      </w:r>
      <w:r w:rsidRPr="008B10A6">
        <w:rPr>
          <w:rFonts w:ascii="Times New Roman" w:eastAsia="宋体" w:hAnsi="Times New Roman" w:hint="eastAsia"/>
          <w:sz w:val="24"/>
        </w:rPr>
        <w:lastRenderedPageBreak/>
        <w:t>conform to established social norms in order to maintain the existence and continuity of the society.</w:t>
      </w:r>
    </w:p>
    <w:p w14:paraId="20E48192"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③在“团体格局”中，道德的基本观念建筑在团体和个人的关系上。团体是个超于个人的“实在”，不是有形的东西。我们不能具体地拿出一个有形体的东西来说这是团体。它是一束人和人的关系，是一个控制各个人行为的力量，是一种组成分子生活所倚赖的对象，是先于任何个人而又不能脱离个人的共同意志……这种“实在”只能用有形的东西去象征它、表示它。在“团体格局”的社会中才发生笼罩万有的神的观念。团体对个人的关系就象征在神对于信徒的关系中，是个有赏罚的裁判者，是个公正的维持者，是个全能的保护者。</w:t>
      </w:r>
    </w:p>
    <w:p w14:paraId="794B8B1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③</w:t>
      </w:r>
      <w:r w:rsidRPr="008B10A6">
        <w:rPr>
          <w:rFonts w:ascii="Times New Roman" w:eastAsia="宋体" w:hAnsi="Times New Roman" w:hint="eastAsia"/>
          <w:sz w:val="24"/>
        </w:rPr>
        <w:t>In the Western pattern, the fundamental concept of morality is built on the relationship between the organization and the individual. An organization is an entity that transcends the individual. Even so, organization itself has no material reality. It is impossible to call material things an organization. Instead, an organization is really a kind of social relationship among human beings. It is a force controlling individual behavior. It is an object on which the composition of individual elements depends. It is a common will that precedes individual members, even as it relies on them for its very existence. The concept of organization can be expressed only by symbols. It is for this reason that the idea of an omnipresent God arose in the West. The relationship between the organization and the individual is signified in the relationship between God and his disciples. God is a judge who rewards and punishes, a keeper of justice who is an omnipotent protector.</w:t>
      </w:r>
    </w:p>
    <w:p w14:paraId="6222DA86"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④我们如果要了解西洋的“团体格局”社会中的道德体系，决不能离开他们的宗教观念的。宗教的虔诚和信赖不但是他们道德观念的来源，而且是支持行为规范的力量，是团体的象征。在象征着团体的神的观念下，有着两个重要的派生观念：一是每个个人在神前的平等；一是神对每个个人的公道。</w:t>
      </w:r>
    </w:p>
    <w:p w14:paraId="6E262E4E"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④</w:t>
      </w:r>
      <w:r w:rsidRPr="008B10A6">
        <w:rPr>
          <w:rFonts w:ascii="Times New Roman" w:eastAsia="宋体" w:hAnsi="Times New Roman" w:hint="eastAsia"/>
          <w:sz w:val="24"/>
        </w:rPr>
        <w:t xml:space="preserve">If we want to understand the morality produced by Western organizational patterns, we must never leave out their religious concepts. Religious piety and beliefs are not only the source of Western morality but also the force that supports Western behavioral norms. From the concept of God, who is actually the symbol of universal organization, two important corollaries have emerged. One is that everyone is equal before God, and </w:t>
      </w:r>
      <w:r w:rsidRPr="008B10A6">
        <w:rPr>
          <w:rFonts w:ascii="Times New Roman" w:eastAsia="宋体" w:hAnsi="Times New Roman" w:hint="eastAsia"/>
          <w:sz w:val="24"/>
        </w:rPr>
        <w:lastRenderedPageBreak/>
        <w:t>the other is that God treats everyone with equal justice.</w:t>
      </w:r>
    </w:p>
    <w:p w14:paraId="49CB4831"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⑤耶稣称神是父亲，是个和每一个人共同的父亲，他甚至当着众人的面否认了生育他的父母。为了要贯彻这“平等”，基督教的神话中，耶稣是童贞女所生的。亲子间个别的和私人的联系在这里被否定了。其实这并不是“无稽之谈”，而是有力的象征，象征着“公有”的团体，团体的代表——神，必须是无私的。每个“人子”，耶稣所象征的“团体构成分子”，在私有的父亲外必须有一个更重要的与人相共的是“天父”，就是团体。——这样每个个人人格上的平等才能确立，每个团体分子和团体的关系是相等的。团体不能为任何个人所私有。在这基础上才发生美国《独立宣言》中开宗明义的话：“全人类生来都平等，他们都有天赋不可夺的权利。”</w:t>
      </w:r>
    </w:p>
    <w:p w14:paraId="169D6256"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⑤</w:t>
      </w:r>
      <w:r w:rsidRPr="008B10A6">
        <w:rPr>
          <w:rFonts w:ascii="Times New Roman" w:eastAsia="宋体" w:hAnsi="Times New Roman" w:hint="eastAsia"/>
          <w:sz w:val="24"/>
        </w:rPr>
        <w:t>Jesus addressed God as the Father, as everyone's Father. He even publicly rejected his own parents, who gave birth to him and brought him up. To achieve this equality, according to Christian beliefs, Jesus was born of a young virgin; the special and personal relationship between father and son is denied here. This denial is actually not nonsense; it is, instead, a powerful symbol of the public quality of organizations. God represents the universality of public organizations. God is necessarily without a private side. Jesus symbolizes each person within this universal organization. Besides a biological father, each person, therefore, shares a more important heavenly father</w:t>
      </w:r>
      <w:r w:rsidRPr="008B10A6">
        <w:rPr>
          <w:rFonts w:ascii="Times New Roman" w:eastAsia="宋体" w:hAnsi="Times New Roman" w:hint="eastAsia"/>
          <w:sz w:val="24"/>
        </w:rPr>
        <w:t>—</w:t>
      </w:r>
      <w:r w:rsidRPr="008B10A6">
        <w:rPr>
          <w:rFonts w:ascii="Times New Roman" w:eastAsia="宋体" w:hAnsi="Times New Roman" w:hint="eastAsia"/>
          <w:sz w:val="24"/>
        </w:rPr>
        <w:t>that is, an all-encompassing organization. Only by means of this conceptual thinking can the equality among individuals be established. The relationship of each member to the organization is the same. This organization cannot be any individual's private possession. These complex ideas are the very ones that form the basis of the American Declaration of Independence, whose main theme is clearly stated at the very beginning: "We hold these truths to be self-evident, that all men are created equal, that they are endowed by their creator with certain inalienable rights."</w:t>
      </w:r>
    </w:p>
    <w:p w14:paraId="2ED22B4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⑥可是上帝是在冥冥之中，正象征团体无形的实在；但是在执行团体的意志时，还得有人来代理。“代理者”</w:t>
      </w:r>
      <w:r w:rsidRPr="008B10A6">
        <w:rPr>
          <w:rFonts w:ascii="Times New Roman" w:eastAsia="宋体" w:hAnsi="Times New Roman" w:hint="eastAsia"/>
          <w:sz w:val="24"/>
        </w:rPr>
        <w:t>Minister</w:t>
      </w:r>
      <w:r w:rsidRPr="008B10A6">
        <w:rPr>
          <w:rFonts w:ascii="Times New Roman" w:eastAsia="宋体" w:hAnsi="Times New Roman" w:hint="eastAsia"/>
          <w:sz w:val="24"/>
        </w:rPr>
        <w:t>是团体格局的社会中一个基本的概念。执行上帝意志的牧师是</w:t>
      </w:r>
      <w:r w:rsidRPr="008B10A6">
        <w:rPr>
          <w:rFonts w:ascii="Times New Roman" w:eastAsia="宋体" w:hAnsi="Times New Roman" w:hint="eastAsia"/>
          <w:sz w:val="24"/>
        </w:rPr>
        <w:t>Minister</w:t>
      </w:r>
      <w:r w:rsidRPr="008B10A6">
        <w:rPr>
          <w:rFonts w:ascii="Times New Roman" w:eastAsia="宋体" w:hAnsi="Times New Roman" w:hint="eastAsia"/>
          <w:sz w:val="24"/>
        </w:rPr>
        <w:t>，执行团体权力的官吏也是</w:t>
      </w:r>
      <w:r w:rsidRPr="008B10A6">
        <w:rPr>
          <w:rFonts w:ascii="Times New Roman" w:eastAsia="宋体" w:hAnsi="Times New Roman" w:hint="eastAsia"/>
          <w:sz w:val="24"/>
        </w:rPr>
        <w:t>Minister</w:t>
      </w:r>
      <w:r w:rsidRPr="008B10A6">
        <w:rPr>
          <w:rFonts w:ascii="Times New Roman" w:eastAsia="宋体" w:hAnsi="Times New Roman" w:hint="eastAsia"/>
          <w:sz w:val="24"/>
        </w:rPr>
        <w:t>，都是“代理者”，而不是神或团体的本身。这上帝和牧师、国家和政府的分别是不容混淆的。在基</w:t>
      </w:r>
      <w:r w:rsidRPr="008B10A6">
        <w:rPr>
          <w:rFonts w:ascii="Times New Roman" w:eastAsia="宋体" w:hAnsi="Times New Roman" w:hint="eastAsia"/>
          <w:sz w:val="24"/>
        </w:rPr>
        <w:lastRenderedPageBreak/>
        <w:t>督教历史里，人们一度再度地要求直接和上帝交通，反抗“代理者”不能真正代理上帝的意旨。同样的，实际上是相通的，也可以说是一贯的，美国《独立宣言》可以接下去说：“人类为了保障这些权利，所以才组织政府，政府的适当力量，须由受治者的同意中产生出来；假如任何种政体有害于这些目标，人民即有改革或废除任何政体之权。这些真理，我们认为是不证自明的。”</w:t>
      </w:r>
    </w:p>
    <w:p w14:paraId="4FD1FDF5"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⑥</w:t>
      </w:r>
      <w:r w:rsidRPr="008B10A6">
        <w:rPr>
          <w:rFonts w:ascii="Times New Roman" w:eastAsia="宋体" w:hAnsi="Times New Roman" w:hint="eastAsia"/>
          <w:sz w:val="24"/>
        </w:rPr>
        <w:t>But God is not of this world. He symbolizes the invisible entity of universal organization. To carry out the will of organizations, ministers are needed. The term minister is a basic concept in the Western organizational mode of association. The person who carries out God's will is a minister, and the official who executes the power in an organization is also a minister. Both of them are agents. They are not gods themselves. Nor do they somehow embody the organization itself. The difference between God and his ministers, or between the state and its ministers, is never ambiguous. Throughout the history of Christianity, people have time and again tried to communicate with God directly and have opposed the agents on the grounds that they do not truly act at God's behest. Following the same logic, and in fact having grown out of it, the Declaration of Independence further states, "That to secure these rights, governments are instituted among men, deriving their just powers from the consent of the governed. That whenever any form of government becomes destructive of these ends, it is the right of the people to alter or to abolish it."</w:t>
      </w:r>
    </w:p>
    <w:p w14:paraId="46087353"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⑦神对每个个人是公道的，是一视同仁的，是爱的；如果代理者违反了这些“不证自明的真理”，代理者就失去了代理的资格。团体格局的道德体系中于是发生了权利的观念。人对人得互相尊重权利，团体对个人也必须保障这些个人的权利，防止团体代理人滥用权力，于是发生了宪法。宪法观念是和西洋公务观念相配合的。国家可以要求人民的服务，但是国家也得保证不侵害人民的权利，在公道和爱护的范围内行使权力。</w:t>
      </w:r>
    </w:p>
    <w:p w14:paraId="4D3D1064"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⑦</w:t>
      </w:r>
      <w:r w:rsidRPr="008B10A6">
        <w:rPr>
          <w:rFonts w:ascii="Times New Roman" w:eastAsia="宋体" w:hAnsi="Times New Roman" w:hint="eastAsia"/>
          <w:sz w:val="24"/>
        </w:rPr>
        <w:t xml:space="preserve">God treats everyone with justice, impartiality, and love. If agents violate these "self-evident truths," they become disqualified. Thus, a concept of individual rights is inherently a part of the morality of the Western mode of organization. People should respect each other's rights. Organizations also should protect individual rights. To prevent the misuse of power by agents in organizations, constitutions have come into </w:t>
      </w:r>
      <w:r w:rsidRPr="008B10A6">
        <w:rPr>
          <w:rFonts w:ascii="Times New Roman" w:eastAsia="宋体" w:hAnsi="Times New Roman" w:hint="eastAsia"/>
          <w:sz w:val="24"/>
        </w:rPr>
        <w:lastRenderedPageBreak/>
        <w:t>being. The concept of constitutions is coordinated with the Western concept of public service. The state may ask for people's service, but it must promise not to infringe on their rights. The state should exercise power only within the scope of justice and love.</w:t>
      </w:r>
    </w:p>
    <w:p w14:paraId="3AAAB2FB"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⑧我说了不少关于“团体格局”中道德体系的话，目的是在陪衬出“差序格局”中道德体系的特点来。从它们的差别上看去，很多地方是刚刚相反的。在以自己作中心的社会关系网络中，最主要的自然是“克己复礼”，“壹是皆以修身为本”。——这是差序格局中道德体系的出发点。</w:t>
      </w:r>
    </w:p>
    <w:p w14:paraId="41A11B2E"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⑧</w:t>
      </w:r>
      <w:r w:rsidRPr="008B10A6">
        <w:rPr>
          <w:rFonts w:ascii="Times New Roman" w:eastAsia="宋体" w:hAnsi="Times New Roman" w:hint="eastAsia"/>
          <w:sz w:val="24"/>
        </w:rPr>
        <w:t>I have talked a lot about the morality inherent in Western organizational patterns. My purpose has been to provide a contrast to the characteristics of morality found in the Chinese mode of association. In these self-centered networks of social relationships, the most important feature is certainly ke ji fu li (subdue the self and follow the rites). "From the Son of Heaven down to ordinary people, all must consider the cultivation of the person as the root of everything." This idea is the starting point in the system of morality inherent in Chinese social structure.</w:t>
      </w:r>
    </w:p>
    <w:p w14:paraId="5C9C7EF0"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⑨从己向外推以构成的社会范围是一根根私人联系，每根绳子被一种道德要素维持着。社会范围是从“己”推出去的，而推的过程里有着各种路线，最基本的是亲属：亲子和同胞，相配的道德要素是孝和悌。“孝悌也者其为仁之本欤。”向另一路线推是朋友，相配的是忠信。“为人谋而不忠乎，与朋友交而不信乎？”“主忠信，无友不如己者。”孔子曾总结说：“弟子入则孝，出则悌，谨而信，泛爱众，而亲仁。”</w:t>
      </w:r>
    </w:p>
    <w:p w14:paraId="7ABEA51C" w14:textId="77777777" w:rsidR="00DA63EB" w:rsidRPr="008B10A6" w:rsidRDefault="00DA63EB" w:rsidP="00DA63EB">
      <w:pPr>
        <w:spacing w:line="360" w:lineRule="auto"/>
        <w:rPr>
          <w:rFonts w:ascii="Times New Roman" w:eastAsia="宋体" w:hAnsi="Times New Roman"/>
          <w:sz w:val="24"/>
        </w:rPr>
      </w:pPr>
      <w:r w:rsidRPr="008B10A6">
        <w:rPr>
          <w:rFonts w:ascii="Times New Roman" w:eastAsia="宋体" w:hAnsi="Times New Roman" w:hint="eastAsia"/>
          <w:sz w:val="24"/>
        </w:rPr>
        <w:t>⑨</w:t>
      </w:r>
      <w:r w:rsidRPr="008B10A6">
        <w:rPr>
          <w:rFonts w:ascii="Times New Roman" w:eastAsia="宋体" w:hAnsi="Times New Roman" w:hint="eastAsia"/>
          <w:sz w:val="24"/>
        </w:rPr>
        <w:t>Extending out from the self are the social spheres formed by one's personal relationships. Each sphere is sustained by a specific type of social ethic. The process by which the social spheres extend outward takes various paths, but the basic path is through kinship, which includes relations between parents and children and among siblings born of the same parents. The ethical values that match this sphere are filial piety and fraternal duty. "Filial piety and fraternal submission</w:t>
      </w:r>
      <w:r w:rsidRPr="008B10A6">
        <w:rPr>
          <w:rFonts w:ascii="Times New Roman" w:eastAsia="宋体" w:hAnsi="Times New Roman" w:hint="eastAsia"/>
          <w:sz w:val="24"/>
        </w:rPr>
        <w:t>—</w:t>
      </w:r>
      <w:r w:rsidRPr="008B10A6">
        <w:rPr>
          <w:rFonts w:ascii="Times New Roman" w:eastAsia="宋体" w:hAnsi="Times New Roman" w:hint="eastAsia"/>
          <w:sz w:val="24"/>
        </w:rPr>
        <w:t xml:space="preserve">are they not the foundation of a moral life?" An additional route out from the self is through friends. The ethical values that match friendship are loyalty(zhong) and sincerity (xin). As Confucius said, "When acting on another's behalf, shouldn't you always be loyal? When dealing with friends, shouldn't you always be sincere? ... Make loyalty and sincerity </w:t>
      </w:r>
      <w:r w:rsidRPr="008B10A6">
        <w:rPr>
          <w:rFonts w:ascii="Times New Roman" w:eastAsia="宋体" w:hAnsi="Times New Roman" w:hint="eastAsia"/>
          <w:sz w:val="24"/>
        </w:rPr>
        <w:lastRenderedPageBreak/>
        <w:t>your first principles. Have no friends who do not measure up to yourself." Confucius once concluded, "A young man, when at home, should be filial, and when out in the world should be respectful to his elders. He should be earnest and truthful. He should overflow with love, and cultivate the friendship of the good."</w:t>
      </w:r>
    </w:p>
    <w:p w14:paraId="74B6E0A7" w14:textId="7ED120E6" w:rsidR="00672CE3" w:rsidRPr="00810807" w:rsidRDefault="00672CE3" w:rsidP="00672CE3">
      <w:pPr>
        <w:spacing w:line="360" w:lineRule="auto"/>
        <w:rPr>
          <w:rFonts w:ascii="Times New Roman" w:eastAsia="宋体" w:hAnsi="Times New Roman"/>
          <w:sz w:val="24"/>
        </w:rPr>
      </w:pPr>
    </w:p>
    <w:p w14:paraId="15EFAD69" w14:textId="77777777" w:rsidR="007F6C2E" w:rsidRDefault="007F6C2E">
      <w:pPr>
        <w:rPr>
          <w:rFonts w:hint="eastAsia"/>
        </w:rPr>
      </w:pPr>
    </w:p>
    <w:sectPr w:rsidR="007F6C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C863D" w14:textId="77777777" w:rsidR="005D387E" w:rsidRDefault="005D387E" w:rsidP="00D03D46">
      <w:pPr>
        <w:rPr>
          <w:rFonts w:hint="eastAsia"/>
        </w:rPr>
      </w:pPr>
      <w:r>
        <w:separator/>
      </w:r>
    </w:p>
  </w:endnote>
  <w:endnote w:type="continuationSeparator" w:id="0">
    <w:p w14:paraId="640132B7" w14:textId="77777777" w:rsidR="005D387E" w:rsidRDefault="005D387E" w:rsidP="00D03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95BB2" w14:textId="77777777" w:rsidR="005D387E" w:rsidRDefault="005D387E" w:rsidP="00D03D46">
      <w:pPr>
        <w:rPr>
          <w:rFonts w:hint="eastAsia"/>
        </w:rPr>
      </w:pPr>
      <w:r>
        <w:separator/>
      </w:r>
    </w:p>
  </w:footnote>
  <w:footnote w:type="continuationSeparator" w:id="0">
    <w:p w14:paraId="52D4B288" w14:textId="77777777" w:rsidR="005D387E" w:rsidRDefault="005D387E" w:rsidP="00D03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CE3"/>
    <w:rsid w:val="00206229"/>
    <w:rsid w:val="00554E3D"/>
    <w:rsid w:val="005D387E"/>
    <w:rsid w:val="005F2B48"/>
    <w:rsid w:val="00672CE3"/>
    <w:rsid w:val="007C6F5B"/>
    <w:rsid w:val="007F6C2E"/>
    <w:rsid w:val="00B0793F"/>
    <w:rsid w:val="00C80115"/>
    <w:rsid w:val="00C818C4"/>
    <w:rsid w:val="00C90160"/>
    <w:rsid w:val="00D03D46"/>
    <w:rsid w:val="00D26088"/>
    <w:rsid w:val="00D47B8E"/>
    <w:rsid w:val="00D75CDD"/>
    <w:rsid w:val="00DA63EB"/>
    <w:rsid w:val="00E31F2E"/>
    <w:rsid w:val="00E95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ED57"/>
  <w15:chartTrackingRefBased/>
  <w15:docId w15:val="{DA0C910A-38EB-4E59-8A16-7DFDBD8BB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2CE3"/>
    <w:pPr>
      <w:widowControl w:val="0"/>
      <w:jc w:val="both"/>
    </w:pPr>
    <w:rPr>
      <w:lang w:val="en-GB"/>
    </w:rPr>
  </w:style>
  <w:style w:type="paragraph" w:styleId="1">
    <w:name w:val="heading 1"/>
    <w:basedOn w:val="a"/>
    <w:next w:val="a"/>
    <w:link w:val="10"/>
    <w:uiPriority w:val="9"/>
    <w:qFormat/>
    <w:rsid w:val="00672CE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2CE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2CE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72CE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72CE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72CE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72CE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72CE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72CE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72CE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672CE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672CE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672CE3"/>
    <w:rPr>
      <w:rFonts w:cstheme="majorBidi"/>
      <w:color w:val="0F4761" w:themeColor="accent1" w:themeShade="BF"/>
      <w:sz w:val="28"/>
      <w:szCs w:val="28"/>
      <w:lang w:val="en-GB"/>
    </w:rPr>
  </w:style>
  <w:style w:type="character" w:customStyle="1" w:styleId="50">
    <w:name w:val="标题 5 字符"/>
    <w:basedOn w:val="a0"/>
    <w:link w:val="5"/>
    <w:uiPriority w:val="9"/>
    <w:semiHidden/>
    <w:rsid w:val="00672CE3"/>
    <w:rPr>
      <w:rFonts w:cstheme="majorBidi"/>
      <w:color w:val="0F4761" w:themeColor="accent1" w:themeShade="BF"/>
      <w:sz w:val="24"/>
      <w:szCs w:val="24"/>
      <w:lang w:val="en-GB"/>
    </w:rPr>
  </w:style>
  <w:style w:type="character" w:customStyle="1" w:styleId="60">
    <w:name w:val="标题 6 字符"/>
    <w:basedOn w:val="a0"/>
    <w:link w:val="6"/>
    <w:uiPriority w:val="9"/>
    <w:semiHidden/>
    <w:rsid w:val="00672CE3"/>
    <w:rPr>
      <w:rFonts w:cstheme="majorBidi"/>
      <w:b/>
      <w:bCs/>
      <w:color w:val="0F4761" w:themeColor="accent1" w:themeShade="BF"/>
      <w:lang w:val="en-GB"/>
    </w:rPr>
  </w:style>
  <w:style w:type="character" w:customStyle="1" w:styleId="70">
    <w:name w:val="标题 7 字符"/>
    <w:basedOn w:val="a0"/>
    <w:link w:val="7"/>
    <w:uiPriority w:val="9"/>
    <w:semiHidden/>
    <w:rsid w:val="00672CE3"/>
    <w:rPr>
      <w:rFonts w:cstheme="majorBidi"/>
      <w:b/>
      <w:bCs/>
      <w:color w:val="595959" w:themeColor="text1" w:themeTint="A6"/>
      <w:lang w:val="en-GB"/>
    </w:rPr>
  </w:style>
  <w:style w:type="character" w:customStyle="1" w:styleId="80">
    <w:name w:val="标题 8 字符"/>
    <w:basedOn w:val="a0"/>
    <w:link w:val="8"/>
    <w:uiPriority w:val="9"/>
    <w:semiHidden/>
    <w:rsid w:val="00672CE3"/>
    <w:rPr>
      <w:rFonts w:cstheme="majorBidi"/>
      <w:color w:val="595959" w:themeColor="text1" w:themeTint="A6"/>
      <w:lang w:val="en-GB"/>
    </w:rPr>
  </w:style>
  <w:style w:type="character" w:customStyle="1" w:styleId="90">
    <w:name w:val="标题 9 字符"/>
    <w:basedOn w:val="a0"/>
    <w:link w:val="9"/>
    <w:uiPriority w:val="9"/>
    <w:semiHidden/>
    <w:rsid w:val="00672CE3"/>
    <w:rPr>
      <w:rFonts w:eastAsiaTheme="majorEastAsia" w:cstheme="majorBidi"/>
      <w:color w:val="595959" w:themeColor="text1" w:themeTint="A6"/>
      <w:lang w:val="en-GB"/>
    </w:rPr>
  </w:style>
  <w:style w:type="paragraph" w:styleId="a3">
    <w:name w:val="Title"/>
    <w:basedOn w:val="a"/>
    <w:next w:val="a"/>
    <w:link w:val="a4"/>
    <w:uiPriority w:val="10"/>
    <w:qFormat/>
    <w:rsid w:val="00672CE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72CE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672C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72CE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672CE3"/>
    <w:pPr>
      <w:spacing w:before="160" w:after="160"/>
      <w:jc w:val="center"/>
    </w:pPr>
    <w:rPr>
      <w:i/>
      <w:iCs/>
      <w:color w:val="404040" w:themeColor="text1" w:themeTint="BF"/>
    </w:rPr>
  </w:style>
  <w:style w:type="character" w:customStyle="1" w:styleId="a8">
    <w:name w:val="引用 字符"/>
    <w:basedOn w:val="a0"/>
    <w:link w:val="a7"/>
    <w:uiPriority w:val="29"/>
    <w:rsid w:val="00672CE3"/>
    <w:rPr>
      <w:i/>
      <w:iCs/>
      <w:color w:val="404040" w:themeColor="text1" w:themeTint="BF"/>
      <w:lang w:val="en-GB"/>
    </w:rPr>
  </w:style>
  <w:style w:type="paragraph" w:styleId="a9">
    <w:name w:val="List Paragraph"/>
    <w:basedOn w:val="a"/>
    <w:uiPriority w:val="34"/>
    <w:qFormat/>
    <w:rsid w:val="00672CE3"/>
    <w:pPr>
      <w:ind w:left="720"/>
      <w:contextualSpacing/>
    </w:pPr>
  </w:style>
  <w:style w:type="character" w:styleId="aa">
    <w:name w:val="Intense Emphasis"/>
    <w:basedOn w:val="a0"/>
    <w:uiPriority w:val="21"/>
    <w:qFormat/>
    <w:rsid w:val="00672CE3"/>
    <w:rPr>
      <w:i/>
      <w:iCs/>
      <w:color w:val="0F4761" w:themeColor="accent1" w:themeShade="BF"/>
    </w:rPr>
  </w:style>
  <w:style w:type="paragraph" w:styleId="ab">
    <w:name w:val="Intense Quote"/>
    <w:basedOn w:val="a"/>
    <w:next w:val="a"/>
    <w:link w:val="ac"/>
    <w:uiPriority w:val="30"/>
    <w:qFormat/>
    <w:rsid w:val="00672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72CE3"/>
    <w:rPr>
      <w:i/>
      <w:iCs/>
      <w:color w:val="0F4761" w:themeColor="accent1" w:themeShade="BF"/>
      <w:lang w:val="en-GB"/>
    </w:rPr>
  </w:style>
  <w:style w:type="character" w:styleId="ad">
    <w:name w:val="Intense Reference"/>
    <w:basedOn w:val="a0"/>
    <w:uiPriority w:val="32"/>
    <w:qFormat/>
    <w:rsid w:val="00672CE3"/>
    <w:rPr>
      <w:b/>
      <w:bCs/>
      <w:smallCaps/>
      <w:color w:val="0F4761" w:themeColor="accent1" w:themeShade="BF"/>
      <w:spacing w:val="5"/>
    </w:rPr>
  </w:style>
  <w:style w:type="paragraph" w:styleId="ae">
    <w:name w:val="header"/>
    <w:basedOn w:val="a"/>
    <w:link w:val="af"/>
    <w:uiPriority w:val="99"/>
    <w:unhideWhenUsed/>
    <w:rsid w:val="00D03D46"/>
    <w:pPr>
      <w:tabs>
        <w:tab w:val="center" w:pos="4153"/>
        <w:tab w:val="right" w:pos="8306"/>
      </w:tabs>
      <w:snapToGrid w:val="0"/>
      <w:jc w:val="center"/>
    </w:pPr>
    <w:rPr>
      <w:sz w:val="18"/>
      <w:szCs w:val="18"/>
    </w:rPr>
  </w:style>
  <w:style w:type="character" w:customStyle="1" w:styleId="af">
    <w:name w:val="页眉 字符"/>
    <w:basedOn w:val="a0"/>
    <w:link w:val="ae"/>
    <w:uiPriority w:val="99"/>
    <w:rsid w:val="00D03D46"/>
    <w:rPr>
      <w:sz w:val="18"/>
      <w:szCs w:val="18"/>
      <w:lang w:val="en-GB"/>
    </w:rPr>
  </w:style>
  <w:style w:type="paragraph" w:styleId="af0">
    <w:name w:val="footer"/>
    <w:basedOn w:val="a"/>
    <w:link w:val="af1"/>
    <w:uiPriority w:val="99"/>
    <w:unhideWhenUsed/>
    <w:rsid w:val="00D03D46"/>
    <w:pPr>
      <w:tabs>
        <w:tab w:val="center" w:pos="4153"/>
        <w:tab w:val="right" w:pos="8306"/>
      </w:tabs>
      <w:snapToGrid w:val="0"/>
      <w:jc w:val="left"/>
    </w:pPr>
    <w:rPr>
      <w:sz w:val="18"/>
      <w:szCs w:val="18"/>
    </w:rPr>
  </w:style>
  <w:style w:type="character" w:customStyle="1" w:styleId="af1">
    <w:name w:val="页脚 字符"/>
    <w:basedOn w:val="a0"/>
    <w:link w:val="af0"/>
    <w:uiPriority w:val="99"/>
    <w:rsid w:val="00D03D46"/>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2356</Words>
  <Characters>13432</Characters>
  <Application>Microsoft Office Word</Application>
  <DocSecurity>0</DocSecurity>
  <Lines>111</Lines>
  <Paragraphs>31</Paragraphs>
  <ScaleCrop>false</ScaleCrop>
  <Company/>
  <LinksUpToDate>false</LinksUpToDate>
  <CharactersWithSpaces>15757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Taya Tian</dc:creator>
  <cp:keywords/>
  <dc:description/>
  <cp:lastModifiedBy>DELL</cp:lastModifiedBy>
  <cp:revision>9</cp:revision>
  <dcterms:created xsi:type="dcterms:W3CDTF">2026-06-17T23:53:00Z</dcterms:created>
  <dcterms:modified xsi:type="dcterms:W3CDTF">2026-10-29T02:27:00Z</dcterms:modified>
</cp:coreProperties>
</file>