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22"/>
          <w:szCs w:val="22"/>
        </w:rPr>
        <w:t xml:space="preserve"/>
      </w:r>
    </w:p>
    <w:p>
      <w:pPr>
        <w:spacing w:after="160" w:before="0"/>
        <w:jc w:val="center"/>
      </w:pPr>
      <w:r>
        <w:rPr>
          <w:rFonts w:ascii="Calibri" w:cs="Calibri" w:eastAsia="Calibri" w:hAnsi="Calibri"/>
          <w:b/>
          <w:bCs/>
          <w:color w:val="1B3A6B"/>
          <w:sz w:val="72"/>
          <w:szCs w:val="72"/>
        </w:rPr>
        <w:t xml:space="preserve">CA COPILOT</w:t>
      </w:r>
    </w:p>
    <w:p>
      <w:pPr>
        <w:spacing w:after="100" w:before="0"/>
        <w:jc w:val="center"/>
      </w:pPr>
      <w:r>
        <w:rPr>
          <w:rFonts w:ascii="Calibri" w:cs="Calibri" w:eastAsia="Calibri" w:hAnsi="Calibri"/>
          <w:i/>
          <w:iCs/>
          <w:color w:val="2563EB"/>
          <w:sz w:val="34"/>
          <w:szCs w:val="34"/>
        </w:rPr>
        <w:t xml:space="preserve">AI-Powered Tax Compliance &amp; Accounting Automation</w:t>
      </w:r>
    </w:p>
    <w:p>
      <w:pPr>
        <w:spacing w:after="600" w:before="0"/>
        <w:jc w:val="center"/>
      </w:pPr>
      <w:r>
        <w:rPr>
          <w:rFonts w:ascii="Calibri" w:cs="Calibri" w:eastAsia="Calibri" w:hAnsi="Calibri"/>
          <w:color w:val="6B7280"/>
          <w:sz w:val="28"/>
          <w:szCs w:val="28"/>
        </w:rPr>
        <w:t xml:space="preserve">for Pakistani Chartered Accountancy Firms</w:t>
      </w:r>
    </w:p>
    <w:p>
      <w:pPr>
        <w:pBdr>
          <w:bottom w:val="single" w:color="2563EB" w:sz="3"/>
        </w:pBdr>
        <w:spacing w:after="600" w:before="0"/>
      </w:pPr>
      <w:r>
        <w:rPr>
          <w:sz w:val="22"/>
          <w:szCs w:val="22"/>
        </w:rPr>
        <w:t xml:space="preserve"/>
      </w:r>
    </w:p>
    <w:p>
      <w:pPr>
        <w:spacing w:after="160" w:before="0"/>
        <w:jc w:val="center"/>
      </w:pPr>
      <w:r>
        <w:rPr>
          <w:b/>
          <w:bCs/>
          <w:color w:val="374151"/>
          <w:sz w:val="26"/>
          <w:szCs w:val="26"/>
        </w:rPr>
        <w:t xml:space="preserve">Final Year Project Proposal</w:t>
      </w:r>
    </w:p>
    <w:p>
      <w:pPr>
        <w:spacing w:after="0" w:before="0"/>
        <w:jc w:val="center"/>
      </w:pPr>
      <w:r>
        <w:rPr>
          <w:i/>
          <w:iCs/>
          <w:color w:val="6B7280"/>
          <w:sz w:val="22"/>
          <w:szCs w:val="22"/>
        </w:rPr>
        <w:t xml:space="preserve">Domain: Generative AI / Information Retrieval / FinTech / LegalTech</w:t>
      </w:r>
    </w:p>
    <w:p>
      <w:r>
        <w:br w:type="page"/>
      </w:r>
    </w:p>
    <w:p>
      <w:pPr>
        <w:pStyle w:val="Heading1"/>
        <w:pBdr>
          <w:bottom w:val="single" w:color="2563EB" w:sz="2"/>
        </w:pBdr>
        <w:spacing w:after="180" w:before="360"/>
        <w:rPr>
          <w:b/>
          <w:bCs/>
          <w:color w:val="1B3A6B"/>
          <w:sz w:val="28"/>
          <w:szCs w:val="28"/>
        </w:rPr>
      </w:pPr>
      <w:r>
        <w:t xml:space="preserve">1. Introduction</w:t>
      </w:r>
    </w:p>
    <w:p>
      <w:pPr>
        <w:spacing w:after="100" w:before="80"/>
        <w:jc w:val="both"/>
      </w:pPr>
      <w:r>
        <w:rPr>
          <w:b w:val="false"/>
          <w:bCs w:val="false"/>
          <w:i w:val="false"/>
          <w:iCs w:val="false"/>
          <w:color w:val="1F2937"/>
          <w:sz w:val="22"/>
          <w:szCs w:val="22"/>
        </w:rPr>
        <w:t xml:space="preserve">Chartered Accountancy (CA) firms in Pakistan handle large volumes of invoices, bank statements, salary records, tax documents, and regulatory information. Much of the work involved in tax compliance requires manually extracting financial information, determining applicable tax rules, performing calculations, preparing schedules, reconciling records, and generating compliance documents.</w:t>
      </w:r>
    </w:p>
    <w:p>
      <w:pPr>
        <w:spacing w:after="100" w:before="80"/>
        <w:jc w:val="both"/>
      </w:pPr>
      <w:r>
        <w:rPr>
          <w:b w:val="false"/>
          <w:bCs w:val="false"/>
          <w:i w:val="false"/>
          <w:iCs w:val="false"/>
          <w:color w:val="1F2937"/>
          <w:sz w:val="22"/>
          <w:szCs w:val="22"/>
        </w:rPr>
        <w:t xml:space="preserve">At the same time, Pakistani tax regulations are distributed across laws, rules, Finance Acts, SROs, notifications, and provincial tax regulations. Finding the relevant provision for a particular transaction can therefore be time-consuming and error-prone.</w:t>
      </w:r>
    </w:p>
    <w:p>
      <w:pPr>
        <w:pBdr>
          <w:left w:val="thick" w:color="2563EB" w:sz="6"/>
        </w:pBdr>
        <w:shd w:fill="EFF6FF" w:color="auto" w:val="clear"/>
        <w:spacing w:after="160" w:before="160"/>
        <w:ind w:left="360" w:right="360"/>
      </w:pPr>
      <w:r>
        <w:rPr>
          <w:i/>
          <w:iCs/>
          <w:color w:val="1B3A6B"/>
          <w:sz w:val="22"/>
          <w:szCs w:val="22"/>
        </w:rPr>
        <w:t xml:space="preserve">CA Copilot is proposed as an AI-powered tax compliance and accounting assistance platform for Pakistani CA firms. The system combines document processing, hybrid Retrieval-Augmented Generation (RAG), deterministic tax calculations, and automated report generation to assist junior CAs and tax practitioners.</w:t>
      </w:r>
    </w:p>
    <w:p>
      <w:pPr>
        <w:spacing w:after="100" w:before="80"/>
        <w:jc w:val="both"/>
      </w:pPr>
      <w:r>
        <w:rPr>
          <w:b w:val="false"/>
          <w:bCs w:val="false"/>
          <w:i w:val="false"/>
          <w:iCs w:val="false"/>
          <w:color w:val="1F2937"/>
          <w:sz w:val="22"/>
          <w:szCs w:val="22"/>
        </w:rPr>
        <w:t xml:space="preserve">The system will not replace professional review. Instead, it will automate repetitive tasks and provide supporting evidence for tax-related decisions so that a CA can review and finalize the generated results.</w:t>
      </w:r>
    </w:p>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2. Problem Statement</w:t>
      </w:r>
    </w:p>
    <w:p>
      <w:pPr>
        <w:spacing w:after="100" w:before="80"/>
        <w:jc w:val="both"/>
      </w:pPr>
      <w:r>
        <w:rPr>
          <w:b w:val="false"/>
          <w:bCs w:val="false"/>
          <w:i w:val="false"/>
          <w:iCs w:val="false"/>
          <w:color w:val="1F2937"/>
          <w:sz w:val="22"/>
          <w:szCs w:val="22"/>
        </w:rPr>
        <w:t xml:space="preserve">CA practitioners frequently perform repetitive activities such as:</w:t>
      </w:r>
    </w:p>
    <w:p>
      <w:pPr>
        <w:pStyle w:val="ListParagraph"/>
        <w:numPr>
          <w:ilvl w:val="0"/>
          <w:numId w:val="2"/>
        </w:numPr>
        <w:spacing w:after="40" w:before="40"/>
      </w:pPr>
      <w:r>
        <w:rPr>
          <w:color w:val="374151"/>
          <w:sz w:val="22"/>
          <w:szCs w:val="22"/>
        </w:rPr>
        <w:t xml:space="preserve">Extracting information from invoices and financial documents</w:t>
      </w:r>
    </w:p>
    <w:p>
      <w:pPr>
        <w:pStyle w:val="ListParagraph"/>
        <w:numPr>
          <w:ilvl w:val="0"/>
          <w:numId w:val="2"/>
        </w:numPr>
        <w:spacing w:after="40" w:before="40"/>
      </w:pPr>
      <w:r>
        <w:rPr>
          <w:color w:val="374151"/>
          <w:sz w:val="22"/>
          <w:szCs w:val="22"/>
        </w:rPr>
        <w:t xml:space="preserve">Classifying transactions for tax purposes</w:t>
      </w:r>
    </w:p>
    <w:p>
      <w:pPr>
        <w:pStyle w:val="ListParagraph"/>
        <w:numPr>
          <w:ilvl w:val="0"/>
          <w:numId w:val="2"/>
        </w:numPr>
        <w:spacing w:after="40" w:before="40"/>
      </w:pPr>
      <w:r>
        <w:rPr>
          <w:color w:val="374151"/>
          <w:sz w:val="22"/>
          <w:szCs w:val="22"/>
        </w:rPr>
        <w:t xml:space="preserve">Searching tax legislation for applicable provisions</w:t>
      </w:r>
    </w:p>
    <w:p>
      <w:pPr>
        <w:pStyle w:val="ListParagraph"/>
        <w:numPr>
          <w:ilvl w:val="0"/>
          <w:numId w:val="2"/>
        </w:numPr>
        <w:spacing w:after="40" w:before="40"/>
      </w:pPr>
      <w:r>
        <w:rPr>
          <w:color w:val="374151"/>
          <w:sz w:val="22"/>
          <w:szCs w:val="22"/>
        </w:rPr>
        <w:t xml:space="preserve">Calculating withholding and sales taxes</w:t>
      </w:r>
    </w:p>
    <w:p>
      <w:pPr>
        <w:pStyle w:val="ListParagraph"/>
        <w:numPr>
          <w:ilvl w:val="0"/>
          <w:numId w:val="2"/>
        </w:numPr>
        <w:spacing w:after="40" w:before="40"/>
      </w:pPr>
      <w:r>
        <w:rPr>
          <w:color w:val="374151"/>
          <w:sz w:val="22"/>
          <w:szCs w:val="22"/>
        </w:rPr>
        <w:t xml:space="preserve">Preparing tax schedules and return workbooks</w:t>
      </w:r>
    </w:p>
    <w:p>
      <w:pPr>
        <w:pStyle w:val="ListParagraph"/>
        <w:numPr>
          <w:ilvl w:val="0"/>
          <w:numId w:val="2"/>
        </w:numPr>
        <w:spacing w:after="40" w:before="40"/>
      </w:pPr>
      <w:r>
        <w:rPr>
          <w:color w:val="374151"/>
          <w:sz w:val="22"/>
          <w:szCs w:val="22"/>
        </w:rPr>
        <w:t xml:space="preserve">Reconciling bank transactions</w:t>
      </w:r>
    </w:p>
    <w:p>
      <w:pPr>
        <w:pStyle w:val="ListParagraph"/>
        <w:numPr>
          <w:ilvl w:val="0"/>
          <w:numId w:val="2"/>
        </w:numPr>
        <w:spacing w:after="40" w:before="40"/>
      </w:pPr>
      <w:r>
        <w:rPr>
          <w:color w:val="374151"/>
          <w:sz w:val="22"/>
          <w:szCs w:val="22"/>
        </w:rPr>
        <w:t xml:space="preserve">Drafting financial statements and responses to tax notices</w:t>
      </w:r>
    </w:p>
    <w:p>
      <w:pPr>
        <w:pStyle w:val="ListParagraph"/>
        <w:numPr>
          <w:ilvl w:val="0"/>
          <w:numId w:val="2"/>
        </w:numPr>
        <w:spacing w:after="40" w:before="40"/>
      </w:pPr>
      <w:r>
        <w:rPr>
          <w:color w:val="374151"/>
          <w:sz w:val="22"/>
          <w:szCs w:val="22"/>
        </w:rPr>
        <w:t xml:space="preserve">Tracking compliance deadlines</w:t>
      </w:r>
    </w:p>
    <w:p>
      <w:pPr>
        <w:spacing w:after="100" w:before="120"/>
        <w:jc w:val="both"/>
      </w:pPr>
      <w:r>
        <w:rPr>
          <w:b w:val="false"/>
          <w:bCs w:val="false"/>
          <w:i w:val="false"/>
          <w:iCs w:val="false"/>
          <w:color w:val="1F2937"/>
          <w:sz w:val="22"/>
          <w:szCs w:val="22"/>
        </w:rPr>
        <w:t xml:space="preserve">Traditional systems either focus on accounting functionality or provide generic document/question-answering capabilities. They generally do not combine financial document extraction with Pakistani tax-law retrieval, deterministic calculations, and compliance-document generation in one workflow.</w:t>
      </w:r>
    </w:p>
    <w:p>
      <w:pPr>
        <w:spacing w:after="100" w:before="80"/>
        <w:jc w:val="both"/>
      </w:pPr>
      <w:r>
        <w:rPr>
          <w:b w:val="false"/>
          <w:bCs w:val="false"/>
          <w:i w:val="false"/>
          <w:iCs w:val="false"/>
          <w:color w:val="1F2937"/>
          <w:sz w:val="22"/>
          <w:szCs w:val="22"/>
        </w:rPr>
        <w:t xml:space="preserve">A major challenge is that tax information is spread across different legal documents and may contain sections, amendments, rates, conditions, and exceptions that must be interpreted in context.</w:t>
      </w:r>
    </w:p>
    <w:p>
      <w:pPr>
        <w:spacing w:after="100" w:before="80"/>
        <w:jc w:val="both"/>
      </w:pPr>
      <w:r>
        <w:rPr>
          <w:b w:val="false"/>
          <w:bCs w:val="false"/>
          <w:i w:val="false"/>
          <w:iCs w:val="false"/>
          <w:color w:val="2563EB"/>
          <w:sz w:val="22"/>
          <w:szCs w:val="22"/>
        </w:rPr>
        <w:t xml:space="preserve">CA Copilot aims to address this by combining document intelligence, hybrid information retrieval, tax-rule processing, and automated compliance output generation.</w:t>
      </w:r>
    </w:p>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3. Objectives</w:t>
      </w:r>
    </w:p>
    <w:p>
      <w:pPr>
        <w:spacing w:after="100" w:before="80"/>
        <w:jc w:val="both"/>
      </w:pPr>
      <w:r>
        <w:rPr>
          <w:b w:val="false"/>
          <w:bCs w:val="false"/>
          <w:i w:val="false"/>
          <w:iCs w:val="false"/>
          <w:color w:val="1F2937"/>
          <w:sz w:val="22"/>
          <w:szCs w:val="22"/>
        </w:rPr>
        <w:t xml:space="preserve">The main objectives of CA Copilot are:</w:t>
      </w:r>
    </w:p>
    <w:p>
      <w:pPr>
        <w:pStyle w:val="ListParagraph"/>
        <w:numPr>
          <w:ilvl w:val="0"/>
          <w:numId w:val="3"/>
        </w:numPr>
        <w:spacing w:after="40" w:before="40"/>
      </w:pPr>
      <w:r>
        <w:rPr>
          <w:color w:val="374151"/>
          <w:sz w:val="22"/>
          <w:szCs w:val="22"/>
        </w:rPr>
        <w:t xml:space="preserve">Develop an AI-assisted platform for automating common tax and accounting tasks performed by CA firms.</w:t>
      </w:r>
    </w:p>
    <w:p>
      <w:pPr>
        <w:pStyle w:val="ListParagraph"/>
        <w:numPr>
          <w:ilvl w:val="0"/>
          <w:numId w:val="3"/>
        </w:numPr>
        <w:spacing w:after="40" w:before="40"/>
      </w:pPr>
      <w:r>
        <w:rPr>
          <w:color w:val="374151"/>
          <w:sz w:val="22"/>
          <w:szCs w:val="22"/>
        </w:rPr>
        <w:t xml:space="preserve">Extract structured financial information from PDFs, images, Excel files, and other supported documents.</w:t>
      </w:r>
    </w:p>
    <w:p>
      <w:pPr>
        <w:pStyle w:val="ListParagraph"/>
        <w:numPr>
          <w:ilvl w:val="0"/>
          <w:numId w:val="3"/>
        </w:numPr>
        <w:spacing w:after="40" w:before="40"/>
      </w:pPr>
      <w:r>
        <w:rPr>
          <w:color w:val="374151"/>
          <w:sz w:val="22"/>
          <w:szCs w:val="22"/>
        </w:rPr>
        <w:t xml:space="preserve">Develop a hybrid RAG system combining keyword-based and semantic retrieval for Pakistani tax legislation.</w:t>
      </w:r>
    </w:p>
    <w:p>
      <w:pPr>
        <w:pStyle w:val="ListParagraph"/>
        <w:numPr>
          <w:ilvl w:val="0"/>
          <w:numId w:val="3"/>
        </w:numPr>
        <w:spacing w:after="40" w:before="40"/>
      </w:pPr>
      <w:r>
        <w:rPr>
          <w:color w:val="374151"/>
          <w:sz w:val="22"/>
          <w:szCs w:val="22"/>
        </w:rPr>
        <w:t xml:space="preserve">Retrieve relevant tax provisions together with their source and supporting evidence.</w:t>
      </w:r>
    </w:p>
    <w:p>
      <w:pPr>
        <w:pStyle w:val="ListParagraph"/>
        <w:numPr>
          <w:ilvl w:val="0"/>
          <w:numId w:val="3"/>
        </w:numPr>
        <w:spacing w:after="40" w:before="40"/>
      </w:pPr>
      <w:r>
        <w:rPr>
          <w:color w:val="374151"/>
          <w:sz w:val="22"/>
          <w:szCs w:val="22"/>
        </w:rPr>
        <w:t xml:space="preserve">Implement deterministic tax calculation logic based on the retrieved rules.</w:t>
      </w:r>
    </w:p>
    <w:p>
      <w:pPr>
        <w:pStyle w:val="ListParagraph"/>
        <w:numPr>
          <w:ilvl w:val="0"/>
          <w:numId w:val="3"/>
        </w:numPr>
        <w:spacing w:after="40" w:before="40"/>
      </w:pPr>
      <w:r>
        <w:rPr>
          <w:color w:val="374151"/>
          <w:sz w:val="22"/>
          <w:szCs w:val="22"/>
        </w:rPr>
        <w:t xml:space="preserve">Generate withholding tax schedules and sales tax return workbooks.</w:t>
      </w:r>
    </w:p>
    <w:p>
      <w:pPr>
        <w:pStyle w:val="ListParagraph"/>
        <w:numPr>
          <w:ilvl w:val="0"/>
          <w:numId w:val="3"/>
        </w:numPr>
        <w:spacing w:after="40" w:before="40"/>
      </w:pPr>
      <w:r>
        <w:rPr>
          <w:color w:val="374151"/>
          <w:sz w:val="22"/>
          <w:szCs w:val="22"/>
        </w:rPr>
        <w:t xml:space="preserve">Provide bank reconciliation assistance.</w:t>
      </w:r>
    </w:p>
    <w:p>
      <w:pPr>
        <w:pStyle w:val="ListParagraph"/>
        <w:numPr>
          <w:ilvl w:val="0"/>
          <w:numId w:val="3"/>
        </w:numPr>
        <w:spacing w:after="40" w:before="40"/>
      </w:pPr>
      <w:r>
        <w:rPr>
          <w:color w:val="374151"/>
          <w:sz w:val="22"/>
          <w:szCs w:val="22"/>
        </w:rPr>
        <w:t xml:space="preserve">Generate draft financial statements and tax-related communications.</w:t>
      </w:r>
    </w:p>
    <w:p>
      <w:pPr>
        <w:pStyle w:val="ListParagraph"/>
        <w:numPr>
          <w:ilvl w:val="0"/>
          <w:numId w:val="3"/>
        </w:numPr>
        <w:spacing w:after="40" w:before="40"/>
      </w:pPr>
      <w:r>
        <w:rPr>
          <w:color w:val="374151"/>
          <w:sz w:val="22"/>
          <w:szCs w:val="22"/>
        </w:rPr>
        <w:t xml:space="preserve">Provide a compliance calendar for relevant tax obligations.</w:t>
      </w:r>
    </w:p>
    <w:p>
      <w:pPr>
        <w:pStyle w:val="ListParagraph"/>
        <w:numPr>
          <w:ilvl w:val="0"/>
          <w:numId w:val="3"/>
        </w:numPr>
        <w:spacing w:after="40" w:before="40"/>
      </w:pPr>
      <w:r>
        <w:rPr>
          <w:color w:val="374151"/>
          <w:sz w:val="22"/>
          <w:szCs w:val="22"/>
        </w:rPr>
        <w:t xml:space="preserve">Reduce repetitive manual work while keeping the final decision and review under the control of a CA professional.</w:t>
      </w:r>
    </w:p>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4. Proposed System</w:t>
      </w:r>
    </w:p>
    <w:p>
      <w:pPr>
        <w:spacing w:after="100" w:before="80"/>
        <w:jc w:val="both"/>
      </w:pPr>
      <w:r>
        <w:rPr>
          <w:b w:val="false"/>
          <w:bCs w:val="false"/>
          <w:i w:val="false"/>
          <w:iCs w:val="false"/>
          <w:color w:val="1F2937"/>
          <w:sz w:val="22"/>
          <w:szCs w:val="22"/>
        </w:rPr>
        <w:t xml:space="preserve">The proposed system will provide a web-based interface through which a CA practitioner can upload financial documents, review extracted information, request tax-related assistance, and generate compliance outputs.</w:t>
      </w:r>
    </w:p>
    <w:p>
      <w:pPr>
        <w:pStyle w:val="Heading2"/>
        <w:spacing w:after="120" w:before="280"/>
      </w:pPr>
      <w:r>
        <w:t xml:space="preserve">4.1 High-Level Architecture</w:t>
      </w:r>
    </w:p>
    <w:p>
      <w:pPr>
        <w:shd w:fill="EFF6FF" w:color="auto" w:val="clear"/>
        <w:spacing w:after="0" w:before="0"/>
        <w:ind w:left="360"/>
      </w:pPr>
      <w:r>
        <w:rPr>
          <w:rFonts w:ascii="Courier New" w:cs="Courier New" w:eastAsia="Courier New" w:hAnsi="Courier New"/>
          <w:color w:val="1E40AF"/>
          <w:sz w:val="18"/>
          <w:szCs w:val="18"/>
        </w:rPr>
        <w:t xml:space="preserve">User</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React Web Application</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FastAPI Backend</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AI / Processing Pipeline</w:t>
      </w:r>
    </w:p>
    <w:p>
      <w:pPr>
        <w:shd w:fill="EFF6FF" w:color="auto" w:val="clear"/>
        <w:spacing w:after="0" w:before="0"/>
        <w:ind w:left="360"/>
      </w:pPr>
      <w:r>
        <w:rPr>
          <w:rFonts w:ascii="Courier New" w:cs="Courier New" w:eastAsia="Courier New" w:hAnsi="Courier New"/>
          <w:color w:val="1E40AF"/>
          <w:sz w:val="18"/>
          <w:szCs w:val="18"/>
        </w:rPr>
        <w:t xml:space="preserve">  ├── Document Extraction</w:t>
      </w:r>
    </w:p>
    <w:p>
      <w:pPr>
        <w:shd w:fill="EFF6FF" w:color="auto" w:val="clear"/>
        <w:spacing w:after="0" w:before="0"/>
        <w:ind w:left="360"/>
      </w:pPr>
      <w:r>
        <w:rPr>
          <w:rFonts w:ascii="Courier New" w:cs="Courier New" w:eastAsia="Courier New" w:hAnsi="Courier New"/>
          <w:color w:val="1E40AF"/>
          <w:sz w:val="18"/>
          <w:szCs w:val="18"/>
        </w:rPr>
        <w:t xml:space="preserve">  ├── Transaction Classification</w:t>
      </w:r>
    </w:p>
    <w:p>
      <w:pPr>
        <w:shd w:fill="EFF6FF" w:color="auto" w:val="clear"/>
        <w:spacing w:after="0" w:before="0"/>
        <w:ind w:left="360"/>
      </w:pPr>
      <w:r>
        <w:rPr>
          <w:rFonts w:ascii="Courier New" w:cs="Courier New" w:eastAsia="Courier New" w:hAnsi="Courier New"/>
          <w:color w:val="1E40AF"/>
          <w:sz w:val="18"/>
          <w:szCs w:val="18"/>
        </w:rPr>
        <w:t xml:space="preserve">  ├── Tax Rule Retrieval</w:t>
      </w:r>
    </w:p>
    <w:p>
      <w:pPr>
        <w:shd w:fill="EFF6FF" w:color="auto" w:val="clear"/>
        <w:spacing w:after="0" w:before="0"/>
        <w:ind w:left="360"/>
      </w:pPr>
      <w:r>
        <w:rPr>
          <w:rFonts w:ascii="Courier New" w:cs="Courier New" w:eastAsia="Courier New" w:hAnsi="Courier New"/>
          <w:color w:val="1E40AF"/>
          <w:sz w:val="18"/>
          <w:szCs w:val="18"/>
        </w:rPr>
        <w:t xml:space="preserve">  ├── Tax Calculation</w:t>
      </w:r>
    </w:p>
    <w:p>
      <w:pPr>
        <w:shd w:fill="EFF6FF" w:color="auto" w:val="clear"/>
        <w:spacing w:after="0" w:before="0"/>
        <w:ind w:left="360"/>
      </w:pPr>
      <w:r>
        <w:rPr>
          <w:rFonts w:ascii="Courier New" w:cs="Courier New" w:eastAsia="Courier New" w:hAnsi="Courier New"/>
          <w:color w:val="1E40AF"/>
          <w:sz w:val="18"/>
          <w:szCs w:val="18"/>
        </w:rPr>
        <w:t xml:space="preserve">  └── Report Generation</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PostgreSQL Database</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Excel / PDF / JSON Outputs</w:t>
      </w:r>
    </w:p>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5. Major Modules</w:t>
      </w:r>
    </w:p>
    <w:p>
      <w:pPr>
        <w:pStyle w:val="Heading2"/>
        <w:spacing w:after="120" w:before="280"/>
      </w:pPr>
      <w:r>
        <w:t xml:space="preserve">5.1 Document Extraction Module</w:t>
      </w:r>
    </w:p>
    <w:p>
      <w:pPr>
        <w:spacing w:after="100" w:before="80"/>
        <w:jc w:val="both"/>
      </w:pPr>
      <w:r>
        <w:rPr>
          <w:b w:val="false"/>
          <w:bCs w:val="false"/>
          <w:i w:val="false"/>
          <w:iCs w:val="false"/>
          <w:color w:val="1F2937"/>
          <w:sz w:val="22"/>
          <w:szCs w:val="22"/>
        </w:rPr>
        <w:t xml:space="preserve">The system will accept supported financial documents including:</w:t>
      </w:r>
    </w:p>
    <w:p>
      <w:pPr>
        <w:pStyle w:val="ListParagraph"/>
        <w:numPr>
          <w:ilvl w:val="0"/>
          <w:numId w:val="2"/>
        </w:numPr>
        <w:spacing w:after="40" w:before="40"/>
      </w:pPr>
      <w:r>
        <w:rPr>
          <w:color w:val="374151"/>
          <w:sz w:val="22"/>
          <w:szCs w:val="22"/>
        </w:rPr>
        <w:t xml:space="preserve">Invoices</w:t>
      </w:r>
    </w:p>
    <w:p>
      <w:pPr>
        <w:pStyle w:val="ListParagraph"/>
        <w:numPr>
          <w:ilvl w:val="0"/>
          <w:numId w:val="2"/>
        </w:numPr>
        <w:spacing w:after="40" w:before="40"/>
      </w:pPr>
      <w:r>
        <w:rPr>
          <w:color w:val="374151"/>
          <w:sz w:val="22"/>
          <w:szCs w:val="22"/>
        </w:rPr>
        <w:t xml:space="preserve">Bank statements</w:t>
      </w:r>
    </w:p>
    <w:p>
      <w:pPr>
        <w:pStyle w:val="ListParagraph"/>
        <w:numPr>
          <w:ilvl w:val="0"/>
          <w:numId w:val="2"/>
        </w:numPr>
        <w:spacing w:after="40" w:before="40"/>
      </w:pPr>
      <w:r>
        <w:rPr>
          <w:color w:val="374151"/>
          <w:sz w:val="22"/>
          <w:szCs w:val="22"/>
        </w:rPr>
        <w:t xml:space="preserve">Salary slips</w:t>
      </w:r>
    </w:p>
    <w:p>
      <w:pPr>
        <w:pStyle w:val="ListParagraph"/>
        <w:numPr>
          <w:ilvl w:val="0"/>
          <w:numId w:val="2"/>
        </w:numPr>
        <w:spacing w:after="40" w:before="40"/>
      </w:pPr>
      <w:r>
        <w:rPr>
          <w:color w:val="374151"/>
          <w:sz w:val="22"/>
          <w:szCs w:val="22"/>
        </w:rPr>
        <w:t xml:space="preserve">Purchase / sales records</w:t>
      </w:r>
    </w:p>
    <w:p>
      <w:pPr>
        <w:pStyle w:val="ListParagraph"/>
        <w:numPr>
          <w:ilvl w:val="0"/>
          <w:numId w:val="2"/>
        </w:numPr>
        <w:spacing w:after="40" w:before="40"/>
      </w:pPr>
      <w:r>
        <w:rPr>
          <w:color w:val="374151"/>
          <w:sz w:val="22"/>
          <w:szCs w:val="22"/>
        </w:rPr>
        <w:t xml:space="preserve">Excel spreadsheets</w:t>
      </w:r>
    </w:p>
    <w:p>
      <w:pPr>
        <w:pStyle w:val="ListParagraph"/>
        <w:numPr>
          <w:ilvl w:val="0"/>
          <w:numId w:val="2"/>
        </w:numPr>
        <w:spacing w:after="40" w:before="40"/>
      </w:pPr>
      <w:r>
        <w:rPr>
          <w:color w:val="374151"/>
          <w:sz w:val="22"/>
          <w:szCs w:val="22"/>
        </w:rPr>
        <w:t xml:space="preserve">PDF documents</w:t>
      </w:r>
    </w:p>
    <w:p>
      <w:pPr>
        <w:pStyle w:val="ListParagraph"/>
        <w:numPr>
          <w:ilvl w:val="0"/>
          <w:numId w:val="2"/>
        </w:numPr>
        <w:spacing w:after="40" w:before="40"/>
      </w:pPr>
      <w:r>
        <w:rPr>
          <w:color w:val="374151"/>
          <w:sz w:val="22"/>
          <w:szCs w:val="22"/>
        </w:rPr>
        <w:t xml:space="preserve">Scanned documents / images</w:t>
      </w:r>
    </w:p>
    <w:p>
      <w:pPr>
        <w:spacing w:after="100" w:before="120"/>
        <w:jc w:val="both"/>
      </w:pPr>
      <w:r>
        <w:rPr>
          <w:b w:val="false"/>
          <w:bCs w:val="false"/>
          <w:i w:val="false"/>
          <w:iCs w:val="false"/>
          <w:color w:val="1F2937"/>
          <w:sz w:val="22"/>
          <w:szCs w:val="22"/>
        </w:rPr>
        <w:t xml:space="preserve">OCR and document-processing techniques will extract fields such as:</w:t>
      </w:r>
    </w:p>
    <w:p>
      <w:pPr>
        <w:pStyle w:val="ListParagraph"/>
        <w:numPr>
          <w:ilvl w:val="0"/>
          <w:numId w:val="2"/>
        </w:numPr>
        <w:spacing w:after="40" w:before="40"/>
      </w:pPr>
      <w:r>
        <w:rPr>
          <w:color w:val="374151"/>
          <w:sz w:val="22"/>
          <w:szCs w:val="22"/>
        </w:rPr>
        <w:t xml:space="preserve">Date, invoice number, customer/vendor</w:t>
      </w:r>
    </w:p>
    <w:p>
      <w:pPr>
        <w:pStyle w:val="ListParagraph"/>
        <w:numPr>
          <w:ilvl w:val="0"/>
          <w:numId w:val="2"/>
        </w:numPr>
        <w:spacing w:after="40" w:before="40"/>
      </w:pPr>
      <w:r>
        <w:rPr>
          <w:color w:val="374151"/>
          <w:sz w:val="22"/>
          <w:szCs w:val="22"/>
        </w:rPr>
        <w:t xml:space="preserve">NTN / registration information</w:t>
      </w:r>
    </w:p>
    <w:p>
      <w:pPr>
        <w:pStyle w:val="ListParagraph"/>
        <w:numPr>
          <w:ilvl w:val="0"/>
          <w:numId w:val="2"/>
        </w:numPr>
        <w:spacing w:after="40" w:before="40"/>
      </w:pPr>
      <w:r>
        <w:rPr>
          <w:color w:val="374151"/>
          <w:sz w:val="22"/>
          <w:szCs w:val="22"/>
        </w:rPr>
        <w:t xml:space="preserve">Amount, tax amount, payment type</w:t>
      </w:r>
    </w:p>
    <w:p>
      <w:pPr>
        <w:pStyle w:val="ListParagraph"/>
        <w:numPr>
          <w:ilvl w:val="0"/>
          <w:numId w:val="2"/>
        </w:numPr>
        <w:spacing w:after="40" w:before="40"/>
      </w:pPr>
      <w:r>
        <w:rPr>
          <w:color w:val="374151"/>
          <w:sz w:val="22"/>
          <w:szCs w:val="22"/>
        </w:rPr>
        <w:t xml:space="preserve">Description, bank transaction details</w:t>
      </w:r>
    </w:p>
    <w:p>
      <w:pPr>
        <w:spacing w:after="100" w:before="80"/>
        <w:jc w:val="both"/>
      </w:pPr>
      <w:r>
        <w:rPr>
          <w:b w:val="false"/>
          <w:bCs w:val="false"/>
          <w:i w:val="false"/>
          <w:iCs w:val="false"/>
          <w:color w:val="1F2937"/>
          <w:sz w:val="22"/>
          <w:szCs w:val="22"/>
        </w:rPr>
        <w:t xml:space="preserve">The extracted information will be converted into structured JSON / database records.</w:t>
      </w:r>
    </w:p>
    <w:p>
      <w:pPr>
        <w:pStyle w:val="Heading2"/>
        <w:spacing w:after="120" w:before="280"/>
      </w:pPr>
      <w:r>
        <w:t xml:space="preserve">5.2 Transaction Classification Module</w:t>
      </w:r>
    </w:p>
    <w:p>
      <w:pPr>
        <w:spacing w:after="100" w:before="80"/>
        <w:jc w:val="both"/>
      </w:pPr>
      <w:r>
        <w:rPr>
          <w:b w:val="false"/>
          <w:bCs w:val="false"/>
          <w:i w:val="false"/>
          <w:iCs w:val="false"/>
          <w:color w:val="1F2937"/>
          <w:sz w:val="22"/>
          <w:szCs w:val="22"/>
        </w:rPr>
        <w:t xml:space="preserve">Extracted transactions will be classified according to their relevant accounting and tax characteristics.</w:t>
      </w:r>
    </w:p>
    <w:p>
      <w:pPr>
        <w:shd w:fill="EFF6FF" w:color="auto" w:val="clear"/>
        <w:spacing w:after="0" w:before="0"/>
        <w:ind w:left="360"/>
      </w:pPr>
      <w:r>
        <w:rPr>
          <w:rFonts w:ascii="Courier New" w:cs="Courier New" w:eastAsia="Courier New" w:hAnsi="Courier New"/>
          <w:color w:val="1E40AF"/>
          <w:sz w:val="18"/>
          <w:szCs w:val="18"/>
        </w:rPr>
        <w:t xml:space="preserve">Transaction</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Payment Type</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Goods / Services / Contract / Salary / Other</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Relevant Tax Category</w:t>
      </w:r>
    </w:p>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6. Tax Law Information Retrieval Module</w:t>
      </w:r>
    </w:p>
    <w:p>
      <w:pPr>
        <w:spacing w:after="100" w:before="80"/>
        <w:jc w:val="both"/>
      </w:pPr>
      <w:r>
        <w:rPr>
          <w:b w:val="false"/>
          <w:bCs w:val="false"/>
          <w:i w:val="false"/>
          <w:iCs w:val="false"/>
          <w:color w:val="1F2937"/>
          <w:sz w:val="22"/>
          <w:szCs w:val="22"/>
        </w:rPr>
        <w:t xml:space="preserve">This is the main AI/IR component of the project. The system will maintain a knowledge base containing relevant Pakistani tax legislation:</w:t>
      </w:r>
    </w:p>
    <w:p>
      <w:pPr>
        <w:pStyle w:val="ListParagraph"/>
        <w:numPr>
          <w:ilvl w:val="0"/>
          <w:numId w:val="2"/>
        </w:numPr>
        <w:spacing w:after="40" w:before="40"/>
      </w:pPr>
      <w:r>
        <w:rPr>
          <w:color w:val="374151"/>
          <w:sz w:val="22"/>
          <w:szCs w:val="22"/>
        </w:rPr>
        <w:t xml:space="preserve">Income Tax Ordinance, 2001</w:t>
      </w:r>
    </w:p>
    <w:p>
      <w:pPr>
        <w:pStyle w:val="ListParagraph"/>
        <w:numPr>
          <w:ilvl w:val="0"/>
          <w:numId w:val="2"/>
        </w:numPr>
        <w:spacing w:after="40" w:before="40"/>
      </w:pPr>
      <w:r>
        <w:rPr>
          <w:color w:val="374151"/>
          <w:sz w:val="22"/>
          <w:szCs w:val="22"/>
        </w:rPr>
        <w:t xml:space="preserve">Relevant Income Tax Rules</w:t>
      </w:r>
    </w:p>
    <w:p>
      <w:pPr>
        <w:pStyle w:val="ListParagraph"/>
        <w:numPr>
          <w:ilvl w:val="0"/>
          <w:numId w:val="2"/>
        </w:numPr>
        <w:spacing w:after="40" w:before="40"/>
      </w:pPr>
      <w:r>
        <w:rPr>
          <w:color w:val="374151"/>
          <w:sz w:val="22"/>
          <w:szCs w:val="22"/>
        </w:rPr>
        <w:t xml:space="preserve">Finance Acts</w:t>
      </w:r>
    </w:p>
    <w:p>
      <w:pPr>
        <w:pStyle w:val="ListParagraph"/>
        <w:numPr>
          <w:ilvl w:val="0"/>
          <w:numId w:val="2"/>
        </w:numPr>
        <w:spacing w:after="40" w:before="40"/>
      </w:pPr>
      <w:r>
        <w:rPr>
          <w:color w:val="374151"/>
          <w:sz w:val="22"/>
          <w:szCs w:val="22"/>
        </w:rPr>
        <w:t xml:space="preserve">FBR SROs and notifications</w:t>
      </w:r>
    </w:p>
    <w:p>
      <w:pPr>
        <w:pStyle w:val="ListParagraph"/>
        <w:numPr>
          <w:ilvl w:val="0"/>
          <w:numId w:val="2"/>
        </w:numPr>
        <w:spacing w:after="40" w:before="40"/>
      </w:pPr>
      <w:r>
        <w:rPr>
          <w:color w:val="374151"/>
          <w:sz w:val="22"/>
          <w:szCs w:val="22"/>
        </w:rPr>
        <w:t xml:space="preserve">Relevant provincial sales tax legislation</w:t>
      </w:r>
    </w:p>
    <w:p>
      <w:pPr>
        <w:pStyle w:val="ListParagraph"/>
        <w:numPr>
          <w:ilvl w:val="0"/>
          <w:numId w:val="2"/>
        </w:numPr>
        <w:spacing w:after="40" w:before="40"/>
      </w:pPr>
      <w:r>
        <w:rPr>
          <w:color w:val="374151"/>
          <w:sz w:val="22"/>
          <w:szCs w:val="22"/>
        </w:rPr>
        <w:t xml:space="preserve">PRA / SRB material (within project scope)</w:t>
      </w:r>
    </w:p>
    <w:p>
      <w:pPr>
        <w:pStyle w:val="Heading2"/>
        <w:spacing w:after="120" w:before="280"/>
      </w:pPr>
      <w:r>
        <w:t xml:space="preserve">6.1 Knowledge-Base Metadata Schema</w:t>
      </w:r>
    </w:p>
    <w:p>
      <w:pPr>
        <w:spacing w:after="100" w:before="80"/>
        <w:jc w:val="both"/>
      </w:pPr>
      <w:r>
        <w:rPr>
          <w:b w:val="false"/>
          <w:bCs w:val="false"/>
          <w:i w:val="false"/>
          <w:iCs w:val="false"/>
          <w:color w:val="1F2937"/>
          <w:sz w:val="22"/>
          <w:szCs w:val="22"/>
        </w:rPr>
        <w:t xml:space="preserve">Each legal chunk will carry: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tblHeader/>
        </w:trPr>
        <w:tc>
          <w:tcPr>
            <w:tcW w:type="dxa" w:w="4860"/>
            <w:shd w:fill="1B3A6B" w:color="auto" w:val="clear"/>
            <w:tcMar>
              <w:top w:type="dxa" w:w="80"/>
              <w:left w:type="dxa" w:w="120"/>
              <w:bottom w:type="dxa" w:w="80"/>
              <w:right w:type="dxa" w:w="120"/>
            </w:tcMar>
          </w:tcPr>
          <w:p>
            <w:pPr>
              <w:jc w:val="center"/>
            </w:pPr>
            <w:r>
              <w:rPr>
                <w:b/>
                <w:bCs/>
                <w:color w:val="FFFFFF"/>
                <w:sz w:val="20"/>
                <w:szCs w:val="20"/>
              </w:rPr>
              <w:t xml:space="preserve">Field</w:t>
            </w:r>
          </w:p>
        </w:tc>
        <w:tc>
          <w:tcPr>
            <w:tcW w:type="dxa" w:w="4860"/>
            <w:shd w:fill="1B3A6B" w:color="auto" w:val="clear"/>
            <w:tcMar>
              <w:top w:type="dxa" w:w="80"/>
              <w:left w:type="dxa" w:w="120"/>
              <w:bottom w:type="dxa" w:w="80"/>
              <w:right w:type="dxa" w:w="120"/>
            </w:tcMar>
          </w:tcPr>
          <w:p>
            <w:pPr>
              <w:jc w:val="center"/>
            </w:pPr>
            <w:r>
              <w:rPr>
                <w:b/>
                <w:bCs/>
                <w:color w:val="FFFFFF"/>
                <w:sz w:val="20"/>
                <w:szCs w:val="20"/>
              </w:rPr>
              <w:t xml:space="preserve">Example / Description</w:t>
            </w:r>
          </w:p>
        </w:tc>
      </w:tr>
      <w:tr>
        <w:tc>
          <w:tcPr>
            <w:tcW w:type="dxa" w:w="4860"/>
            <w:shd w:fill="EFF6FF" w:color="auto" w:val="clear"/>
            <w:tcMar>
              <w:top w:type="dxa" w:w="80"/>
              <w:left w:type="dxa" w:w="120"/>
              <w:bottom w:type="dxa" w:w="80"/>
              <w:right w:type="dxa" w:w="120"/>
            </w:tcMar>
          </w:tcPr>
          <w:p>
            <w:pPr>
              <w:jc w:val="left"/>
            </w:pPr>
            <w:r>
              <w:rPr>
                <w:color w:val="1F2937"/>
                <w:sz w:val="20"/>
                <w:szCs w:val="20"/>
              </w:rPr>
              <w:t xml:space="preserve">Law</w:t>
            </w:r>
          </w:p>
        </w:tc>
        <w:tc>
          <w:tcPr>
            <w:tcW w:type="dxa" w:w="4860"/>
            <w:shd w:fill="EFF6FF" w:color="auto" w:val="clear"/>
            <w:tcMar>
              <w:top w:type="dxa" w:w="80"/>
              <w:left w:type="dxa" w:w="120"/>
              <w:bottom w:type="dxa" w:w="80"/>
              <w:right w:type="dxa" w:w="120"/>
            </w:tcMar>
          </w:tcPr>
          <w:p>
            <w:pPr>
              <w:jc w:val="left"/>
            </w:pPr>
            <w:r>
              <w:rPr>
                <w:color w:val="1F2937"/>
                <w:sz w:val="20"/>
                <w:szCs w:val="20"/>
              </w:rPr>
              <w:t xml:space="preserve">Income Tax Ordinance, 2001</w:t>
            </w:r>
          </w:p>
        </w:tc>
      </w:tr>
      <w:tr>
        <w:tc>
          <w:tcPr>
            <w:tcW w:type="dxa" w:w="4860"/>
            <w:shd w:fill="FFFFFF" w:color="auto" w:val="clear"/>
            <w:tcMar>
              <w:top w:type="dxa" w:w="80"/>
              <w:left w:type="dxa" w:w="120"/>
              <w:bottom w:type="dxa" w:w="80"/>
              <w:right w:type="dxa" w:w="120"/>
            </w:tcMar>
          </w:tcPr>
          <w:p>
            <w:pPr>
              <w:jc w:val="left"/>
            </w:pPr>
            <w:r>
              <w:rPr>
                <w:color w:val="1F2937"/>
                <w:sz w:val="20"/>
                <w:szCs w:val="20"/>
              </w:rPr>
              <w:t xml:space="preserve">Section</w:t>
            </w:r>
          </w:p>
        </w:tc>
        <w:tc>
          <w:tcPr>
            <w:tcW w:type="dxa" w:w="4860"/>
            <w:shd w:fill="FFFFFF" w:color="auto" w:val="clear"/>
            <w:tcMar>
              <w:top w:type="dxa" w:w="80"/>
              <w:left w:type="dxa" w:w="120"/>
              <w:bottom w:type="dxa" w:w="80"/>
              <w:right w:type="dxa" w:w="120"/>
            </w:tcMar>
          </w:tcPr>
          <w:p>
            <w:pPr>
              <w:jc w:val="left"/>
            </w:pPr>
            <w:r>
              <w:rPr>
                <w:color w:val="1F2937"/>
                <w:sz w:val="20"/>
                <w:szCs w:val="20"/>
              </w:rPr>
              <w:t xml:space="preserve">153</w:t>
            </w:r>
          </w:p>
        </w:tc>
      </w:tr>
      <w:tr>
        <w:tc>
          <w:tcPr>
            <w:tcW w:type="dxa" w:w="4860"/>
            <w:shd w:fill="EFF6FF" w:color="auto" w:val="clear"/>
            <w:tcMar>
              <w:top w:type="dxa" w:w="80"/>
              <w:left w:type="dxa" w:w="120"/>
              <w:bottom w:type="dxa" w:w="80"/>
              <w:right w:type="dxa" w:w="120"/>
            </w:tcMar>
          </w:tcPr>
          <w:p>
            <w:pPr>
              <w:jc w:val="left"/>
            </w:pPr>
            <w:r>
              <w:rPr>
                <w:color w:val="1F2937"/>
                <w:sz w:val="20"/>
                <w:szCs w:val="20"/>
              </w:rPr>
              <w:t xml:space="preserve">Subsection</w:t>
            </w:r>
          </w:p>
        </w:tc>
        <w:tc>
          <w:tcPr>
            <w:tcW w:type="dxa" w:w="4860"/>
            <w:shd w:fill="EFF6FF" w:color="auto" w:val="clear"/>
            <w:tcMar>
              <w:top w:type="dxa" w:w="80"/>
              <w:left w:type="dxa" w:w="120"/>
              <w:bottom w:type="dxa" w:w="80"/>
              <w:right w:type="dxa" w:w="120"/>
            </w:tcMar>
          </w:tcPr>
          <w:p>
            <w:pPr>
              <w:jc w:val="left"/>
            </w:pPr>
            <w:r>
              <w:rPr>
                <w:color w:val="1F2937"/>
                <w:sz w:val="20"/>
                <w:szCs w:val="20"/>
              </w:rPr>
              <w:t xml:space="preserve">(1)(b)</w:t>
            </w:r>
          </w:p>
        </w:tc>
      </w:tr>
      <w:tr>
        <w:tc>
          <w:tcPr>
            <w:tcW w:type="dxa" w:w="4860"/>
            <w:shd w:fill="FFFFFF" w:color="auto" w:val="clear"/>
            <w:tcMar>
              <w:top w:type="dxa" w:w="80"/>
              <w:left w:type="dxa" w:w="120"/>
              <w:bottom w:type="dxa" w:w="80"/>
              <w:right w:type="dxa" w:w="120"/>
            </w:tcMar>
          </w:tcPr>
          <w:p>
            <w:pPr>
              <w:jc w:val="left"/>
            </w:pPr>
            <w:r>
              <w:rPr>
                <w:color w:val="1F2937"/>
                <w:sz w:val="20"/>
                <w:szCs w:val="20"/>
              </w:rPr>
              <w:t xml:space="preserve">Source Type</w:t>
            </w:r>
          </w:p>
        </w:tc>
        <w:tc>
          <w:tcPr>
            <w:tcW w:type="dxa" w:w="4860"/>
            <w:shd w:fill="FFFFFF" w:color="auto" w:val="clear"/>
            <w:tcMar>
              <w:top w:type="dxa" w:w="80"/>
              <w:left w:type="dxa" w:w="120"/>
              <w:bottom w:type="dxa" w:w="80"/>
              <w:right w:type="dxa" w:w="120"/>
            </w:tcMar>
          </w:tcPr>
          <w:p>
            <w:pPr>
              <w:jc w:val="left"/>
            </w:pPr>
            <w:r>
              <w:rPr>
                <w:color w:val="1F2937"/>
                <w:sz w:val="20"/>
                <w:szCs w:val="20"/>
              </w:rPr>
              <w:t xml:space="preserve">Ordinance / SRO / Finance Act</w:t>
            </w:r>
          </w:p>
        </w:tc>
      </w:tr>
      <w:tr>
        <w:tc>
          <w:tcPr>
            <w:tcW w:type="dxa" w:w="4860"/>
            <w:shd w:fill="EFF6FF" w:color="auto" w:val="clear"/>
            <w:tcMar>
              <w:top w:type="dxa" w:w="80"/>
              <w:left w:type="dxa" w:w="120"/>
              <w:bottom w:type="dxa" w:w="80"/>
              <w:right w:type="dxa" w:w="120"/>
            </w:tcMar>
          </w:tcPr>
          <w:p>
            <w:pPr>
              <w:jc w:val="left"/>
            </w:pPr>
            <w:r>
              <w:rPr>
                <w:color w:val="1F2937"/>
                <w:sz w:val="20"/>
                <w:szCs w:val="20"/>
              </w:rPr>
              <w:t xml:space="preserve">Tax Year</w:t>
            </w:r>
          </w:p>
        </w:tc>
        <w:tc>
          <w:tcPr>
            <w:tcW w:type="dxa" w:w="4860"/>
            <w:shd w:fill="EFF6FF" w:color="auto" w:val="clear"/>
            <w:tcMar>
              <w:top w:type="dxa" w:w="80"/>
              <w:left w:type="dxa" w:w="120"/>
              <w:bottom w:type="dxa" w:w="80"/>
              <w:right w:type="dxa" w:w="120"/>
            </w:tcMar>
          </w:tcPr>
          <w:p>
            <w:pPr>
              <w:jc w:val="left"/>
            </w:pPr>
            <w:r>
              <w:rPr>
                <w:color w:val="1F2937"/>
                <w:sz w:val="20"/>
                <w:szCs w:val="20"/>
              </w:rPr>
              <w:t xml:space="preserve">2026</w:t>
            </w:r>
          </w:p>
        </w:tc>
      </w:tr>
      <w:tr>
        <w:tc>
          <w:tcPr>
            <w:tcW w:type="dxa" w:w="4860"/>
            <w:shd w:fill="FFFFFF" w:color="auto" w:val="clear"/>
            <w:tcMar>
              <w:top w:type="dxa" w:w="80"/>
              <w:left w:type="dxa" w:w="120"/>
              <w:bottom w:type="dxa" w:w="80"/>
              <w:right w:type="dxa" w:w="120"/>
            </w:tcMar>
          </w:tcPr>
          <w:p>
            <w:pPr>
              <w:jc w:val="left"/>
            </w:pPr>
            <w:r>
              <w:rPr>
                <w:color w:val="1F2937"/>
                <w:sz w:val="20"/>
                <w:szCs w:val="20"/>
              </w:rPr>
              <w:t xml:space="preserve">Effective Date</w:t>
            </w:r>
          </w:p>
        </w:tc>
        <w:tc>
          <w:tcPr>
            <w:tcW w:type="dxa" w:w="4860"/>
            <w:shd w:fill="FFFFFF" w:color="auto" w:val="clear"/>
            <w:tcMar>
              <w:top w:type="dxa" w:w="80"/>
              <w:left w:type="dxa" w:w="120"/>
              <w:bottom w:type="dxa" w:w="80"/>
              <w:right w:type="dxa" w:w="120"/>
            </w:tcMar>
          </w:tcPr>
          <w:p>
            <w:pPr>
              <w:jc w:val="left"/>
            </w:pPr>
            <w:r>
              <w:rPr>
                <w:color w:val="1F2937"/>
                <w:sz w:val="20"/>
                <w:szCs w:val="20"/>
              </w:rPr>
              <w:t xml:space="preserve">01-Jul-2025</w:t>
            </w:r>
          </w:p>
        </w:tc>
      </w:tr>
    </w:tbl>
    <w:p>
      <w:pPr>
        <w:pStyle w:val="Heading2"/>
        <w:spacing w:after="120" w:before="280"/>
      </w:pPr>
      <w:r>
        <w:t xml:space="preserve">6.2 Hybrid Retrieval Strategy</w:t>
      </w:r>
    </w:p>
    <w:p>
      <w:pPr>
        <w:spacing w:after="100" w:before="80"/>
        <w:jc w:val="both"/>
      </w:pPr>
      <w:r>
        <w:rPr>
          <w:b w:val="false"/>
          <w:bCs w:val="false"/>
          <w:i w:val="false"/>
          <w:iCs w:val="false"/>
          <w:color w:val="1F2937"/>
          <w:sz w:val="22"/>
          <w:szCs w:val="22"/>
        </w:rPr>
        <w:t xml:space="preserve">Instead of relying only on semantic vector search, CA Copilot combines:</w:t>
      </w:r>
    </w:p>
    <w:p>
      <w:pPr>
        <w:pStyle w:val="ListParagraph"/>
        <w:numPr>
          <w:ilvl w:val="0"/>
          <w:numId w:val="2"/>
        </w:numPr>
        <w:spacing w:after="40" w:before="40"/>
      </w:pPr>
      <w:r>
        <w:rPr>
          <w:color w:val="374151"/>
          <w:sz w:val="22"/>
          <w:szCs w:val="22"/>
        </w:rPr>
        <w:t xml:space="preserve">Keyword Retrieval — BM25 for exact legal references such as "Section 153", "SRO 123", "withholding tax"</w:t>
      </w:r>
    </w:p>
    <w:p>
      <w:pPr>
        <w:pStyle w:val="ListParagraph"/>
        <w:numPr>
          <w:ilvl w:val="0"/>
          <w:numId w:val="2"/>
        </w:numPr>
        <w:spacing w:after="40" w:before="40"/>
      </w:pPr>
      <w:r>
        <w:rPr>
          <w:color w:val="374151"/>
          <w:sz w:val="22"/>
          <w:szCs w:val="22"/>
        </w:rPr>
        <w:t xml:space="preserve">Semantic Retrieval — embeddings to retrieve provisions by meaning even without an exact section number</w:t>
      </w:r>
    </w:p>
    <w:p>
      <w:pPr>
        <w:pStyle w:val="ListParagraph"/>
        <w:numPr>
          <w:ilvl w:val="0"/>
          <w:numId w:val="2"/>
        </w:numPr>
        <w:spacing w:after="40" w:before="40"/>
      </w:pPr>
      <w:r>
        <w:rPr>
          <w:color w:val="374151"/>
          <w:sz w:val="22"/>
          <w:szCs w:val="22"/>
        </w:rPr>
        <w:t xml:space="preserve">Fusion Ranking — retrieved candidates are combined and ranked for the most relevant provision</w:t>
      </w:r>
    </w:p>
    <w:p>
      <w:pPr>
        <w:pStyle w:val="Heading2"/>
        <w:spacing w:after="120" w:before="280"/>
      </w:pPr>
      <w:r>
        <w:t xml:space="preserve">6.3 Example Query Flow</w:t>
      </w:r>
    </w:p>
    <w:p>
      <w:pPr>
        <w:shd w:fill="EFF6FF" w:color="auto" w:val="clear"/>
        <w:spacing w:after="0" w:before="0"/>
        <w:ind w:left="360"/>
      </w:pPr>
      <w:r>
        <w:rPr>
          <w:rFonts w:ascii="Courier New" w:cs="Courier New" w:eastAsia="Courier New" w:hAnsi="Courier New"/>
          <w:color w:val="1E40AF"/>
          <w:sz w:val="18"/>
          <w:szCs w:val="18"/>
        </w:rPr>
        <w:t xml:space="preserve">User Query: "What withholding tax applies to this contractor payment?"</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Query Processing</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BM25 Retrieval ──────┐</w:t>
      </w:r>
    </w:p>
    <w:p>
      <w:pPr>
        <w:shd w:fill="EFF6FF" w:color="auto" w:val="clear"/>
        <w:spacing w:after="0" w:before="0"/>
        <w:ind w:left="360"/>
      </w:pPr>
      <w:r>
        <w:rPr>
          <w:rFonts w:ascii="Courier New" w:cs="Courier New" w:eastAsia="Courier New" w:hAnsi="Courier New"/>
          <w:color w:val="1E40AF"/>
          <w:sz w:val="18"/>
          <w:szCs w:val="18"/>
        </w:rPr>
        <w:t xml:space="preserve">                     ├── Candidate Provisions</w:t>
      </w:r>
    </w:p>
    <w:p>
      <w:pPr>
        <w:shd w:fill="EFF6FF" w:color="auto" w:val="clear"/>
        <w:spacing w:after="0" w:before="0"/>
        <w:ind w:left="360"/>
      </w:pPr>
      <w:r>
        <w:rPr>
          <w:rFonts w:ascii="Courier New" w:cs="Courier New" w:eastAsia="Courier New" w:hAnsi="Courier New"/>
          <w:color w:val="1E40AF"/>
          <w:sz w:val="18"/>
          <w:szCs w:val="18"/>
        </w:rPr>
        <w:t xml:space="preserve">Vector Retrieval ────┘</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                 Fusion Ranking</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              Relevant Provision</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          Evidence + Source Citation</w:t>
      </w:r>
    </w:p>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7. Tax Calculation Engine</w:t>
      </w:r>
    </w:p>
    <w:p>
      <w:pPr>
        <w:pBdr>
          <w:left w:val="thick" w:color="2563EB" w:sz="6"/>
        </w:pBdr>
        <w:shd w:fill="EFF6FF" w:color="auto" w:val="clear"/>
        <w:spacing w:after="160" w:before="160"/>
        <w:ind w:left="360" w:right="360"/>
      </w:pPr>
      <w:r>
        <w:rPr>
          <w:i/>
          <w:iCs/>
          <w:color w:val="1B3A6B"/>
          <w:sz w:val="22"/>
          <w:szCs w:val="22"/>
        </w:rPr>
        <w:t xml:space="preserve">The LLM will not directly perform the final tax calculation. Instead, the RAG system identifies the applicable legal rule, which is then passed to a deterministic calculation engine.</w:t>
      </w:r>
    </w:p>
    <w:p>
      <w:pPr>
        <w:shd w:fill="EFF6FF" w:color="auto" w:val="clear"/>
        <w:spacing w:after="0" w:before="0"/>
        <w:ind w:left="360"/>
      </w:pPr>
      <w:r>
        <w:rPr>
          <w:rFonts w:ascii="Courier New" w:cs="Courier New" w:eastAsia="Courier New" w:hAnsi="Courier New"/>
          <w:color w:val="1E40AF"/>
          <w:sz w:val="18"/>
          <w:szCs w:val="18"/>
        </w:rPr>
        <w:t xml:space="preserve">Tax Query → RAG → Applicable Section</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Rate + Conditions</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Structured Tax Rule</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Deterministic Calculation Engine</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Tax Amount</w:t>
      </w:r>
    </w:p>
    <w:p>
      <w:pPr>
        <w:spacing w:after="100" w:before="80"/>
        <w:jc w:val="both"/>
      </w:pPr>
      <w:r>
        <w:rPr>
          <w:b w:val="false"/>
          <w:bCs w:val="false"/>
          <w:i w:val="false"/>
          <w:iCs w:val="false"/>
          <w:color w:val="1F2937"/>
          <w:sz w:val="22"/>
          <w:szCs w:val="22"/>
        </w:rPr>
        <w:t xml:space="preserve">The engine considers factors including:</w:t>
      </w:r>
    </w:p>
    <w:p>
      <w:pPr>
        <w:pStyle w:val="ListParagraph"/>
        <w:numPr>
          <w:ilvl w:val="0"/>
          <w:numId w:val="2"/>
        </w:numPr>
        <w:spacing w:after="40" w:before="40"/>
      </w:pPr>
      <w:r>
        <w:rPr>
          <w:color w:val="374151"/>
          <w:sz w:val="22"/>
          <w:szCs w:val="22"/>
        </w:rPr>
        <w:t xml:space="preserve">Transaction type and amount</w:t>
      </w:r>
    </w:p>
    <w:p>
      <w:pPr>
        <w:pStyle w:val="ListParagraph"/>
        <w:numPr>
          <w:ilvl w:val="0"/>
          <w:numId w:val="2"/>
        </w:numPr>
        <w:spacing w:after="40" w:before="40"/>
      </w:pPr>
      <w:r>
        <w:rPr>
          <w:color w:val="374151"/>
          <w:sz w:val="22"/>
          <w:szCs w:val="22"/>
        </w:rPr>
        <w:t xml:space="preserve">Tax category and applicable rate</w:t>
      </w:r>
    </w:p>
    <w:p>
      <w:pPr>
        <w:pStyle w:val="ListParagraph"/>
        <w:numPr>
          <w:ilvl w:val="0"/>
          <w:numId w:val="2"/>
        </w:numPr>
        <w:spacing w:after="40" w:before="40"/>
      </w:pPr>
      <w:r>
        <w:rPr>
          <w:color w:val="374151"/>
          <w:sz w:val="22"/>
          <w:szCs w:val="22"/>
        </w:rPr>
        <w:t xml:space="preserve">Tax year</w:t>
      </w:r>
    </w:p>
    <w:p>
      <w:pPr>
        <w:pStyle w:val="ListParagraph"/>
        <w:numPr>
          <w:ilvl w:val="0"/>
          <w:numId w:val="2"/>
        </w:numPr>
        <w:spacing w:after="40" w:before="40"/>
      </w:pPr>
      <w:r>
        <w:rPr>
          <w:color w:val="374151"/>
          <w:sz w:val="22"/>
          <w:szCs w:val="22"/>
        </w:rPr>
        <w:t xml:space="preserve">Filer / non-filer status where applicable</w:t>
      </w:r>
    </w:p>
    <w:p>
      <w:pPr>
        <w:pStyle w:val="ListParagraph"/>
        <w:numPr>
          <w:ilvl w:val="0"/>
          <w:numId w:val="2"/>
        </w:numPr>
        <w:spacing w:after="40" w:before="40"/>
      </w:pPr>
      <w:r>
        <w:rPr>
          <w:color w:val="374151"/>
          <w:sz w:val="22"/>
          <w:szCs w:val="22"/>
        </w:rPr>
        <w:t xml:space="preserve">Relevant conditions and thresholds</w:t>
      </w:r>
    </w:p>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8. Functional Modules</w:t>
      </w:r>
    </w:p>
    <w:p>
      <w:pPr>
        <w:pStyle w:val="Heading2"/>
        <w:spacing w:after="120" w:before="280"/>
      </w:pPr>
      <w:r>
        <w:t xml:space="preserve">8.1 Withholding Tax Module</w:t>
      </w:r>
    </w:p>
    <w:p>
      <w:pPr>
        <w:spacing w:after="100" w:before="80"/>
        <w:jc w:val="both"/>
      </w:pPr>
      <w:r>
        <w:rPr>
          <w:b w:val="false"/>
          <w:bCs w:val="false"/>
          <w:i w:val="false"/>
          <w:iCs w:val="false"/>
          <w:color w:val="1F2937"/>
          <w:sz w:val="22"/>
          <w:szCs w:val="22"/>
        </w:rPr>
        <w:t xml:space="preserve">Calculates applicable withholding taxes and generates structured Section 165(1) schedules. Example output: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1215"/>
        <w:gridCol w:w="1215"/>
      </w:tblGrid>
      <w:tr>
        <w:trPr>
          <w:tblHeader/>
        </w:trPr>
        <w:tc>
          <w:tcPr>
            <w:tcW w:type="dxa" w:w="2430"/>
            <w:shd w:fill="1B3A6B" w:color="auto" w:val="clear"/>
            <w:tcMar>
              <w:top w:type="dxa" w:w="80"/>
              <w:left w:type="dxa" w:w="120"/>
              <w:bottom w:type="dxa" w:w="80"/>
              <w:right w:type="dxa" w:w="120"/>
            </w:tcMar>
          </w:tcPr>
          <w:p>
            <w:pPr>
              <w:jc w:val="center"/>
            </w:pPr>
            <w:r>
              <w:rPr>
                <w:b/>
                <w:bCs/>
                <w:color w:val="FFFFFF"/>
                <w:sz w:val="20"/>
                <w:szCs w:val="20"/>
              </w:rPr>
              <w:t xml:space="preserve">Vendor</w:t>
            </w:r>
          </w:p>
        </w:tc>
        <w:tc>
          <w:tcPr>
            <w:tcW w:type="dxa" w:w="2430"/>
            <w:shd w:fill="1B3A6B" w:color="auto" w:val="clear"/>
            <w:tcMar>
              <w:top w:type="dxa" w:w="80"/>
              <w:left w:type="dxa" w:w="120"/>
              <w:bottom w:type="dxa" w:w="80"/>
              <w:right w:type="dxa" w:w="120"/>
            </w:tcMar>
          </w:tcPr>
          <w:p>
            <w:pPr>
              <w:jc w:val="center"/>
            </w:pPr>
            <w:r>
              <w:rPr>
                <w:b/>
                <w:bCs/>
                <w:color w:val="FFFFFF"/>
                <w:sz w:val="20"/>
                <w:szCs w:val="20"/>
              </w:rPr>
              <w:t xml:space="preserve">Payment (PKR)</w:t>
            </w:r>
          </w:p>
        </w:tc>
        <w:tc>
          <w:tcPr>
            <w:tcW w:type="dxa" w:w="2430"/>
            <w:shd w:fill="1B3A6B" w:color="auto" w:val="clear"/>
            <w:tcMar>
              <w:top w:type="dxa" w:w="80"/>
              <w:left w:type="dxa" w:w="120"/>
              <w:bottom w:type="dxa" w:w="80"/>
              <w:right w:type="dxa" w:w="120"/>
            </w:tcMar>
          </w:tcPr>
          <w:p>
            <w:pPr>
              <w:jc w:val="center"/>
            </w:pPr>
            <w:r>
              <w:rPr>
                <w:b/>
                <w:bCs/>
                <w:color w:val="FFFFFF"/>
                <w:sz w:val="20"/>
                <w:szCs w:val="20"/>
              </w:rPr>
              <w:t xml:space="preserve">Section</w:t>
            </w:r>
          </w:p>
        </w:tc>
        <w:tc>
          <w:tcPr>
            <w:tcW w:type="dxa" w:w="1215"/>
            <w:shd w:fill="1B3A6B" w:color="auto" w:val="clear"/>
            <w:tcMar>
              <w:top w:type="dxa" w:w="80"/>
              <w:left w:type="dxa" w:w="120"/>
              <w:bottom w:type="dxa" w:w="80"/>
              <w:right w:type="dxa" w:w="120"/>
            </w:tcMar>
          </w:tcPr>
          <w:p>
            <w:pPr>
              <w:jc w:val="center"/>
            </w:pPr>
            <w:r>
              <w:rPr>
                <w:b/>
                <w:bCs/>
                <w:color w:val="FFFFFF"/>
                <w:sz w:val="20"/>
                <w:szCs w:val="20"/>
              </w:rPr>
              <w:t xml:space="preserve">Rate</w:t>
            </w:r>
          </w:p>
        </w:tc>
        <w:tc>
          <w:tcPr>
            <w:tcW w:type="dxa" w:w="1215"/>
            <w:shd w:fill="1B3A6B" w:color="auto" w:val="clear"/>
            <w:tcMar>
              <w:top w:type="dxa" w:w="80"/>
              <w:left w:type="dxa" w:w="120"/>
              <w:bottom w:type="dxa" w:w="80"/>
              <w:right w:type="dxa" w:w="120"/>
            </w:tcMar>
          </w:tcPr>
          <w:p>
            <w:pPr>
              <w:jc w:val="center"/>
            </w:pPr>
            <w:r>
              <w:rPr>
                <w:b/>
                <w:bCs/>
                <w:color w:val="FFFFFF"/>
                <w:sz w:val="20"/>
                <w:szCs w:val="20"/>
              </w:rPr>
              <w:t xml:space="preserve">Tax (PKR)</w:t>
            </w:r>
          </w:p>
        </w:tc>
      </w:tr>
      <w:tr>
        <w:tc>
          <w:tcPr>
            <w:tcW w:type="dxa" w:w="2430"/>
            <w:shd w:fill="FFFFFF" w:color="auto" w:val="clear"/>
            <w:tcMar>
              <w:top w:type="dxa" w:w="80"/>
              <w:left w:type="dxa" w:w="120"/>
              <w:bottom w:type="dxa" w:w="80"/>
              <w:right w:type="dxa" w:w="120"/>
            </w:tcMar>
          </w:tcPr>
          <w:p>
            <w:pPr>
              <w:jc w:val="left"/>
            </w:pPr>
            <w:r>
              <w:rPr>
                <w:color w:val="1F2937"/>
                <w:sz w:val="20"/>
                <w:szCs w:val="20"/>
              </w:rPr>
              <w:t xml:space="preserve">ABC Ltd</w:t>
            </w:r>
          </w:p>
        </w:tc>
        <w:tc>
          <w:tcPr>
            <w:tcW w:type="dxa" w:w="2430"/>
            <w:shd w:fill="FFFFFF" w:color="auto" w:val="clear"/>
            <w:tcMar>
              <w:top w:type="dxa" w:w="80"/>
              <w:left w:type="dxa" w:w="120"/>
              <w:bottom w:type="dxa" w:w="80"/>
              <w:right w:type="dxa" w:w="120"/>
            </w:tcMar>
          </w:tcPr>
          <w:p>
            <w:pPr>
              <w:jc w:val="left"/>
            </w:pPr>
            <w:r>
              <w:rPr>
                <w:color w:val="1F2937"/>
                <w:sz w:val="20"/>
                <w:szCs w:val="20"/>
              </w:rPr>
              <w:t xml:space="preserve">100,000</w:t>
            </w:r>
          </w:p>
        </w:tc>
        <w:tc>
          <w:tcPr>
            <w:tcW w:type="dxa" w:w="2430"/>
            <w:shd w:fill="FFFFFF" w:color="auto" w:val="clear"/>
            <w:tcMar>
              <w:top w:type="dxa" w:w="80"/>
              <w:left w:type="dxa" w:w="120"/>
              <w:bottom w:type="dxa" w:w="80"/>
              <w:right w:type="dxa" w:w="120"/>
            </w:tcMar>
          </w:tcPr>
          <w:p>
            <w:pPr>
              <w:jc w:val="left"/>
            </w:pPr>
            <w:r>
              <w:rPr>
                <w:color w:val="1F2937"/>
                <w:sz w:val="20"/>
                <w:szCs w:val="20"/>
              </w:rPr>
              <w:t xml:space="preserve">153(1)(b)</w:t>
            </w:r>
          </w:p>
        </w:tc>
        <w:tc>
          <w:tcPr>
            <w:tcW w:type="dxa" w:w="1215"/>
            <w:shd w:fill="FFFFFF" w:color="auto" w:val="clear"/>
            <w:tcMar>
              <w:top w:type="dxa" w:w="80"/>
              <w:left w:type="dxa" w:w="120"/>
              <w:bottom w:type="dxa" w:w="80"/>
              <w:right w:type="dxa" w:w="120"/>
            </w:tcMar>
          </w:tcPr>
          <w:p>
            <w:pPr>
              <w:jc w:val="left"/>
            </w:pPr>
            <w:r>
              <w:rPr>
                <w:color w:val="1F2937"/>
                <w:sz w:val="20"/>
                <w:szCs w:val="20"/>
              </w:rPr>
              <w:t xml:space="preserve">7%</w:t>
            </w:r>
          </w:p>
        </w:tc>
        <w:tc>
          <w:tcPr>
            <w:tcW w:type="dxa" w:w="1215"/>
            <w:shd w:fill="FFFFFF" w:color="auto" w:val="clear"/>
            <w:tcMar>
              <w:top w:type="dxa" w:w="80"/>
              <w:left w:type="dxa" w:w="120"/>
              <w:bottom w:type="dxa" w:w="80"/>
              <w:right w:type="dxa" w:w="120"/>
            </w:tcMar>
          </w:tcPr>
          <w:p>
            <w:pPr>
              <w:jc w:val="left"/>
            </w:pPr>
            <w:r>
              <w:rPr>
                <w:color w:val="1F2937"/>
                <w:sz w:val="20"/>
                <w:szCs w:val="20"/>
              </w:rPr>
              <w:t xml:space="preserve">7,000</w:t>
            </w:r>
          </w:p>
        </w:tc>
      </w:tr>
      <w:tr>
        <w:tc>
          <w:tcPr>
            <w:tcW w:type="dxa" w:w="2430"/>
            <w:shd w:fill="EFF6FF" w:color="auto" w:val="clear"/>
            <w:tcMar>
              <w:top w:type="dxa" w:w="80"/>
              <w:left w:type="dxa" w:w="120"/>
              <w:bottom w:type="dxa" w:w="80"/>
              <w:right w:type="dxa" w:w="120"/>
            </w:tcMar>
          </w:tcPr>
          <w:p>
            <w:pPr>
              <w:jc w:val="left"/>
            </w:pPr>
            <w:r>
              <w:rPr>
                <w:color w:val="1F2937"/>
                <w:sz w:val="20"/>
                <w:szCs w:val="20"/>
              </w:rPr>
              <w:t xml:space="preserve">XYZ Ltd</w:t>
            </w:r>
          </w:p>
        </w:tc>
        <w:tc>
          <w:tcPr>
            <w:tcW w:type="dxa" w:w="2430"/>
            <w:shd w:fill="EFF6FF" w:color="auto" w:val="clear"/>
            <w:tcMar>
              <w:top w:type="dxa" w:w="80"/>
              <w:left w:type="dxa" w:w="120"/>
              <w:bottom w:type="dxa" w:w="80"/>
              <w:right w:type="dxa" w:w="120"/>
            </w:tcMar>
          </w:tcPr>
          <w:p>
            <w:pPr>
              <w:jc w:val="left"/>
            </w:pPr>
            <w:r>
              <w:rPr>
                <w:color w:val="1F2937"/>
                <w:sz w:val="20"/>
                <w:szCs w:val="20"/>
              </w:rPr>
              <w:t xml:space="preserve">250,000</w:t>
            </w:r>
          </w:p>
        </w:tc>
        <w:tc>
          <w:tcPr>
            <w:tcW w:type="dxa" w:w="2430"/>
            <w:shd w:fill="EFF6FF" w:color="auto" w:val="clear"/>
            <w:tcMar>
              <w:top w:type="dxa" w:w="80"/>
              <w:left w:type="dxa" w:w="120"/>
              <w:bottom w:type="dxa" w:w="80"/>
              <w:right w:type="dxa" w:w="120"/>
            </w:tcMar>
          </w:tcPr>
          <w:p>
            <w:pPr>
              <w:jc w:val="left"/>
            </w:pPr>
            <w:r>
              <w:rPr>
                <w:color w:val="1F2937"/>
                <w:sz w:val="20"/>
                <w:szCs w:val="20"/>
              </w:rPr>
              <w:t xml:space="preserve">155(1)</w:t>
            </w:r>
          </w:p>
        </w:tc>
        <w:tc>
          <w:tcPr>
            <w:tcW w:type="dxa" w:w="1215"/>
            <w:shd w:fill="EFF6FF" w:color="auto" w:val="clear"/>
            <w:tcMar>
              <w:top w:type="dxa" w:w="80"/>
              <w:left w:type="dxa" w:w="120"/>
              <w:bottom w:type="dxa" w:w="80"/>
              <w:right w:type="dxa" w:w="120"/>
            </w:tcMar>
          </w:tcPr>
          <w:p>
            <w:pPr>
              <w:jc w:val="left"/>
            </w:pPr>
            <w:r>
              <w:rPr>
                <w:color w:val="1F2937"/>
                <w:sz w:val="20"/>
                <w:szCs w:val="20"/>
              </w:rPr>
              <w:t xml:space="preserve">10%</w:t>
            </w:r>
          </w:p>
        </w:tc>
        <w:tc>
          <w:tcPr>
            <w:tcW w:type="dxa" w:w="1215"/>
            <w:shd w:fill="EFF6FF" w:color="auto" w:val="clear"/>
            <w:tcMar>
              <w:top w:type="dxa" w:w="80"/>
              <w:left w:type="dxa" w:w="120"/>
              <w:bottom w:type="dxa" w:w="80"/>
              <w:right w:type="dxa" w:w="120"/>
            </w:tcMar>
          </w:tcPr>
          <w:p>
            <w:pPr>
              <w:jc w:val="left"/>
            </w:pPr>
            <w:r>
              <w:rPr>
                <w:color w:val="1F2937"/>
                <w:sz w:val="20"/>
                <w:szCs w:val="20"/>
              </w:rPr>
              <w:t xml:space="preserve">25,000</w:t>
            </w:r>
          </w:p>
        </w:tc>
      </w:tr>
    </w:tbl>
    <w:p>
      <w:pPr>
        <w:spacing w:after="100" w:before="100"/>
        <w:jc w:val="both"/>
      </w:pPr>
      <w:r>
        <w:rPr>
          <w:b w:val="false"/>
          <w:bCs w:val="false"/>
          <w:i w:val="false"/>
          <w:iCs w:val="false"/>
          <w:color w:val="1F2937"/>
          <w:sz w:val="22"/>
          <w:szCs w:val="22"/>
        </w:rPr>
        <w:t xml:space="preserve">Output can be exported as Excel or PDF.</w:t>
      </w:r>
    </w:p>
    <w:p>
      <w:pPr>
        <w:pStyle w:val="Heading2"/>
        <w:spacing w:after="120" w:before="280"/>
      </w:pPr>
      <w:r>
        <w:t xml:space="preserve">8.2 Sales Tax Return Module</w:t>
      </w:r>
    </w:p>
    <w:p>
      <w:pPr>
        <w:spacing w:after="100" w:before="80"/>
        <w:jc w:val="both"/>
      </w:pPr>
      <w:r>
        <w:rPr>
          <w:b w:val="false"/>
          <w:bCs w:val="false"/>
          <w:i w:val="false"/>
          <w:iCs w:val="false"/>
          <w:color w:val="1F2937"/>
          <w:sz w:val="22"/>
          <w:szCs w:val="22"/>
        </w:rPr>
        <w:t xml:space="preserve">Processes sales and purchase transactions to prepare sales tax return workbooks:</w:t>
      </w:r>
    </w:p>
    <w:p>
      <w:pPr>
        <w:pStyle w:val="ListParagraph"/>
        <w:numPr>
          <w:ilvl w:val="0"/>
          <w:numId w:val="3"/>
        </w:numPr>
        <w:spacing w:after="40" w:before="40"/>
      </w:pPr>
      <w:r>
        <w:rPr>
          <w:color w:val="374151"/>
          <w:sz w:val="22"/>
          <w:szCs w:val="22"/>
        </w:rPr>
        <w:t xml:space="preserve">Extract transaction data</w:t>
      </w:r>
    </w:p>
    <w:p>
      <w:pPr>
        <w:pStyle w:val="ListParagraph"/>
        <w:numPr>
          <w:ilvl w:val="0"/>
          <w:numId w:val="3"/>
        </w:numPr>
        <w:spacing w:after="40" w:before="40"/>
      </w:pPr>
      <w:r>
        <w:rPr>
          <w:color w:val="374151"/>
          <w:sz w:val="22"/>
          <w:szCs w:val="22"/>
        </w:rPr>
        <w:t xml:space="preserve">Identify relevant tax information</w:t>
      </w:r>
    </w:p>
    <w:p>
      <w:pPr>
        <w:pStyle w:val="ListParagraph"/>
        <w:numPr>
          <w:ilvl w:val="0"/>
          <w:numId w:val="3"/>
        </w:numPr>
        <w:spacing w:after="40" w:before="40"/>
      </w:pPr>
      <w:r>
        <w:rPr>
          <w:color w:val="374151"/>
          <w:sz w:val="22"/>
          <w:szCs w:val="22"/>
        </w:rPr>
        <w:t xml:space="preserve">Calculate applicable amounts</w:t>
      </w:r>
    </w:p>
    <w:p>
      <w:pPr>
        <w:pStyle w:val="ListParagraph"/>
        <w:numPr>
          <w:ilvl w:val="0"/>
          <w:numId w:val="3"/>
        </w:numPr>
        <w:spacing w:after="40" w:before="40"/>
      </w:pPr>
      <w:r>
        <w:rPr>
          <w:color w:val="374151"/>
          <w:sz w:val="22"/>
          <w:szCs w:val="22"/>
        </w:rPr>
        <w:t xml:space="preserve">Organise data per the supported return structure</w:t>
      </w:r>
    </w:p>
    <w:p>
      <w:pPr>
        <w:pStyle w:val="ListParagraph"/>
        <w:numPr>
          <w:ilvl w:val="0"/>
          <w:numId w:val="3"/>
        </w:numPr>
        <w:spacing w:after="40" w:before="40"/>
      </w:pPr>
      <w:r>
        <w:rPr>
          <w:color w:val="374151"/>
          <w:sz w:val="22"/>
          <w:szCs w:val="22"/>
        </w:rPr>
        <w:t xml:space="preserve">Generate draft Excel workbook for CA review</w:t>
      </w:r>
    </w:p>
    <w:p>
      <w:pPr>
        <w:spacing w:after="100" w:before="80"/>
        <w:jc w:val="both"/>
      </w:pPr>
      <w:r>
        <w:rPr>
          <w:b w:val="false"/>
          <w:bCs w:val="false"/>
          <w:i/>
          <w:iCs/>
          <w:color w:val="6B7280"/>
          <w:sz w:val="22"/>
          <w:szCs w:val="22"/>
        </w:rPr>
        <w:t xml:space="preserve">Returns are generated as draft / exportable files — not submitted to government portals.</w:t>
      </w:r>
    </w:p>
    <w:p>
      <w:pPr>
        <w:pStyle w:val="Heading2"/>
        <w:spacing w:after="120" w:before="280"/>
      </w:pPr>
      <w:r>
        <w:t xml:space="preserve">8.3 Bank Reconciliation Module</w:t>
      </w:r>
    </w:p>
    <w:p>
      <w:pPr>
        <w:spacing w:after="100" w:before="80"/>
        <w:jc w:val="both"/>
      </w:pPr>
      <w:r>
        <w:rPr>
          <w:b w:val="false"/>
          <w:bCs w:val="false"/>
          <w:i w:val="false"/>
          <w:iCs w:val="false"/>
          <w:color w:val="1F2937"/>
          <w:sz w:val="22"/>
          <w:szCs w:val="22"/>
        </w:rPr>
        <w:t xml:space="preserve">Compares bank statement transactions with available accounting records and identifies:</w:t>
      </w:r>
    </w:p>
    <w:p>
      <w:pPr>
        <w:pStyle w:val="ListParagraph"/>
        <w:numPr>
          <w:ilvl w:val="0"/>
          <w:numId w:val="2"/>
        </w:numPr>
        <w:spacing w:after="40" w:before="40"/>
      </w:pPr>
      <w:r>
        <w:rPr>
          <w:color w:val="374151"/>
          <w:sz w:val="22"/>
          <w:szCs w:val="22"/>
        </w:rPr>
        <w:t xml:space="preserve">Matched transactions</w:t>
      </w:r>
    </w:p>
    <w:p>
      <w:pPr>
        <w:pStyle w:val="ListParagraph"/>
        <w:numPr>
          <w:ilvl w:val="0"/>
          <w:numId w:val="2"/>
        </w:numPr>
        <w:spacing w:after="40" w:before="40"/>
      </w:pPr>
      <w:r>
        <w:rPr>
          <w:color w:val="374151"/>
          <w:sz w:val="22"/>
          <w:szCs w:val="22"/>
        </w:rPr>
        <w:t xml:space="preserve">Missing or unmatched transactions</w:t>
      </w:r>
    </w:p>
    <w:p>
      <w:pPr>
        <w:pStyle w:val="ListParagraph"/>
        <w:numPr>
          <w:ilvl w:val="0"/>
          <w:numId w:val="2"/>
        </w:numPr>
        <w:spacing w:after="40" w:before="40"/>
      </w:pPr>
      <w:r>
        <w:rPr>
          <w:color w:val="374151"/>
          <w:sz w:val="22"/>
          <w:szCs w:val="22"/>
        </w:rPr>
        <w:t xml:space="preserve">Possible duplicates</w:t>
      </w:r>
    </w:p>
    <w:p>
      <w:pPr>
        <w:pStyle w:val="ListParagraph"/>
        <w:numPr>
          <w:ilvl w:val="0"/>
          <w:numId w:val="2"/>
        </w:numPr>
        <w:spacing w:after="40" w:before="40"/>
      </w:pPr>
      <w:r>
        <w:rPr>
          <w:color w:val="374151"/>
          <w:sz w:val="22"/>
          <w:szCs w:val="22"/>
        </w:rPr>
        <w:t xml:space="preserve">Amount differences</w:t>
      </w:r>
    </w:p>
    <w:p>
      <w:pPr>
        <w:spacing w:after="100" w:before="80"/>
        <w:jc w:val="both"/>
      </w:pPr>
      <w:r>
        <w:rPr>
          <w:b w:val="false"/>
          <w:bCs w:val="false"/>
          <w:i w:val="false"/>
          <w:iCs w:val="false"/>
          <w:color w:val="1F2937"/>
          <w:sz w:val="22"/>
          <w:szCs w:val="22"/>
        </w:rPr>
        <w:t xml:space="preserve">Outputs a reconciliation report for professional review.</w:t>
      </w:r>
    </w:p>
    <w:p>
      <w:pPr>
        <w:pStyle w:val="Heading2"/>
        <w:spacing w:after="120" w:before="280"/>
      </w:pPr>
      <w:r>
        <w:t xml:space="preserve">8.4 Financial Statement Drafting Module</w:t>
      </w:r>
    </w:p>
    <w:p>
      <w:pPr>
        <w:spacing w:after="100" w:before="80"/>
        <w:jc w:val="both"/>
      </w:pPr>
      <w:r>
        <w:rPr>
          <w:b w:val="false"/>
          <w:bCs w:val="false"/>
          <w:i w:val="false"/>
          <w:iCs w:val="false"/>
          <w:color w:val="1F2937"/>
          <w:sz w:val="22"/>
          <w:szCs w:val="22"/>
        </w:rPr>
        <w:t xml:space="preserve">Generates draft financial statements from structured accounting data:</w:t>
      </w:r>
    </w:p>
    <w:p>
      <w:pPr>
        <w:pStyle w:val="ListParagraph"/>
        <w:numPr>
          <w:ilvl w:val="0"/>
          <w:numId w:val="2"/>
        </w:numPr>
        <w:spacing w:after="40" w:before="40"/>
      </w:pPr>
      <w:r>
        <w:rPr>
          <w:color w:val="374151"/>
          <w:sz w:val="22"/>
          <w:szCs w:val="22"/>
        </w:rPr>
        <w:t xml:space="preserve">Income statement</w:t>
      </w:r>
    </w:p>
    <w:p>
      <w:pPr>
        <w:pStyle w:val="ListParagraph"/>
        <w:numPr>
          <w:ilvl w:val="0"/>
          <w:numId w:val="2"/>
        </w:numPr>
        <w:spacing w:after="40" w:before="40"/>
      </w:pPr>
      <w:r>
        <w:rPr>
          <w:color w:val="374151"/>
          <w:sz w:val="22"/>
          <w:szCs w:val="22"/>
        </w:rPr>
        <w:t xml:space="preserve">Balance sheet / statement of financial position</w:t>
      </w:r>
    </w:p>
    <w:p>
      <w:pPr>
        <w:pStyle w:val="ListParagraph"/>
        <w:numPr>
          <w:ilvl w:val="0"/>
          <w:numId w:val="2"/>
        </w:numPr>
        <w:spacing w:after="40" w:before="40"/>
      </w:pPr>
      <w:r>
        <w:rPr>
          <w:color w:val="374151"/>
          <w:sz w:val="22"/>
          <w:szCs w:val="22"/>
        </w:rPr>
        <w:t xml:space="preserve">Supporting schedules and financial summaries</w:t>
      </w:r>
    </w:p>
    <w:p>
      <w:pPr>
        <w:spacing w:after="100" w:before="80"/>
        <w:jc w:val="both"/>
      </w:pPr>
      <w:r>
        <w:rPr>
          <w:b w:val="false"/>
          <w:bCs w:val="false"/>
          <w:i/>
          <w:iCs/>
          <w:color w:val="6B7280"/>
          <w:sz w:val="22"/>
          <w:szCs w:val="22"/>
        </w:rPr>
        <w:t xml:space="preserve">All generated statements are treated as draft outputs requiring professional review.</w:t>
      </w:r>
    </w:p>
    <w:p>
      <w:pPr>
        <w:pStyle w:val="Heading2"/>
        <w:spacing w:after="120" w:before="280"/>
      </w:pPr>
      <w:r>
        <w:t xml:space="preserve">8.5 Tax Communication Module</w:t>
      </w:r>
    </w:p>
    <w:p>
      <w:pPr>
        <w:spacing w:after="100" w:before="80"/>
        <w:jc w:val="both"/>
      </w:pPr>
      <w:r>
        <w:rPr>
          <w:b w:val="false"/>
          <w:bCs w:val="false"/>
          <w:i w:val="false"/>
          <w:iCs w:val="false"/>
          <w:color w:val="1F2937"/>
          <w:sz w:val="22"/>
          <w:szCs w:val="22"/>
        </w:rPr>
        <w:t xml:space="preserve">Assists practitioners in drafting professional responses to tax notices:</w:t>
      </w:r>
    </w:p>
    <w:p>
      <w:pPr>
        <w:shd w:fill="EFF6FF" w:color="auto" w:val="clear"/>
        <w:spacing w:after="0" w:before="0"/>
        <w:ind w:left="360"/>
      </w:pPr>
      <w:r>
        <w:rPr>
          <w:rFonts w:ascii="Courier New" w:cs="Courier New" w:eastAsia="Courier New" w:hAnsi="Courier New"/>
          <w:color w:val="1E40AF"/>
          <w:sz w:val="18"/>
          <w:szCs w:val="18"/>
        </w:rPr>
        <w:t xml:space="preserve">Tax Notice</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Relevant provisions retrieved through RAG</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Supporting evidence</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Draft response (with source references)</w:t>
      </w:r>
    </w:p>
    <w:p>
      <w:pPr>
        <w:shd w:fill="EFF6FF" w:color="auto" w:val="clear"/>
        <w:spacing w:after="0" w:before="0"/>
        <w:ind w:left="360"/>
      </w:pPr>
      <w:r>
        <w:rPr>
          <w:rFonts w:ascii="Courier New" w:cs="Courier New" w:eastAsia="Courier New" w:hAnsi="Courier New"/>
          <w:color w:val="1E40AF"/>
          <w:sz w:val="18"/>
          <w:szCs w:val="18"/>
        </w:rPr>
        <w:t xml:space="preserve">    ↓</w:t>
      </w:r>
    </w:p>
    <w:p>
      <w:pPr>
        <w:shd w:fill="EFF6FF" w:color="auto" w:val="clear"/>
        <w:spacing w:after="0" w:before="0"/>
        <w:ind w:left="360"/>
      </w:pPr>
      <w:r>
        <w:rPr>
          <w:rFonts w:ascii="Courier New" w:cs="Courier New" w:eastAsia="Courier New" w:hAnsi="Courier New"/>
          <w:color w:val="1E40AF"/>
          <w:sz w:val="18"/>
          <w:szCs w:val="18"/>
        </w:rPr>
        <w:t xml:space="preserve">CA review and editing</w:t>
      </w:r>
    </w:p>
    <w:p>
      <w:pPr>
        <w:pStyle w:val="Heading2"/>
        <w:spacing w:after="120" w:before="280"/>
      </w:pPr>
      <w:r>
        <w:t xml:space="preserve">8.6 Compliance Calendar</w:t>
      </w:r>
    </w:p>
    <w:p>
      <w:pPr>
        <w:spacing w:after="100" w:before="80"/>
        <w:jc w:val="both"/>
      </w:pPr>
      <w:r>
        <w:rPr>
          <w:b w:val="false"/>
          <w:bCs w:val="false"/>
          <w:i w:val="false"/>
          <w:iCs w:val="false"/>
          <w:color w:val="1F2937"/>
          <w:sz w:val="22"/>
          <w:szCs w:val="22"/>
        </w:rPr>
        <w:t xml:space="preserve">Maintains relevant compliance dates and provides:</w:t>
      </w:r>
    </w:p>
    <w:p>
      <w:pPr>
        <w:pStyle w:val="ListParagraph"/>
        <w:numPr>
          <w:ilvl w:val="0"/>
          <w:numId w:val="2"/>
        </w:numPr>
        <w:spacing w:after="40" w:before="40"/>
      </w:pPr>
      <w:r>
        <w:rPr>
          <w:color w:val="374151"/>
          <w:sz w:val="22"/>
          <w:szCs w:val="22"/>
        </w:rPr>
        <w:t xml:space="preserve">Filing and payment deadlines</w:t>
      </w:r>
    </w:p>
    <w:p>
      <w:pPr>
        <w:pStyle w:val="ListParagraph"/>
        <w:numPr>
          <w:ilvl w:val="0"/>
          <w:numId w:val="2"/>
        </w:numPr>
        <w:spacing w:after="40" w:before="40"/>
      </w:pPr>
      <w:r>
        <w:rPr>
          <w:color w:val="374151"/>
          <w:sz w:val="22"/>
          <w:szCs w:val="22"/>
        </w:rPr>
        <w:t xml:space="preserve">Tax obligation reminders</w:t>
      </w:r>
    </w:p>
    <w:p>
      <w:pPr>
        <w:pStyle w:val="ListParagraph"/>
        <w:numPr>
          <w:ilvl w:val="0"/>
          <w:numId w:val="2"/>
        </w:numPr>
        <w:spacing w:after="40" w:before="40"/>
      </w:pPr>
      <w:r>
        <w:rPr>
          <w:color w:val="374151"/>
          <w:sz w:val="22"/>
          <w:szCs w:val="22"/>
        </w:rPr>
        <w:t xml:space="preserve">Upcoming compliance activity summaries</w:t>
      </w:r>
    </w:p>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9. Proposed Technology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16"/>
        <w:gridCol w:w="6804"/>
      </w:tblGrid>
      <w:tr>
        <w:trPr>
          <w:tblHeader/>
        </w:trPr>
        <w:tc>
          <w:tcPr>
            <w:tcW w:type="dxa" w:w="2916"/>
            <w:shd w:fill="1B3A6B" w:color="auto" w:val="clear"/>
            <w:tcMar>
              <w:top w:type="dxa" w:w="80"/>
              <w:left w:type="dxa" w:w="120"/>
              <w:bottom w:type="dxa" w:w="80"/>
              <w:right w:type="dxa" w:w="120"/>
            </w:tcMar>
          </w:tcPr>
          <w:p>
            <w:pPr>
              <w:jc w:val="center"/>
            </w:pPr>
            <w:r>
              <w:rPr>
                <w:b/>
                <w:bCs/>
                <w:color w:val="FFFFFF"/>
                <w:sz w:val="20"/>
                <w:szCs w:val="20"/>
              </w:rPr>
              <w:t xml:space="preserve">Layer</w:t>
            </w:r>
          </w:p>
        </w:tc>
        <w:tc>
          <w:tcPr>
            <w:tcW w:type="dxa" w:w="6804"/>
            <w:shd w:fill="1B3A6B" w:color="auto" w:val="clear"/>
            <w:tcMar>
              <w:top w:type="dxa" w:w="80"/>
              <w:left w:type="dxa" w:w="120"/>
              <w:bottom w:type="dxa" w:w="80"/>
              <w:right w:type="dxa" w:w="120"/>
            </w:tcMar>
          </w:tcPr>
          <w:p>
            <w:pPr>
              <w:jc w:val="center"/>
            </w:pPr>
            <w:r>
              <w:rPr>
                <w:b/>
                <w:bCs/>
                <w:color w:val="FFFFFF"/>
                <w:sz w:val="20"/>
                <w:szCs w:val="20"/>
              </w:rPr>
              <w:t xml:space="preserve">Technologies</w:t>
            </w:r>
          </w:p>
        </w:tc>
      </w:tr>
      <w:tr>
        <w:tc>
          <w:tcPr>
            <w:tcW w:type="dxa" w:w="2916"/>
            <w:shd w:fill="EFF6FF" w:color="auto" w:val="clear"/>
            <w:tcMar>
              <w:top w:type="dxa" w:w="80"/>
              <w:left w:type="dxa" w:w="120"/>
              <w:bottom w:type="dxa" w:w="80"/>
              <w:right w:type="dxa" w:w="120"/>
            </w:tcMar>
          </w:tcPr>
          <w:p>
            <w:pPr>
              <w:jc w:val="left"/>
            </w:pPr>
            <w:r>
              <w:rPr>
                <w:color w:val="1F2937"/>
                <w:sz w:val="20"/>
                <w:szCs w:val="20"/>
              </w:rPr>
              <w:t xml:space="preserve">Frontend</w:t>
            </w:r>
          </w:p>
        </w:tc>
        <w:tc>
          <w:tcPr>
            <w:tcW w:type="dxa" w:w="6804"/>
            <w:shd w:fill="EFF6FF" w:color="auto" w:val="clear"/>
            <w:tcMar>
              <w:top w:type="dxa" w:w="80"/>
              <w:left w:type="dxa" w:w="120"/>
              <w:bottom w:type="dxa" w:w="80"/>
              <w:right w:type="dxa" w:w="120"/>
            </w:tcMar>
          </w:tcPr>
          <w:p>
            <w:pPr>
              <w:jc w:val="left"/>
            </w:pPr>
            <w:r>
              <w:rPr>
                <w:color w:val="1F2937"/>
                <w:sz w:val="20"/>
                <w:szCs w:val="20"/>
              </w:rPr>
              <w:t xml:space="preserve">React, TypeScript</w:t>
            </w:r>
          </w:p>
        </w:tc>
      </w:tr>
      <w:tr>
        <w:tc>
          <w:tcPr>
            <w:tcW w:type="dxa" w:w="2916"/>
            <w:shd w:fill="FFFFFF" w:color="auto" w:val="clear"/>
            <w:tcMar>
              <w:top w:type="dxa" w:w="80"/>
              <w:left w:type="dxa" w:w="120"/>
              <w:bottom w:type="dxa" w:w="80"/>
              <w:right w:type="dxa" w:w="120"/>
            </w:tcMar>
          </w:tcPr>
          <w:p>
            <w:pPr>
              <w:jc w:val="left"/>
            </w:pPr>
            <w:r>
              <w:rPr>
                <w:color w:val="1F2937"/>
                <w:sz w:val="20"/>
                <w:szCs w:val="20"/>
              </w:rPr>
              <w:t xml:space="preserve">Backend</w:t>
            </w:r>
          </w:p>
        </w:tc>
        <w:tc>
          <w:tcPr>
            <w:tcW w:type="dxa" w:w="6804"/>
            <w:shd w:fill="FFFFFF" w:color="auto" w:val="clear"/>
            <w:tcMar>
              <w:top w:type="dxa" w:w="80"/>
              <w:left w:type="dxa" w:w="120"/>
              <w:bottom w:type="dxa" w:w="80"/>
              <w:right w:type="dxa" w:w="120"/>
            </w:tcMar>
          </w:tcPr>
          <w:p>
            <w:pPr>
              <w:jc w:val="left"/>
            </w:pPr>
            <w:r>
              <w:rPr>
                <w:color w:val="1F2937"/>
                <w:sz w:val="20"/>
                <w:szCs w:val="20"/>
              </w:rPr>
              <w:t xml:space="preserve">Python, FastAPI</w:t>
            </w:r>
          </w:p>
        </w:tc>
      </w:tr>
      <w:tr>
        <w:tc>
          <w:tcPr>
            <w:tcW w:type="dxa" w:w="2916"/>
            <w:shd w:fill="EFF6FF" w:color="auto" w:val="clear"/>
            <w:tcMar>
              <w:top w:type="dxa" w:w="80"/>
              <w:left w:type="dxa" w:w="120"/>
              <w:bottom w:type="dxa" w:w="80"/>
              <w:right w:type="dxa" w:w="120"/>
            </w:tcMar>
          </w:tcPr>
          <w:p>
            <w:pPr>
              <w:jc w:val="left"/>
            </w:pPr>
            <w:r>
              <w:rPr>
                <w:color w:val="1F2937"/>
                <w:sz w:val="20"/>
                <w:szCs w:val="20"/>
              </w:rPr>
              <w:t xml:space="preserve">AI / RAG</w:t>
            </w:r>
          </w:p>
        </w:tc>
        <w:tc>
          <w:tcPr>
            <w:tcW w:type="dxa" w:w="6804"/>
            <w:shd w:fill="EFF6FF" w:color="auto" w:val="clear"/>
            <w:tcMar>
              <w:top w:type="dxa" w:w="80"/>
              <w:left w:type="dxa" w:w="120"/>
              <w:bottom w:type="dxa" w:w="80"/>
              <w:right w:type="dxa" w:w="120"/>
            </w:tcMar>
          </w:tcPr>
          <w:p>
            <w:pPr>
              <w:jc w:val="left"/>
            </w:pPr>
            <w:r>
              <w:rPr>
                <w:color w:val="1F2937"/>
                <w:sz w:val="20"/>
                <w:szCs w:val="20"/>
              </w:rPr>
              <w:t xml:space="preserve">LangChain, LangGraph, Embedding Model, BM25, FAISS / Chroma, LLM API</w:t>
            </w:r>
          </w:p>
        </w:tc>
      </w:tr>
      <w:tr>
        <w:tc>
          <w:tcPr>
            <w:tcW w:type="dxa" w:w="2916"/>
            <w:shd w:fill="FFFFFF" w:color="auto" w:val="clear"/>
            <w:tcMar>
              <w:top w:type="dxa" w:w="80"/>
              <w:left w:type="dxa" w:w="120"/>
              <w:bottom w:type="dxa" w:w="80"/>
              <w:right w:type="dxa" w:w="120"/>
            </w:tcMar>
          </w:tcPr>
          <w:p>
            <w:pPr>
              <w:jc w:val="left"/>
            </w:pPr>
            <w:r>
              <w:rPr>
                <w:color w:val="1F2937"/>
                <w:sz w:val="20"/>
                <w:szCs w:val="20"/>
              </w:rPr>
              <w:t xml:space="preserve">Database</w:t>
            </w:r>
          </w:p>
        </w:tc>
        <w:tc>
          <w:tcPr>
            <w:tcW w:type="dxa" w:w="6804"/>
            <w:shd w:fill="FFFFFF" w:color="auto" w:val="clear"/>
            <w:tcMar>
              <w:top w:type="dxa" w:w="80"/>
              <w:left w:type="dxa" w:w="120"/>
              <w:bottom w:type="dxa" w:w="80"/>
              <w:right w:type="dxa" w:w="120"/>
            </w:tcMar>
          </w:tcPr>
          <w:p>
            <w:pPr>
              <w:jc w:val="left"/>
            </w:pPr>
            <w:r>
              <w:rPr>
                <w:color w:val="1F2937"/>
                <w:sz w:val="20"/>
                <w:szCs w:val="20"/>
              </w:rPr>
              <w:t xml:space="preserve">PostgreSQL</w:t>
            </w:r>
          </w:p>
        </w:tc>
      </w:tr>
      <w:tr>
        <w:tc>
          <w:tcPr>
            <w:tcW w:type="dxa" w:w="2916"/>
            <w:shd w:fill="EFF6FF" w:color="auto" w:val="clear"/>
            <w:tcMar>
              <w:top w:type="dxa" w:w="80"/>
              <w:left w:type="dxa" w:w="120"/>
              <w:bottom w:type="dxa" w:w="80"/>
              <w:right w:type="dxa" w:w="120"/>
            </w:tcMar>
          </w:tcPr>
          <w:p>
            <w:pPr>
              <w:jc w:val="left"/>
            </w:pPr>
            <w:r>
              <w:rPr>
                <w:color w:val="1F2937"/>
                <w:sz w:val="20"/>
                <w:szCs w:val="20"/>
              </w:rPr>
              <w:t xml:space="preserve">Document Processing</w:t>
            </w:r>
          </w:p>
        </w:tc>
        <w:tc>
          <w:tcPr>
            <w:tcW w:type="dxa" w:w="6804"/>
            <w:shd w:fill="EFF6FF" w:color="auto" w:val="clear"/>
            <w:tcMar>
              <w:top w:type="dxa" w:w="80"/>
              <w:left w:type="dxa" w:w="120"/>
              <w:bottom w:type="dxa" w:w="80"/>
              <w:right w:type="dxa" w:w="120"/>
            </w:tcMar>
          </w:tcPr>
          <w:p>
            <w:pPr>
              <w:jc w:val="left"/>
            </w:pPr>
            <w:r>
              <w:rPr>
                <w:color w:val="1F2937"/>
                <w:sz w:val="20"/>
                <w:szCs w:val="20"/>
              </w:rPr>
              <w:t xml:space="preserve">PDF extraction, OCR, Excel processing</w:t>
            </w:r>
          </w:p>
        </w:tc>
      </w:tr>
      <w:tr>
        <w:tc>
          <w:tcPr>
            <w:tcW w:type="dxa" w:w="2916"/>
            <w:shd w:fill="FFFFFF" w:color="auto" w:val="clear"/>
            <w:tcMar>
              <w:top w:type="dxa" w:w="80"/>
              <w:left w:type="dxa" w:w="120"/>
              <w:bottom w:type="dxa" w:w="80"/>
              <w:right w:type="dxa" w:w="120"/>
            </w:tcMar>
          </w:tcPr>
          <w:p>
            <w:pPr>
              <w:jc w:val="left"/>
            </w:pPr>
            <w:r>
              <w:rPr>
                <w:color w:val="1F2937"/>
                <w:sz w:val="20"/>
                <w:szCs w:val="20"/>
              </w:rPr>
              <w:t xml:space="preserve">Output Generation</w:t>
            </w:r>
          </w:p>
        </w:tc>
        <w:tc>
          <w:tcPr>
            <w:tcW w:type="dxa" w:w="6804"/>
            <w:shd w:fill="FFFFFF" w:color="auto" w:val="clear"/>
            <w:tcMar>
              <w:top w:type="dxa" w:w="80"/>
              <w:left w:type="dxa" w:w="120"/>
              <w:bottom w:type="dxa" w:w="80"/>
              <w:right w:type="dxa" w:w="120"/>
            </w:tcMar>
          </w:tcPr>
          <w:p>
            <w:pPr>
              <w:jc w:val="left"/>
            </w:pPr>
            <w:r>
              <w:rPr>
                <w:color w:val="1F2937"/>
                <w:sz w:val="20"/>
                <w:szCs w:val="20"/>
              </w:rPr>
              <w:t xml:space="preserve">Excel, PDF, JSON</w:t>
            </w:r>
          </w:p>
        </w:tc>
      </w:tr>
      <w:tr>
        <w:tc>
          <w:tcPr>
            <w:tcW w:type="dxa" w:w="2916"/>
            <w:shd w:fill="EFF6FF" w:color="auto" w:val="clear"/>
            <w:tcMar>
              <w:top w:type="dxa" w:w="80"/>
              <w:left w:type="dxa" w:w="120"/>
              <w:bottom w:type="dxa" w:w="80"/>
              <w:right w:type="dxa" w:w="120"/>
            </w:tcMar>
          </w:tcPr>
          <w:p>
            <w:pPr>
              <w:jc w:val="left"/>
            </w:pPr>
            <w:r>
              <w:rPr>
                <w:color w:val="1F2937"/>
                <w:sz w:val="20"/>
                <w:szCs w:val="20"/>
              </w:rPr>
              <w:t xml:space="preserve">Evaluation</w:t>
            </w:r>
          </w:p>
        </w:tc>
        <w:tc>
          <w:tcPr>
            <w:tcW w:type="dxa" w:w="6804"/>
            <w:shd w:fill="EFF6FF" w:color="auto" w:val="clear"/>
            <w:tcMar>
              <w:top w:type="dxa" w:w="80"/>
              <w:left w:type="dxa" w:w="120"/>
              <w:bottom w:type="dxa" w:w="80"/>
              <w:right w:type="dxa" w:w="120"/>
            </w:tcMar>
          </w:tcPr>
          <w:p>
            <w:pPr>
              <w:jc w:val="left"/>
            </w:pPr>
            <w:r>
              <w:rPr>
                <w:color w:val="1F2937"/>
                <w:sz w:val="20"/>
                <w:szCs w:val="20"/>
              </w:rPr>
              <w:t xml:space="preserve">LangSmith (or equivalent), Python testing framework</w:t>
            </w:r>
          </w:p>
        </w:tc>
      </w:tr>
    </w:tbl>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10. Evaluation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2916"/>
      </w:tblGrid>
      <w:tr>
        <w:trPr>
          <w:tblHeader/>
        </w:trPr>
        <w:tc>
          <w:tcPr>
            <w:tcW w:type="dxa" w:w="3402"/>
            <w:shd w:fill="1B3A6B" w:color="auto" w:val="clear"/>
            <w:tcMar>
              <w:top w:type="dxa" w:w="80"/>
              <w:left w:type="dxa" w:w="120"/>
              <w:bottom w:type="dxa" w:w="80"/>
              <w:right w:type="dxa" w:w="120"/>
            </w:tcMar>
          </w:tcPr>
          <w:p>
            <w:pPr>
              <w:jc w:val="center"/>
            </w:pPr>
            <w:r>
              <w:rPr>
                <w:b/>
                <w:bCs/>
                <w:color w:val="FFFFFF"/>
                <w:sz w:val="20"/>
                <w:szCs w:val="20"/>
              </w:rPr>
              <w:t xml:space="preserve">Module</w:t>
            </w:r>
          </w:p>
        </w:tc>
        <w:tc>
          <w:tcPr>
            <w:tcW w:type="dxa" w:w="3402"/>
            <w:shd w:fill="1B3A6B" w:color="auto" w:val="clear"/>
            <w:tcMar>
              <w:top w:type="dxa" w:w="80"/>
              <w:left w:type="dxa" w:w="120"/>
              <w:bottom w:type="dxa" w:w="80"/>
              <w:right w:type="dxa" w:w="120"/>
            </w:tcMar>
          </w:tcPr>
          <w:p>
            <w:pPr>
              <w:jc w:val="center"/>
            </w:pPr>
            <w:r>
              <w:rPr>
                <w:b/>
                <w:bCs/>
                <w:color w:val="FFFFFF"/>
                <w:sz w:val="20"/>
                <w:szCs w:val="20"/>
              </w:rPr>
              <w:t xml:space="preserve">Metrics</w:t>
            </w:r>
          </w:p>
        </w:tc>
        <w:tc>
          <w:tcPr>
            <w:tcW w:type="dxa" w:w="2916"/>
            <w:shd w:fill="1B3A6B" w:color="auto" w:val="clear"/>
            <w:tcMar>
              <w:top w:type="dxa" w:w="80"/>
              <w:left w:type="dxa" w:w="120"/>
              <w:bottom w:type="dxa" w:w="80"/>
              <w:right w:type="dxa" w:w="120"/>
            </w:tcMar>
          </w:tcPr>
          <w:p>
            <w:pPr>
              <w:jc w:val="center"/>
            </w:pPr>
            <w:r>
              <w:rPr>
                <w:b/>
                <w:bCs/>
                <w:color w:val="FFFFFF"/>
                <w:sz w:val="20"/>
                <w:szCs w:val="20"/>
              </w:rPr>
              <w:t xml:space="preserve">Target</w:t>
            </w:r>
          </w:p>
        </w:tc>
      </w:tr>
      <w:tr>
        <w:tc>
          <w:tcPr>
            <w:tcW w:type="dxa" w:w="3402"/>
            <w:shd w:fill="EFF6FF" w:color="auto" w:val="clear"/>
            <w:tcMar>
              <w:top w:type="dxa" w:w="80"/>
              <w:left w:type="dxa" w:w="120"/>
              <w:bottom w:type="dxa" w:w="80"/>
              <w:right w:type="dxa" w:w="120"/>
            </w:tcMar>
          </w:tcPr>
          <w:p>
            <w:pPr>
              <w:jc w:val="left"/>
            </w:pPr>
            <w:r>
              <w:rPr>
                <w:color w:val="1F2937"/>
                <w:sz w:val="20"/>
                <w:szCs w:val="20"/>
              </w:rPr>
              <w:t xml:space="preserve">Document Extraction</w:t>
            </w:r>
          </w:p>
        </w:tc>
        <w:tc>
          <w:tcPr>
            <w:tcW w:type="dxa" w:w="3402"/>
            <w:shd w:fill="EFF6FF" w:color="auto" w:val="clear"/>
            <w:tcMar>
              <w:top w:type="dxa" w:w="80"/>
              <w:left w:type="dxa" w:w="120"/>
              <w:bottom w:type="dxa" w:w="80"/>
              <w:right w:type="dxa" w:w="120"/>
            </w:tcMar>
          </w:tcPr>
          <w:p>
            <w:pPr>
              <w:jc w:val="left"/>
            </w:pPr>
            <w:r>
              <w:rPr>
                <w:color w:val="1F2937"/>
                <w:sz w:val="20"/>
                <w:szCs w:val="20"/>
              </w:rPr>
              <w:t xml:space="preserve">Field extraction accuracy</w:t>
            </w:r>
          </w:p>
        </w:tc>
        <w:tc>
          <w:tcPr>
            <w:tcW w:type="dxa" w:w="2916"/>
            <w:shd w:fill="EFF6FF" w:color="auto" w:val="clear"/>
            <w:tcMar>
              <w:top w:type="dxa" w:w="80"/>
              <w:left w:type="dxa" w:w="120"/>
              <w:bottom w:type="dxa" w:w="80"/>
              <w:right w:type="dxa" w:w="120"/>
            </w:tcMar>
          </w:tcPr>
          <w:p>
            <w:pPr>
              <w:jc w:val="left"/>
            </w:pPr>
            <w:r>
              <w:rPr>
                <w:color w:val="1F2937"/>
                <w:sz w:val="20"/>
                <w:szCs w:val="20"/>
              </w:rPr>
              <w:t xml:space="preserve">≥ 90%</w:t>
            </w:r>
          </w:p>
        </w:tc>
      </w:tr>
      <w:tr>
        <w:tc>
          <w:tcPr>
            <w:tcW w:type="dxa" w:w="3402"/>
            <w:shd w:fill="FFFFFF" w:color="auto" w:val="clear"/>
            <w:tcMar>
              <w:top w:type="dxa" w:w="80"/>
              <w:left w:type="dxa" w:w="120"/>
              <w:bottom w:type="dxa" w:w="80"/>
              <w:right w:type="dxa" w:w="120"/>
            </w:tcMar>
          </w:tcPr>
          <w:p>
            <w:pPr>
              <w:jc w:val="left"/>
            </w:pPr>
            <w:r>
              <w:rPr>
                <w:color w:val="1F2937"/>
                <w:sz w:val="20"/>
                <w:szCs w:val="20"/>
              </w:rPr>
              <w:t xml:space="preserve">Tax Calculation</w:t>
            </w:r>
          </w:p>
        </w:tc>
        <w:tc>
          <w:tcPr>
            <w:tcW w:type="dxa" w:w="3402"/>
            <w:shd w:fill="FFFFFF" w:color="auto" w:val="clear"/>
            <w:tcMar>
              <w:top w:type="dxa" w:w="80"/>
              <w:left w:type="dxa" w:w="120"/>
              <w:bottom w:type="dxa" w:w="80"/>
              <w:right w:type="dxa" w:w="120"/>
            </w:tcMar>
          </w:tcPr>
          <w:p>
            <w:pPr>
              <w:jc w:val="left"/>
            </w:pPr>
            <w:r>
              <w:rPr>
                <w:color w:val="1F2937"/>
                <w:sz w:val="20"/>
                <w:szCs w:val="20"/>
              </w:rPr>
              <w:t xml:space="preserve">Accuracy on test cases</w:t>
            </w:r>
          </w:p>
        </w:tc>
        <w:tc>
          <w:tcPr>
            <w:tcW w:type="dxa" w:w="2916"/>
            <w:shd w:fill="FFFFFF" w:color="auto" w:val="clear"/>
            <w:tcMar>
              <w:top w:type="dxa" w:w="80"/>
              <w:left w:type="dxa" w:w="120"/>
              <w:bottom w:type="dxa" w:w="80"/>
              <w:right w:type="dxa" w:w="120"/>
            </w:tcMar>
          </w:tcPr>
          <w:p>
            <w:pPr>
              <w:jc w:val="left"/>
            </w:pPr>
            <w:r>
              <w:rPr>
                <w:color w:val="1F2937"/>
                <w:sz w:val="20"/>
                <w:szCs w:val="20"/>
              </w:rPr>
              <w:t xml:space="preserve">≥ 95%</w:t>
            </w:r>
          </w:p>
        </w:tc>
      </w:tr>
      <w:tr>
        <w:tc>
          <w:tcPr>
            <w:tcW w:type="dxa" w:w="3402"/>
            <w:shd w:fill="EFF6FF" w:color="auto" w:val="clear"/>
            <w:tcMar>
              <w:top w:type="dxa" w:w="80"/>
              <w:left w:type="dxa" w:w="120"/>
              <w:bottom w:type="dxa" w:w="80"/>
              <w:right w:type="dxa" w:w="120"/>
            </w:tcMar>
          </w:tcPr>
          <w:p>
            <w:pPr>
              <w:jc w:val="left"/>
            </w:pPr>
            <w:r>
              <w:rPr>
                <w:color w:val="1F2937"/>
                <w:sz w:val="20"/>
                <w:szCs w:val="20"/>
              </w:rPr>
              <w:t xml:space="preserve">Tax Retrieval</w:t>
            </w:r>
          </w:p>
        </w:tc>
        <w:tc>
          <w:tcPr>
            <w:tcW w:type="dxa" w:w="3402"/>
            <w:shd w:fill="EFF6FF" w:color="auto" w:val="clear"/>
            <w:tcMar>
              <w:top w:type="dxa" w:w="80"/>
              <w:left w:type="dxa" w:w="120"/>
              <w:bottom w:type="dxa" w:w="80"/>
              <w:right w:type="dxa" w:w="120"/>
            </w:tcMar>
          </w:tcPr>
          <w:p>
            <w:pPr>
              <w:jc w:val="left"/>
            </w:pPr>
            <w:r>
              <w:rPr>
                <w:color w:val="1F2937"/>
                <w:sz w:val="20"/>
                <w:szCs w:val="20"/>
              </w:rPr>
              <w:t xml:space="preserve">Precision@K, Recall@K, MRR, Citation accuracy</w:t>
            </w:r>
          </w:p>
        </w:tc>
        <w:tc>
          <w:tcPr>
            <w:tcW w:type="dxa" w:w="2916"/>
            <w:shd w:fill="EFF6FF" w:color="auto" w:val="clear"/>
            <w:tcMar>
              <w:top w:type="dxa" w:w="80"/>
              <w:left w:type="dxa" w:w="120"/>
              <w:bottom w:type="dxa" w:w="80"/>
              <w:right w:type="dxa" w:w="120"/>
            </w:tcMar>
          </w:tcPr>
          <w:p>
            <w:pPr>
              <w:jc w:val="left"/>
            </w:pPr>
            <w:r>
              <w:rPr>
                <w:color w:val="1F2937"/>
                <w:sz w:val="20"/>
                <w:szCs w:val="20"/>
              </w:rPr>
              <w:t xml:space="preserve">Baseline comparison</w:t>
            </w:r>
          </w:p>
        </w:tc>
      </w:tr>
      <w:tr>
        <w:tc>
          <w:tcPr>
            <w:tcW w:type="dxa" w:w="3402"/>
            <w:shd w:fill="FFFFFF" w:color="auto" w:val="clear"/>
            <w:tcMar>
              <w:top w:type="dxa" w:w="80"/>
              <w:left w:type="dxa" w:w="120"/>
              <w:bottom w:type="dxa" w:w="80"/>
              <w:right w:type="dxa" w:w="120"/>
            </w:tcMar>
          </w:tcPr>
          <w:p>
            <w:pPr>
              <w:jc w:val="left"/>
            </w:pPr>
            <w:r>
              <w:rPr>
                <w:color w:val="1F2937"/>
                <w:sz w:val="20"/>
                <w:szCs w:val="20"/>
              </w:rPr>
              <w:t xml:space="preserve">Sales Tax Output</w:t>
            </w:r>
          </w:p>
        </w:tc>
        <w:tc>
          <w:tcPr>
            <w:tcW w:type="dxa" w:w="3402"/>
            <w:shd w:fill="FFFFFF" w:color="auto" w:val="clear"/>
            <w:tcMar>
              <w:top w:type="dxa" w:w="80"/>
              <w:left w:type="dxa" w:w="120"/>
              <w:bottom w:type="dxa" w:w="80"/>
              <w:right w:type="dxa" w:w="120"/>
            </w:tcMar>
          </w:tcPr>
          <w:p>
            <w:pPr>
              <w:jc w:val="left"/>
            </w:pPr>
            <w:r>
              <w:rPr>
                <w:color w:val="1F2937"/>
                <w:sz w:val="20"/>
                <w:szCs w:val="20"/>
              </w:rPr>
              <w:t xml:space="preserve">Accuracy on test cases</w:t>
            </w:r>
          </w:p>
        </w:tc>
        <w:tc>
          <w:tcPr>
            <w:tcW w:type="dxa" w:w="2916"/>
            <w:shd w:fill="FFFFFF" w:color="auto" w:val="clear"/>
            <w:tcMar>
              <w:top w:type="dxa" w:w="80"/>
              <w:left w:type="dxa" w:w="120"/>
              <w:bottom w:type="dxa" w:w="80"/>
              <w:right w:type="dxa" w:w="120"/>
            </w:tcMar>
          </w:tcPr>
          <w:p>
            <w:pPr>
              <w:jc w:val="left"/>
            </w:pPr>
            <w:r>
              <w:rPr>
                <w:color w:val="1F2937"/>
                <w:sz w:val="20"/>
                <w:szCs w:val="20"/>
              </w:rPr>
              <w:t xml:space="preserve">≥ 95%</w:t>
            </w:r>
          </w:p>
        </w:tc>
      </w:tr>
      <w:tr>
        <w:tc>
          <w:tcPr>
            <w:tcW w:type="dxa" w:w="3402"/>
            <w:shd w:fill="EFF6FF" w:color="auto" w:val="clear"/>
            <w:tcMar>
              <w:top w:type="dxa" w:w="80"/>
              <w:left w:type="dxa" w:w="120"/>
              <w:bottom w:type="dxa" w:w="80"/>
              <w:right w:type="dxa" w:w="120"/>
            </w:tcMar>
          </w:tcPr>
          <w:p>
            <w:pPr>
              <w:jc w:val="left"/>
            </w:pPr>
            <w:r>
              <w:rPr>
                <w:color w:val="1F2937"/>
                <w:sz w:val="20"/>
                <w:szCs w:val="20"/>
              </w:rPr>
              <w:t xml:space="preserve">Bank Reconciliation</w:t>
            </w:r>
          </w:p>
        </w:tc>
        <w:tc>
          <w:tcPr>
            <w:tcW w:type="dxa" w:w="3402"/>
            <w:shd w:fill="EFF6FF" w:color="auto" w:val="clear"/>
            <w:tcMar>
              <w:top w:type="dxa" w:w="80"/>
              <w:left w:type="dxa" w:w="120"/>
              <w:bottom w:type="dxa" w:w="80"/>
              <w:right w:type="dxa" w:w="120"/>
            </w:tcMar>
          </w:tcPr>
          <w:p>
            <w:pPr>
              <w:jc w:val="left"/>
            </w:pPr>
            <w:r>
              <w:rPr>
                <w:color w:val="1F2937"/>
                <w:sz w:val="20"/>
                <w:szCs w:val="20"/>
              </w:rPr>
              <w:t xml:space="preserve">Matching accuracy</w:t>
            </w:r>
          </w:p>
        </w:tc>
        <w:tc>
          <w:tcPr>
            <w:tcW w:type="dxa" w:w="2916"/>
            <w:shd w:fill="EFF6FF" w:color="auto" w:val="clear"/>
            <w:tcMar>
              <w:top w:type="dxa" w:w="80"/>
              <w:left w:type="dxa" w:w="120"/>
              <w:bottom w:type="dxa" w:w="80"/>
              <w:right w:type="dxa" w:w="120"/>
            </w:tcMar>
          </w:tcPr>
          <w:p>
            <w:pPr>
              <w:jc w:val="left"/>
            </w:pPr>
            <w:r>
              <w:rPr>
                <w:color w:val="1F2937"/>
                <w:sz w:val="20"/>
                <w:szCs w:val="20"/>
              </w:rPr>
              <w:t xml:space="preserve">≥ 98%</w:t>
            </w:r>
          </w:p>
        </w:tc>
      </w:tr>
      <w:tr>
        <w:tc>
          <w:tcPr>
            <w:tcW w:type="dxa" w:w="3402"/>
            <w:shd w:fill="FFFFFF" w:color="auto" w:val="clear"/>
            <w:tcMar>
              <w:top w:type="dxa" w:w="80"/>
              <w:left w:type="dxa" w:w="120"/>
              <w:bottom w:type="dxa" w:w="80"/>
              <w:right w:type="dxa" w:w="120"/>
            </w:tcMar>
          </w:tcPr>
          <w:p>
            <w:pPr>
              <w:jc w:val="left"/>
            </w:pPr>
            <w:r>
              <w:rPr>
                <w:color w:val="1F2937"/>
                <w:sz w:val="20"/>
                <w:szCs w:val="20"/>
              </w:rPr>
              <w:t xml:space="preserve">Overall Usability</w:t>
            </w:r>
          </w:p>
        </w:tc>
        <w:tc>
          <w:tcPr>
            <w:tcW w:type="dxa" w:w="3402"/>
            <w:shd w:fill="FFFFFF" w:color="auto" w:val="clear"/>
            <w:tcMar>
              <w:top w:type="dxa" w:w="80"/>
              <w:left w:type="dxa" w:w="120"/>
              <w:bottom w:type="dxa" w:w="80"/>
              <w:right w:type="dxa" w:w="120"/>
            </w:tcMar>
          </w:tcPr>
          <w:p>
            <w:pPr>
              <w:jc w:val="left"/>
            </w:pPr>
            <w:r>
              <w:rPr>
                <w:color w:val="1F2937"/>
                <w:sz w:val="20"/>
                <w:szCs w:val="20"/>
              </w:rPr>
              <w:t xml:space="preserve">Time saved, steps reduced, user feedback</w:t>
            </w:r>
          </w:p>
        </w:tc>
        <w:tc>
          <w:tcPr>
            <w:tcW w:type="dxa" w:w="2916"/>
            <w:shd w:fill="FFFFFF" w:color="auto" w:val="clear"/>
            <w:tcMar>
              <w:top w:type="dxa" w:w="80"/>
              <w:left w:type="dxa" w:w="120"/>
              <w:bottom w:type="dxa" w:w="80"/>
              <w:right w:type="dxa" w:w="120"/>
            </w:tcMar>
          </w:tcPr>
          <w:p>
            <w:pPr>
              <w:jc w:val="left"/>
            </w:pPr>
            <w:r>
              <w:rPr>
                <w:color w:val="1F2937"/>
                <w:sz w:val="20"/>
                <w:szCs w:val="20"/>
              </w:rPr>
              <w:t xml:space="preserve">Practitioner study</w:t>
            </w:r>
          </w:p>
        </w:tc>
      </w:tr>
    </w:tbl>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11. Risks &amp; Mitigations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2"/>
        <w:gridCol w:w="6318"/>
      </w:tblGrid>
      <w:tr>
        <w:trPr>
          <w:tblHeader/>
        </w:trPr>
        <w:tc>
          <w:tcPr>
            <w:tcW w:type="dxa" w:w="3402"/>
            <w:shd w:fill="1B3A6B" w:color="auto" w:val="clear"/>
            <w:tcMar>
              <w:top w:type="dxa" w:w="80"/>
              <w:left w:type="dxa" w:w="120"/>
              <w:bottom w:type="dxa" w:w="80"/>
              <w:right w:type="dxa" w:w="120"/>
            </w:tcMar>
          </w:tcPr>
          <w:p>
            <w:pPr>
              <w:jc w:val="center"/>
            </w:pPr>
            <w:r>
              <w:rPr>
                <w:b/>
                <w:bCs/>
                <w:color w:val="FFFFFF"/>
                <w:sz w:val="20"/>
                <w:szCs w:val="20"/>
              </w:rPr>
              <w:t xml:space="preserve">Risk</w:t>
            </w:r>
          </w:p>
        </w:tc>
        <w:tc>
          <w:tcPr>
            <w:tcW w:type="dxa" w:w="6318"/>
            <w:shd w:fill="1B3A6B" w:color="auto" w:val="clear"/>
            <w:tcMar>
              <w:top w:type="dxa" w:w="80"/>
              <w:left w:type="dxa" w:w="120"/>
              <w:bottom w:type="dxa" w:w="80"/>
              <w:right w:type="dxa" w:w="120"/>
            </w:tcMar>
          </w:tcPr>
          <w:p>
            <w:pPr>
              <w:jc w:val="center"/>
            </w:pPr>
            <w:r>
              <w:rPr>
                <w:b/>
                <w:bCs/>
                <w:color w:val="FFFFFF"/>
                <w:sz w:val="20"/>
                <w:szCs w:val="20"/>
              </w:rPr>
              <w:t xml:space="preserve">Mitigation</w:t>
            </w:r>
          </w:p>
        </w:tc>
      </w:tr>
      <w:tr>
        <w:tc>
          <w:tcPr>
            <w:tcW w:type="dxa" w:w="3402"/>
            <w:shd w:fill="EFF6FF" w:color="auto" w:val="clear"/>
            <w:tcMar>
              <w:top w:type="dxa" w:w="80"/>
              <w:left w:type="dxa" w:w="120"/>
              <w:bottom w:type="dxa" w:w="80"/>
              <w:right w:type="dxa" w:w="120"/>
            </w:tcMar>
          </w:tcPr>
          <w:p>
            <w:pPr>
              <w:jc w:val="left"/>
            </w:pPr>
            <w:r>
              <w:rPr>
                <w:color w:val="1F2937"/>
                <w:sz w:val="20"/>
                <w:szCs w:val="20"/>
              </w:rPr>
              <w:t xml:space="preserve">Incorrect Tax Rule Retrieval</w:t>
            </w:r>
          </w:p>
        </w:tc>
        <w:tc>
          <w:tcPr>
            <w:tcW w:type="dxa" w:w="6318"/>
            <w:shd w:fill="EFF6FF" w:color="auto" w:val="clear"/>
            <w:tcMar>
              <w:top w:type="dxa" w:w="80"/>
              <w:left w:type="dxa" w:w="120"/>
              <w:bottom w:type="dxa" w:w="80"/>
              <w:right w:type="dxa" w:w="120"/>
            </w:tcMar>
          </w:tcPr>
          <w:p>
            <w:pPr>
              <w:jc w:val="left"/>
            </w:pPr>
            <w:r>
              <w:rPr>
                <w:color w:val="1F2937"/>
                <w:sz w:val="20"/>
                <w:szCs w:val="20"/>
              </w:rPr>
              <w:t xml:space="preserve">Hybrid retrieval, metadata filtering, source citations, human review</w:t>
            </w:r>
          </w:p>
        </w:tc>
      </w:tr>
      <w:tr>
        <w:tc>
          <w:tcPr>
            <w:tcW w:type="dxa" w:w="3402"/>
            <w:shd w:fill="FFFFFF" w:color="auto" w:val="clear"/>
            <w:tcMar>
              <w:top w:type="dxa" w:w="80"/>
              <w:left w:type="dxa" w:w="120"/>
              <w:bottom w:type="dxa" w:w="80"/>
              <w:right w:type="dxa" w:w="120"/>
            </w:tcMar>
          </w:tcPr>
          <w:p>
            <w:pPr>
              <w:jc w:val="left"/>
            </w:pPr>
            <w:r>
              <w:rPr>
                <w:color w:val="1F2937"/>
                <w:sz w:val="20"/>
                <w:szCs w:val="20"/>
              </w:rPr>
              <w:t xml:space="preserve">Incorrect Tax Calculation</w:t>
            </w:r>
          </w:p>
        </w:tc>
        <w:tc>
          <w:tcPr>
            <w:tcW w:type="dxa" w:w="6318"/>
            <w:shd w:fill="FFFFFF" w:color="auto" w:val="clear"/>
            <w:tcMar>
              <w:top w:type="dxa" w:w="80"/>
              <w:left w:type="dxa" w:w="120"/>
              <w:bottom w:type="dxa" w:w="80"/>
              <w:right w:type="dxa" w:w="120"/>
            </w:tcMar>
          </w:tcPr>
          <w:p>
            <w:pPr>
              <w:jc w:val="left"/>
            </w:pPr>
            <w:r>
              <w:rPr>
                <w:color w:val="1F2937"/>
                <w:sz w:val="20"/>
                <w:szCs w:val="20"/>
              </w:rPr>
              <w:t xml:space="preserve">Deterministic calculation engine; LLM not used for final arithmetic</w:t>
            </w:r>
          </w:p>
        </w:tc>
      </w:tr>
      <w:tr>
        <w:tc>
          <w:tcPr>
            <w:tcW w:type="dxa" w:w="3402"/>
            <w:shd w:fill="EFF6FF" w:color="auto" w:val="clear"/>
            <w:tcMar>
              <w:top w:type="dxa" w:w="80"/>
              <w:left w:type="dxa" w:w="120"/>
              <w:bottom w:type="dxa" w:w="80"/>
              <w:right w:type="dxa" w:w="120"/>
            </w:tcMar>
          </w:tcPr>
          <w:p>
            <w:pPr>
              <w:jc w:val="left"/>
            </w:pPr>
            <w:r>
              <w:rPr>
                <w:color w:val="1F2937"/>
                <w:sz w:val="20"/>
                <w:szCs w:val="20"/>
              </w:rPr>
              <w:t xml:space="preserve">OCR Errors</w:t>
            </w:r>
          </w:p>
        </w:tc>
        <w:tc>
          <w:tcPr>
            <w:tcW w:type="dxa" w:w="6318"/>
            <w:shd w:fill="EFF6FF" w:color="auto" w:val="clear"/>
            <w:tcMar>
              <w:top w:type="dxa" w:w="80"/>
              <w:left w:type="dxa" w:w="120"/>
              <w:bottom w:type="dxa" w:w="80"/>
              <w:right w:type="dxa" w:w="120"/>
            </w:tcMar>
          </w:tcPr>
          <w:p>
            <w:pPr>
              <w:jc w:val="left"/>
            </w:pPr>
            <w:r>
              <w:rPr>
                <w:color w:val="1F2937"/>
                <w:sz w:val="20"/>
                <w:szCs w:val="20"/>
              </w:rPr>
              <w:t xml:space="preserve">Validation rules and user review of extracted information</w:t>
            </w:r>
          </w:p>
        </w:tc>
      </w:tr>
      <w:tr>
        <w:tc>
          <w:tcPr>
            <w:tcW w:type="dxa" w:w="3402"/>
            <w:shd w:fill="FFFFFF" w:color="auto" w:val="clear"/>
            <w:tcMar>
              <w:top w:type="dxa" w:w="80"/>
              <w:left w:type="dxa" w:w="120"/>
              <w:bottom w:type="dxa" w:w="80"/>
              <w:right w:type="dxa" w:w="120"/>
            </w:tcMar>
          </w:tcPr>
          <w:p>
            <w:pPr>
              <w:jc w:val="left"/>
            </w:pPr>
            <w:r>
              <w:rPr>
                <w:color w:val="1F2937"/>
                <w:sz w:val="20"/>
                <w:szCs w:val="20"/>
              </w:rPr>
              <w:t xml:space="preserve">Regulatory Changes</w:t>
            </w:r>
          </w:p>
        </w:tc>
        <w:tc>
          <w:tcPr>
            <w:tcW w:type="dxa" w:w="6318"/>
            <w:shd w:fill="FFFFFF" w:color="auto" w:val="clear"/>
            <w:tcMar>
              <w:top w:type="dxa" w:w="80"/>
              <w:left w:type="dxa" w:w="120"/>
              <w:bottom w:type="dxa" w:w="80"/>
              <w:right w:type="dxa" w:w="120"/>
            </w:tcMar>
          </w:tcPr>
          <w:p>
            <w:pPr>
              <w:jc w:val="left"/>
            </w:pPr>
            <w:r>
              <w:rPr>
                <w:color w:val="1F2937"/>
                <w:sz w:val="20"/>
                <w:szCs w:val="20"/>
              </w:rPr>
              <w:t xml:space="preserve">Source/version metadata; knowledge base updatable without system rebuild</w:t>
            </w:r>
          </w:p>
        </w:tc>
      </w:tr>
      <w:tr>
        <w:tc>
          <w:tcPr>
            <w:tcW w:type="dxa" w:w="3402"/>
            <w:shd w:fill="EFF6FF" w:color="auto" w:val="clear"/>
            <w:tcMar>
              <w:top w:type="dxa" w:w="80"/>
              <w:left w:type="dxa" w:w="120"/>
              <w:bottom w:type="dxa" w:w="80"/>
              <w:right w:type="dxa" w:w="120"/>
            </w:tcMar>
          </w:tcPr>
          <w:p>
            <w:pPr>
              <w:jc w:val="left"/>
            </w:pPr>
            <w:r>
              <w:rPr>
                <w:color w:val="1F2937"/>
                <w:sz w:val="20"/>
                <w:szCs w:val="20"/>
              </w:rPr>
              <w:t xml:space="preserve">Scope Creep</w:t>
            </w:r>
          </w:p>
        </w:tc>
        <w:tc>
          <w:tcPr>
            <w:tcW w:type="dxa" w:w="6318"/>
            <w:shd w:fill="EFF6FF" w:color="auto" w:val="clear"/>
            <w:tcMar>
              <w:top w:type="dxa" w:w="80"/>
              <w:left w:type="dxa" w:w="120"/>
              <w:bottom w:type="dxa" w:w="80"/>
              <w:right w:type="dxa" w:w="120"/>
            </w:tcMar>
          </w:tcPr>
          <w:p>
            <w:pPr>
              <w:jc w:val="left"/>
            </w:pPr>
            <w:r>
              <w:rPr>
                <w:color w:val="1F2937"/>
                <w:sz w:val="20"/>
                <w:szCs w:val="20"/>
              </w:rPr>
              <w:t xml:space="preserve">Limit initial implementation to clearly defined tax domains and workflows</w:t>
            </w:r>
          </w:p>
        </w:tc>
      </w:tr>
    </w:tbl>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12. Proposed Timeline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58"/>
        <w:gridCol w:w="8262"/>
      </w:tblGrid>
      <w:tr>
        <w:trPr>
          <w:tblHeader/>
        </w:trPr>
        <w:tc>
          <w:tcPr>
            <w:tcW w:type="dxa" w:w="1458"/>
            <w:shd w:fill="1B3A6B" w:color="auto" w:val="clear"/>
            <w:tcMar>
              <w:top w:type="dxa" w:w="80"/>
              <w:left w:type="dxa" w:w="120"/>
              <w:bottom w:type="dxa" w:w="80"/>
              <w:right w:type="dxa" w:w="120"/>
            </w:tcMar>
          </w:tcPr>
          <w:p>
            <w:pPr>
              <w:jc w:val="center"/>
            </w:pPr>
            <w:r>
              <w:rPr>
                <w:b/>
                <w:bCs/>
                <w:color w:val="FFFFFF"/>
                <w:sz w:val="20"/>
                <w:szCs w:val="20"/>
              </w:rPr>
              <w:t xml:space="preserve">Month</w:t>
            </w:r>
          </w:p>
        </w:tc>
        <w:tc>
          <w:tcPr>
            <w:tcW w:type="dxa" w:w="8262"/>
            <w:shd w:fill="1B3A6B" w:color="auto" w:val="clear"/>
            <w:tcMar>
              <w:top w:type="dxa" w:w="80"/>
              <w:left w:type="dxa" w:w="120"/>
              <w:bottom w:type="dxa" w:w="80"/>
              <w:right w:type="dxa" w:w="120"/>
            </w:tcMar>
          </w:tcPr>
          <w:p>
            <w:pPr>
              <w:jc w:val="center"/>
            </w:pPr>
            <w:r>
              <w:rPr>
                <w:b/>
                <w:bCs/>
                <w:color w:val="FFFFFF"/>
                <w:sz w:val="20"/>
                <w:szCs w:val="20"/>
              </w:rPr>
              <w:t xml:space="preserve">Deliverables</w:t>
            </w:r>
          </w:p>
        </w:tc>
      </w:tr>
      <w:tr>
        <w:tc>
          <w:tcPr>
            <w:tcW w:type="dxa" w:w="1458"/>
            <w:shd w:fill="EFF6FF" w:color="auto" w:val="clear"/>
            <w:tcMar>
              <w:top w:type="dxa" w:w="80"/>
              <w:left w:type="dxa" w:w="120"/>
              <w:bottom w:type="dxa" w:w="80"/>
              <w:right w:type="dxa" w:w="120"/>
            </w:tcMar>
          </w:tcPr>
          <w:p>
            <w:pPr>
              <w:jc w:val="left"/>
            </w:pPr>
            <w:r>
              <w:rPr>
                <w:color w:val="1F2937"/>
                <w:sz w:val="20"/>
                <w:szCs w:val="20"/>
              </w:rPr>
              <w:t xml:space="preserve">Month 1</w:t>
            </w:r>
          </w:p>
        </w:tc>
        <w:tc>
          <w:tcPr>
            <w:tcW w:type="dxa" w:w="8262"/>
            <w:shd w:fill="EFF6FF" w:color="auto" w:val="clear"/>
            <w:tcMar>
              <w:top w:type="dxa" w:w="80"/>
              <w:left w:type="dxa" w:w="120"/>
              <w:bottom w:type="dxa" w:w="80"/>
              <w:right w:type="dxa" w:w="120"/>
            </w:tcMar>
          </w:tcPr>
          <w:p>
            <w:pPr>
              <w:jc w:val="left"/>
            </w:pPr>
            <w:r>
              <w:rPr>
                <w:color w:val="1F2937"/>
                <w:sz w:val="20"/>
                <w:szCs w:val="20"/>
              </w:rPr>
              <w:t xml:space="preserve">Requirement analysis · Tax-domain selection · Dataset/source collection · Database design · Basic frontend/backend setup</w:t>
            </w:r>
          </w:p>
        </w:tc>
      </w:tr>
      <w:tr>
        <w:tc>
          <w:tcPr>
            <w:tcW w:type="dxa" w:w="1458"/>
            <w:shd w:fill="FFFFFF" w:color="auto" w:val="clear"/>
            <w:tcMar>
              <w:top w:type="dxa" w:w="80"/>
              <w:left w:type="dxa" w:w="120"/>
              <w:bottom w:type="dxa" w:w="80"/>
              <w:right w:type="dxa" w:w="120"/>
            </w:tcMar>
          </w:tcPr>
          <w:p>
            <w:pPr>
              <w:jc w:val="left"/>
            </w:pPr>
            <w:r>
              <w:rPr>
                <w:color w:val="1F2937"/>
                <w:sz w:val="20"/>
                <w:szCs w:val="20"/>
              </w:rPr>
              <w:t xml:space="preserve">Month 2</w:t>
            </w:r>
          </w:p>
        </w:tc>
        <w:tc>
          <w:tcPr>
            <w:tcW w:type="dxa" w:w="8262"/>
            <w:shd w:fill="FFFFFF" w:color="auto" w:val="clear"/>
            <w:tcMar>
              <w:top w:type="dxa" w:w="80"/>
              <w:left w:type="dxa" w:w="120"/>
              <w:bottom w:type="dxa" w:w="80"/>
              <w:right w:type="dxa" w:w="120"/>
            </w:tcMar>
          </w:tcPr>
          <w:p>
            <w:pPr>
              <w:jc w:val="left"/>
            </w:pPr>
            <w:r>
              <w:rPr>
                <w:color w:val="1F2937"/>
                <w:sz w:val="20"/>
                <w:szCs w:val="20"/>
              </w:rPr>
              <w:t xml:space="preserve">Document extraction · OCR/Excel processing · Transaction classification · Initial tax-law knowledge base</w:t>
            </w:r>
          </w:p>
        </w:tc>
      </w:tr>
      <w:tr>
        <w:tc>
          <w:tcPr>
            <w:tcW w:type="dxa" w:w="1458"/>
            <w:shd w:fill="EFF6FF" w:color="auto" w:val="clear"/>
            <w:tcMar>
              <w:top w:type="dxa" w:w="80"/>
              <w:left w:type="dxa" w:w="120"/>
              <w:bottom w:type="dxa" w:w="80"/>
              <w:right w:type="dxa" w:w="120"/>
            </w:tcMar>
          </w:tcPr>
          <w:p>
            <w:pPr>
              <w:jc w:val="left"/>
            </w:pPr>
            <w:r>
              <w:rPr>
                <w:color w:val="1F2937"/>
                <w:sz w:val="20"/>
                <w:szCs w:val="20"/>
              </w:rPr>
              <w:t xml:space="preserve">Month 3</w:t>
            </w:r>
          </w:p>
        </w:tc>
        <w:tc>
          <w:tcPr>
            <w:tcW w:type="dxa" w:w="8262"/>
            <w:shd w:fill="EFF6FF" w:color="auto" w:val="clear"/>
            <w:tcMar>
              <w:top w:type="dxa" w:w="80"/>
              <w:left w:type="dxa" w:w="120"/>
              <w:bottom w:type="dxa" w:w="80"/>
              <w:right w:type="dxa" w:w="120"/>
            </w:tcMar>
          </w:tcPr>
          <w:p>
            <w:pPr>
              <w:jc w:val="left"/>
            </w:pPr>
            <w:r>
              <w:rPr>
                <w:color w:val="1F2937"/>
                <w:sz w:val="20"/>
                <w:szCs w:val="20"/>
              </w:rPr>
              <w:t xml:space="preserve">Hybrid RAG implementation · Tax calculation engine · Withholding tax module · Evidence/citation system</w:t>
            </w:r>
          </w:p>
        </w:tc>
      </w:tr>
      <w:tr>
        <w:tc>
          <w:tcPr>
            <w:tcW w:type="dxa" w:w="1458"/>
            <w:shd w:fill="FFFFFF" w:color="auto" w:val="clear"/>
            <w:tcMar>
              <w:top w:type="dxa" w:w="80"/>
              <w:left w:type="dxa" w:w="120"/>
              <w:bottom w:type="dxa" w:w="80"/>
              <w:right w:type="dxa" w:w="120"/>
            </w:tcMar>
          </w:tcPr>
          <w:p>
            <w:pPr>
              <w:jc w:val="left"/>
            </w:pPr>
            <w:r>
              <w:rPr>
                <w:color w:val="1F2937"/>
                <w:sz w:val="20"/>
                <w:szCs w:val="20"/>
              </w:rPr>
              <w:t xml:space="preserve">Month 4</w:t>
            </w:r>
          </w:p>
        </w:tc>
        <w:tc>
          <w:tcPr>
            <w:tcW w:type="dxa" w:w="8262"/>
            <w:shd w:fill="FFFFFF" w:color="auto" w:val="clear"/>
            <w:tcMar>
              <w:top w:type="dxa" w:w="80"/>
              <w:left w:type="dxa" w:w="120"/>
              <w:bottom w:type="dxa" w:w="80"/>
              <w:right w:type="dxa" w:w="120"/>
            </w:tcMar>
          </w:tcPr>
          <w:p>
            <w:pPr>
              <w:jc w:val="left"/>
            </w:pPr>
            <w:r>
              <w:rPr>
                <w:color w:val="1F2937"/>
                <w:sz w:val="20"/>
                <w:szCs w:val="20"/>
              </w:rPr>
              <w:t xml:space="preserve">Sales tax return generation · Bank reconciliation · Financial statement drafting · Communication module · Compliance calendar</w:t>
            </w:r>
          </w:p>
        </w:tc>
      </w:tr>
      <w:tr>
        <w:tc>
          <w:tcPr>
            <w:tcW w:type="dxa" w:w="1458"/>
            <w:shd w:fill="EFF6FF" w:color="auto" w:val="clear"/>
            <w:tcMar>
              <w:top w:type="dxa" w:w="80"/>
              <w:left w:type="dxa" w:w="120"/>
              <w:bottom w:type="dxa" w:w="80"/>
              <w:right w:type="dxa" w:w="120"/>
            </w:tcMar>
          </w:tcPr>
          <w:p>
            <w:pPr>
              <w:jc w:val="left"/>
            </w:pPr>
            <w:r>
              <w:rPr>
                <w:color w:val="1F2937"/>
                <w:sz w:val="20"/>
                <w:szCs w:val="20"/>
              </w:rPr>
              <w:t xml:space="preserve">Month 5</w:t>
            </w:r>
          </w:p>
        </w:tc>
        <w:tc>
          <w:tcPr>
            <w:tcW w:type="dxa" w:w="8262"/>
            <w:shd w:fill="EFF6FF" w:color="auto" w:val="clear"/>
            <w:tcMar>
              <w:top w:type="dxa" w:w="80"/>
              <w:left w:type="dxa" w:w="120"/>
              <w:bottom w:type="dxa" w:w="80"/>
              <w:right w:type="dxa" w:w="120"/>
            </w:tcMar>
          </w:tcPr>
          <w:p>
            <w:pPr>
              <w:jc w:val="left"/>
            </w:pPr>
            <w:r>
              <w:rPr>
                <w:color w:val="1F2937"/>
                <w:sz w:val="20"/>
                <w:szCs w:val="20"/>
              </w:rPr>
              <w:t xml:space="preserve">Integration · Testing · Evaluation · Performance improvements · Documentation · Final deployment and demonstration</w:t>
            </w:r>
          </w:p>
        </w:tc>
      </w:tr>
    </w:tbl>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13. Scope Limitations</w:t>
      </w:r>
    </w:p>
    <w:p>
      <w:pPr>
        <w:pStyle w:val="ListParagraph"/>
        <w:numPr>
          <w:ilvl w:val="0"/>
          <w:numId w:val="2"/>
        </w:numPr>
        <w:spacing w:after="40" w:before="40"/>
      </w:pPr>
      <w:r>
        <w:rPr>
          <w:color w:val="374151"/>
          <w:sz w:val="22"/>
          <w:szCs w:val="22"/>
        </w:rPr>
        <w:t xml:space="preserve">The system will support a defined subset of Pakistani tax regulations — not all laws and regulations.</w:t>
      </w:r>
    </w:p>
    <w:p>
      <w:pPr>
        <w:pStyle w:val="ListParagraph"/>
        <w:numPr>
          <w:ilvl w:val="0"/>
          <w:numId w:val="2"/>
        </w:numPr>
        <w:spacing w:after="40" w:before="40"/>
      </w:pPr>
      <w:r>
        <w:rPr>
          <w:color w:val="374151"/>
          <w:sz w:val="22"/>
          <w:szCs w:val="22"/>
        </w:rPr>
        <w:t xml:space="preserve">Generated tax returns will be prepared as draft/exportable files rather than directly submitted to government portals.</w:t>
      </w:r>
    </w:p>
    <w:p>
      <w:pPr>
        <w:pStyle w:val="ListParagraph"/>
        <w:numPr>
          <w:ilvl w:val="0"/>
          <w:numId w:val="2"/>
        </w:numPr>
        <w:spacing w:after="40" w:before="40"/>
      </w:pPr>
      <w:r>
        <w:rPr>
          <w:color w:val="374151"/>
          <w:sz w:val="22"/>
          <w:szCs w:val="22"/>
        </w:rPr>
        <w:t xml:space="preserve">AI-generated outputs require professional review and cannot replace a qualified CA or tax practitioner.</w:t>
      </w:r>
    </w:p>
    <w:p>
      <w:pPr>
        <w:pStyle w:val="ListParagraph"/>
        <w:numPr>
          <w:ilvl w:val="0"/>
          <w:numId w:val="2"/>
        </w:numPr>
        <w:spacing w:after="40" w:before="40"/>
      </w:pPr>
      <w:r>
        <w:rPr>
          <w:color w:val="374151"/>
          <w:sz w:val="22"/>
          <w:szCs w:val="22"/>
        </w:rPr>
        <w:t xml:space="preserve">Advanced legal reasoning and fully autonomous tax decision-making are outside the initial scope.</w:t>
      </w:r>
    </w:p>
    <w:p>
      <w:pPr>
        <w:pStyle w:val="ListParagraph"/>
        <w:numPr>
          <w:ilvl w:val="0"/>
          <w:numId w:val="2"/>
        </w:numPr>
        <w:spacing w:after="40" w:before="40"/>
      </w:pPr>
      <w:r>
        <w:rPr>
          <w:color w:val="374151"/>
          <w:sz w:val="22"/>
          <w:szCs w:val="22"/>
        </w:rPr>
        <w:t xml:space="preserve">The initial version will prioritise federal income/withholding tax and selected sales-tax workflows.</w:t>
      </w:r>
    </w:p>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14. Novelty &amp; Contribution</w:t>
      </w:r>
    </w:p>
    <w:p>
      <w:pPr>
        <w:spacing w:after="100" w:before="80"/>
        <w:jc w:val="both"/>
      </w:pPr>
      <w:r>
        <w:rPr>
          <w:b w:val="false"/>
          <w:bCs w:val="false"/>
          <w:i w:val="false"/>
          <w:iCs w:val="false"/>
          <w:color w:val="1F2937"/>
          <w:sz w:val="22"/>
          <w:szCs w:val="22"/>
        </w:rPr>
        <w:t xml:space="preserve">CA Copilot combines several capabilities into a single workflow:</w:t>
      </w:r>
    </w:p>
    <w:p>
      <w:pPr>
        <w:pBdr>
          <w:left w:val="thick" w:color="2563EB" w:sz="6"/>
        </w:pBdr>
        <w:shd w:fill="EFF6FF" w:color="auto" w:val="clear"/>
        <w:spacing w:after="160" w:before="160"/>
        <w:ind w:left="360" w:right="360"/>
      </w:pPr>
      <w:r>
        <w:rPr>
          <w:i/>
          <w:iCs/>
          <w:color w:val="1B3A6B"/>
          <w:sz w:val="22"/>
          <w:szCs w:val="22"/>
        </w:rPr>
        <w:t xml:space="preserve">Financial Document Intelligence + Hybrid Tax-Law Retrieval + Deterministic Tax Calculation + Compliance Document Generation</w:t>
      </w:r>
    </w:p>
    <w:p>
      <w:pPr>
        <w:spacing w:after="100" w:before="80"/>
        <w:jc w:val="both"/>
      </w:pPr>
      <w:r>
        <w:rPr>
          <w:b w:val="false"/>
          <w:bCs w:val="false"/>
          <w:i w:val="false"/>
          <w:iCs w:val="false"/>
          <w:color w:val="1F2937"/>
          <w:sz w:val="22"/>
          <w:szCs w:val="22"/>
        </w:rPr>
        <w:t xml:space="preserve">The primary technical contribution is the integration of hybrid information retrieval into Pakistani tax compliance workflows, allowing the system to retrieve relevant legal provisions using both exact legal terminology and semantic similarity while presenting the supporting evidence to the practitioner.</w:t>
      </w:r>
    </w:p>
    <w:p>
      <w:pPr>
        <w:spacing w:after="100" w:before="80"/>
        <w:jc w:val="both"/>
      </w:pPr>
      <w:r>
        <w:rPr>
          <w:b w:val="false"/>
          <w:bCs w:val="false"/>
          <w:i w:val="false"/>
          <w:iCs w:val="false"/>
          <w:color w:val="1F2937"/>
          <w:sz w:val="22"/>
          <w:szCs w:val="22"/>
        </w:rPr>
        <w:t xml:space="preserve">Rather than treating the LLM as the source of tax truth, the system separates retrieval, rule identification, and deterministic calculation — making results transparent, testable, and suitable for professional review.</w:t>
      </w:r>
    </w:p>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15. Expected Outcomes</w:t>
      </w:r>
    </w:p>
    <w:p>
      <w:pPr>
        <w:spacing w:after="100" w:before="80"/>
        <w:jc w:val="both"/>
      </w:pPr>
      <w:r>
        <w:rPr>
          <w:b w:val="false"/>
          <w:bCs w:val="false"/>
          <w:i w:val="false"/>
          <w:iCs w:val="false"/>
          <w:color w:val="1F2937"/>
          <w:sz w:val="22"/>
          <w:szCs w:val="22"/>
        </w:rPr>
        <w:t xml:space="preserve">At the end of the project, the team expects to deliver:</w:t>
      </w:r>
    </w:p>
    <w:p>
      <w:pPr>
        <w:pStyle w:val="ListParagraph"/>
        <w:numPr>
          <w:ilvl w:val="0"/>
          <w:numId w:val="3"/>
        </w:numPr>
        <w:spacing w:after="40" w:before="40"/>
      </w:pPr>
      <w:r>
        <w:rPr>
          <w:color w:val="374151"/>
          <w:sz w:val="22"/>
          <w:szCs w:val="22"/>
        </w:rPr>
        <w:t xml:space="preserve">A functional web-based CA Copilot application</w:t>
      </w:r>
    </w:p>
    <w:p>
      <w:pPr>
        <w:pStyle w:val="ListParagraph"/>
        <w:numPr>
          <w:ilvl w:val="0"/>
          <w:numId w:val="3"/>
        </w:numPr>
        <w:spacing w:after="40" w:before="40"/>
      </w:pPr>
      <w:r>
        <w:rPr>
          <w:color w:val="374151"/>
          <w:sz w:val="22"/>
          <w:szCs w:val="22"/>
        </w:rPr>
        <w:t xml:space="preserve">A document extraction pipeline for supported financial documents</w:t>
      </w:r>
    </w:p>
    <w:p>
      <w:pPr>
        <w:pStyle w:val="ListParagraph"/>
        <w:numPr>
          <w:ilvl w:val="0"/>
          <w:numId w:val="3"/>
        </w:numPr>
        <w:spacing w:after="40" w:before="40"/>
      </w:pPr>
      <w:r>
        <w:rPr>
          <w:color w:val="374151"/>
          <w:sz w:val="22"/>
          <w:szCs w:val="22"/>
        </w:rPr>
        <w:t xml:space="preserve">A hybrid tax-law retrieval system</w:t>
      </w:r>
    </w:p>
    <w:p>
      <w:pPr>
        <w:pStyle w:val="ListParagraph"/>
        <w:numPr>
          <w:ilvl w:val="0"/>
          <w:numId w:val="3"/>
        </w:numPr>
        <w:spacing w:after="40" w:before="40"/>
      </w:pPr>
      <w:r>
        <w:rPr>
          <w:color w:val="374151"/>
          <w:sz w:val="22"/>
          <w:szCs w:val="22"/>
        </w:rPr>
        <w:t xml:space="preserve">A searchable Pakistani tax-law knowledge base</w:t>
      </w:r>
    </w:p>
    <w:p>
      <w:pPr>
        <w:pStyle w:val="ListParagraph"/>
        <w:numPr>
          <w:ilvl w:val="0"/>
          <w:numId w:val="3"/>
        </w:numPr>
        <w:spacing w:after="40" w:before="40"/>
      </w:pPr>
      <w:r>
        <w:rPr>
          <w:color w:val="374151"/>
          <w:sz w:val="22"/>
          <w:szCs w:val="22"/>
        </w:rPr>
        <w:t xml:space="preserve">A deterministic tax calculation engine</w:t>
      </w:r>
    </w:p>
    <w:p>
      <w:pPr>
        <w:pStyle w:val="ListParagraph"/>
        <w:numPr>
          <w:ilvl w:val="0"/>
          <w:numId w:val="3"/>
        </w:numPr>
        <w:spacing w:after="40" w:before="40"/>
      </w:pPr>
      <w:r>
        <w:rPr>
          <w:color w:val="374151"/>
          <w:sz w:val="22"/>
          <w:szCs w:val="22"/>
        </w:rPr>
        <w:t xml:space="preserve">Automated withholding tax schedules</w:t>
      </w:r>
    </w:p>
    <w:p>
      <w:pPr>
        <w:pStyle w:val="ListParagraph"/>
        <w:numPr>
          <w:ilvl w:val="0"/>
          <w:numId w:val="3"/>
        </w:numPr>
        <w:spacing w:after="40" w:before="40"/>
      </w:pPr>
      <w:r>
        <w:rPr>
          <w:color w:val="374151"/>
          <w:sz w:val="22"/>
          <w:szCs w:val="22"/>
        </w:rPr>
        <w:t xml:space="preserve">Sales tax return workbooks for the supported scope</w:t>
      </w:r>
    </w:p>
    <w:p>
      <w:pPr>
        <w:pStyle w:val="ListParagraph"/>
        <w:numPr>
          <w:ilvl w:val="0"/>
          <w:numId w:val="3"/>
        </w:numPr>
        <w:spacing w:after="40" w:before="40"/>
      </w:pPr>
      <w:r>
        <w:rPr>
          <w:color w:val="374151"/>
          <w:sz w:val="22"/>
          <w:szCs w:val="22"/>
        </w:rPr>
        <w:t xml:space="preserve">Bank reconciliation reports</w:t>
      </w:r>
    </w:p>
    <w:p>
      <w:pPr>
        <w:pStyle w:val="ListParagraph"/>
        <w:numPr>
          <w:ilvl w:val="0"/>
          <w:numId w:val="3"/>
        </w:numPr>
        <w:spacing w:after="40" w:before="40"/>
      </w:pPr>
      <w:r>
        <w:rPr>
          <w:color w:val="374151"/>
          <w:sz w:val="22"/>
          <w:szCs w:val="22"/>
        </w:rPr>
        <w:t xml:space="preserve">Draft financial statements</w:t>
      </w:r>
    </w:p>
    <w:p>
      <w:pPr>
        <w:pStyle w:val="ListParagraph"/>
        <w:numPr>
          <w:ilvl w:val="0"/>
          <w:numId w:val="3"/>
        </w:numPr>
        <w:spacing w:after="40" w:before="40"/>
      </w:pPr>
      <w:r>
        <w:rPr>
          <w:color w:val="374151"/>
          <w:sz w:val="22"/>
          <w:szCs w:val="22"/>
        </w:rPr>
        <w:t xml:space="preserve">AI-assisted tax communication drafts</w:t>
      </w:r>
    </w:p>
    <w:p>
      <w:pPr>
        <w:pStyle w:val="ListParagraph"/>
        <w:numPr>
          <w:ilvl w:val="0"/>
          <w:numId w:val="3"/>
        </w:numPr>
        <w:spacing w:after="40" w:before="40"/>
      </w:pPr>
      <w:r>
        <w:rPr>
          <w:color w:val="374151"/>
          <w:sz w:val="22"/>
          <w:szCs w:val="22"/>
        </w:rPr>
        <w:t xml:space="preserve">A compliance calendar</w:t>
      </w:r>
    </w:p>
    <w:p>
      <w:pPr>
        <w:pStyle w:val="ListParagraph"/>
        <w:numPr>
          <w:ilvl w:val="0"/>
          <w:numId w:val="3"/>
        </w:numPr>
        <w:spacing w:after="40" w:before="40"/>
      </w:pPr>
      <w:r>
        <w:rPr>
          <w:color w:val="374151"/>
          <w:sz w:val="22"/>
          <w:szCs w:val="22"/>
        </w:rPr>
        <w:t xml:space="preserve">Evidence-backed responses to tax-law queries</w:t>
      </w:r>
    </w:p>
    <w:p>
      <w:pPr>
        <w:pStyle w:val="ListParagraph"/>
        <w:numPr>
          <w:ilvl w:val="0"/>
          <w:numId w:val="3"/>
        </w:numPr>
        <w:spacing w:after="40" w:before="40"/>
      </w:pPr>
      <w:r>
        <w:rPr>
          <w:color w:val="374151"/>
          <w:sz w:val="22"/>
          <w:szCs w:val="22"/>
        </w:rPr>
        <w:t xml:space="preserve">Evaluation results comparing the system against appropriate baselines</w:t>
      </w:r>
    </w:p>
    <w:p>
      <w:pPr>
        <w:pBdr>
          <w:bottom w:val="single" w:color="BFDBFE" w:sz="1"/>
        </w:pBdr>
        <w:spacing w:after="100" w:before="100"/>
      </w:pPr>
    </w:p>
    <w:p>
      <w:pPr>
        <w:pStyle w:val="Heading1"/>
        <w:pBdr>
          <w:bottom w:val="single" w:color="2563EB" w:sz="2"/>
        </w:pBdr>
        <w:spacing w:after="180" w:before="360"/>
        <w:rPr>
          <w:b/>
          <w:bCs/>
          <w:color w:val="1B3A6B"/>
          <w:sz w:val="28"/>
          <w:szCs w:val="28"/>
        </w:rPr>
      </w:pPr>
      <w:r>
        <w:t xml:space="preserve">Conclusion</w:t>
      </w:r>
    </w:p>
    <w:p>
      <w:pPr>
        <w:spacing w:after="100" w:before="80"/>
        <w:jc w:val="both"/>
      </w:pPr>
      <w:r>
        <w:rPr>
          <w:b w:val="false"/>
          <w:bCs w:val="false"/>
          <w:i w:val="false"/>
          <w:iCs w:val="false"/>
          <w:color w:val="1F2937"/>
          <w:sz w:val="22"/>
          <w:szCs w:val="22"/>
        </w:rPr>
        <w:t xml:space="preserve">CA Copilot proposes an AI-assisted platform for Pakistani Chartered Accountancy firms that automates repetitive tax and accounting workflows while keeping professional review in the loop.</w:t>
      </w:r>
    </w:p>
    <w:p>
      <w:pPr>
        <w:spacing w:after="100" w:before="80"/>
        <w:jc w:val="both"/>
      </w:pPr>
      <w:r>
        <w:rPr>
          <w:b w:val="false"/>
          <w:bCs w:val="false"/>
          <w:i w:val="false"/>
          <w:iCs w:val="false"/>
          <w:color w:val="1F2937"/>
          <w:sz w:val="22"/>
          <w:szCs w:val="22"/>
        </w:rPr>
        <w:t xml:space="preserve">By combining document extraction, hybrid information retrieval, tax-rule processing, deterministic calculations, and automated compliance document generation, the system aims to reduce the time required for routine tax-compliance tasks while providing practitioners with traceable evidence for AI-assisted tax decisions.</w:t>
      </w:r>
    </w:p>
    <w:p>
      <w:pPr>
        <w:spacing w:after="100" w:before="80"/>
        <w:jc w:val="both"/>
      </w:pPr>
      <w:r>
        <w:rPr>
          <w:b/>
          <w:bCs/>
          <w:i w:val="false"/>
          <w:iCs w:val="false"/>
          <w:color w:val="1F2937"/>
          <w:sz w:val="22"/>
          <w:szCs w:val="22"/>
        </w:rPr>
        <w:t xml:space="preserve">The project is designed to be sufficiently technically challenging for an undergraduate FYP while maintaining a realistic implementation scope within a 4–5 month development period.</w:t>
      </w:r>
    </w:p>
    <w:sectPr>
      <w:headerReference w:type="default" r:id="rId7"/>
      <w:footerReference w:type="default" r:id="rId8"/>
      <w:pgSz w:w="11880"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1"/>
      </w:pBdr>
      <w:spacing w:before="80"/>
      <w:jc w:val="center"/>
    </w:pPr>
    <w:r>
      <w:rPr>
        <w:color w:val="6B7280"/>
        <w:sz w:val="18"/>
        <w:szCs w:val="18"/>
      </w:rPr>
      <w:t xml:space="preserve">Confidential — FYP Proposal | 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1"/>
      </w:pBdr>
      <w:spacing w:after="80"/>
    </w:pPr>
    <w:r>
      <w:rPr>
        <w:b/>
        <w:bCs/>
        <w:color w:val="1B3A6B"/>
        <w:sz w:val="18"/>
        <w:szCs w:val="18"/>
      </w:rPr>
      <w:t xml:space="preserve">CA Copilot </w:t>
    </w:r>
    <w:r>
      <w:rPr>
        <w:color w:val="6B7280"/>
        <w:sz w:val="18"/>
        <w:szCs w:val="18"/>
      </w:rPr>
      <w:t xml:space="preserve">— AI-Powered Tax Compliance &amp; Accounting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00" w:before="400"/>
      <w:outlineLvl w:val="0"/>
    </w:pPr>
    <w:rPr>
      <w:rFonts w:ascii="Calibri" w:cs="Calibri" w:eastAsia="Calibri" w:hAnsi="Calibri"/>
      <w:b/>
      <w:bCs/>
      <w:color w:val="1B3A6B"/>
      <w:sz w:val="32"/>
      <w:szCs w:val="32"/>
    </w:rPr>
  </w:style>
  <w:style w:type="paragraph" w:styleId="Heading2">
    <w:name w:val="Heading 2"/>
    <w:basedOn w:val="Normal"/>
    <w:pPr>
      <w:spacing w:after="120" w:before="300"/>
      <w:outlineLvl w:val="1"/>
    </w:pPr>
    <w:rPr>
      <w:rFonts w:ascii="Calibri" w:cs="Calibri" w:eastAsia="Calibri" w:hAnsi="Calibri"/>
      <w:b/>
      <w:bCs/>
      <w:color w:val="2563EB"/>
      <w:sz w:val="26"/>
      <w:szCs w:val="26"/>
    </w:rPr>
  </w:style>
  <w:style w:type="paragraph" w:styleId="Heading3">
    <w:name w:val="Heading 3"/>
    <w:basedOn w:val="Normal"/>
    <w:pPr>
      <w:spacing w:after="80" w:before="200"/>
      <w:outlineLvl w:val="2"/>
    </w:pPr>
    <w:rPr>
      <w:rFonts w:ascii="Calibri" w:cs="Calibri" w:eastAsia="Calibri" w:hAnsi="Calibri"/>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2026-09-23T16:16:47.575Z</dcterms:created>
  <dcterms:modified xsi:type="dcterms:W3CDTF">2026-09-23T16:16:47.584Z</dcterms:modified>
</cp:coreProperties>
</file>

<file path=docProps/custom.xml><?xml version="1.0" encoding="utf-8"?>
<Properties xmlns="http://schemas.openxmlformats.org/officeDocument/2006/custom-properties" xmlns:vt="http://schemas.openxmlformats.org/officeDocument/2006/docPropsVTypes"/>
</file>