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0E7C7B"/>
          <w:sz w:val="30"/>
          <w:szCs w:val="30"/>
        </w:rPr>
        <w:t xml:space="preserve">SOFTWARE REQUIREMENTS SPECIFICATION</w:t>
      </w:r>
    </w:p>
    <w:p>
      <w:pPr>
        <w:spacing w:before="200"/>
        <w:jc w:val="center"/>
      </w:pPr>
      <w:r>
        <w:rPr>
          <w:b/>
          <w:bCs/>
          <w:color w:val="1F3864"/>
          <w:sz w:val="52"/>
          <w:szCs w:val="52"/>
        </w:rPr>
        <w:t xml:space="preserve">Route-Based Ride Hailing &amp; Transport Subscription Platform</w:t>
      </w:r>
    </w:p>
    <w:p>
      <w:pPr>
        <w:spacing w:after="800" w:before="200"/>
        <w:jc w:val="center"/>
      </w:pPr>
      <w:r>
        <w:rPr>
          <w:i/>
          <w:iCs/>
          <w:color w:val="595959"/>
          <w:sz w:val="26"/>
          <w:szCs w:val="26"/>
        </w:rPr>
        <w:t xml:space="preserve">A Ride-Hailing, Route-Pooling and Transport Subscription Platform for Ethiopia</w:t>
      </w:r>
    </w:p>
    <w:p>
      <w:pPr>
        <w:spacing w:after="4000"/>
        <w:jc w:val="center"/>
      </w:pPr>
      <w:r>
        <w:rPr>
          <w:color w:val="595959"/>
          <w:sz w:val="20"/>
          <w:szCs w:val="20"/>
        </w:rPr>
        <w:t xml:space="preserve">Working title: “Gebeta Ride”  (placeholder — to be finalized)</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Document Version</w:t>
            </w:r>
          </w:p>
        </w:tc>
        <w:tc>
          <w:tcPr>
            <w:tcW w:type="dxa" w:w="3800"/>
            <w:tcMar>
              <w:top w:type="dxa" w:w="80"/>
              <w:left w:type="dxa" w:w="100"/>
              <w:bottom w:type="dxa" w:w="80"/>
              <w:right w:type="dxa" w:w="100"/>
            </w:tcMar>
            <w:vAlign w:val="center"/>
          </w:tcPr>
          <w:p>
            <w:pPr>
              <w:jc w:val="left"/>
            </w:pPr>
            <w:r>
              <w:rPr>
                <w:b w:val="false"/>
                <w:bCs w:val="false"/>
                <w:sz w:val="20"/>
                <w:szCs w:val="20"/>
              </w:rPr>
              <w:t xml:space="preserve">0.6 – Draft (expanded)</w:t>
            </w:r>
          </w:p>
        </w:tc>
      </w:tr>
      <w:t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Date</w:t>
            </w:r>
          </w:p>
        </w:tc>
        <w:tc>
          <w:tcPr>
            <w:tcW w:type="dxa" w:w="3800"/>
            <w:tcMar>
              <w:top w:type="dxa" w:w="80"/>
              <w:left w:type="dxa" w:w="100"/>
              <w:bottom w:type="dxa" w:w="80"/>
              <w:right w:type="dxa" w:w="100"/>
            </w:tcMar>
            <w:vAlign w:val="center"/>
          </w:tcPr>
          <w:p>
            <w:pPr>
              <w:jc w:val="left"/>
            </w:pPr>
            <w:r>
              <w:rPr>
                <w:b w:val="false"/>
                <w:bCs w:val="false"/>
                <w:sz w:val="20"/>
                <w:szCs w:val="20"/>
              </w:rPr>
              <w:t xml:space="preserve">15 August 2026</w:t>
            </w:r>
          </w:p>
        </w:tc>
      </w:tr>
      <w:t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Status</w:t>
            </w:r>
          </w:p>
        </w:tc>
        <w:tc>
          <w:tcPr>
            <w:tcW w:type="dxa" w:w="3800"/>
            <w:tcMar>
              <w:top w:type="dxa" w:w="80"/>
              <w:left w:type="dxa" w:w="100"/>
              <w:bottom w:type="dxa" w:w="80"/>
              <w:right w:type="dxa" w:w="100"/>
            </w:tcMar>
            <w:vAlign w:val="center"/>
          </w:tcPr>
          <w:p>
            <w:pPr>
              <w:jc w:val="left"/>
            </w:pPr>
            <w:r>
              <w:rPr>
                <w:b w:val="false"/>
                <w:bCs w:val="false"/>
                <w:sz w:val="20"/>
                <w:szCs w:val="20"/>
              </w:rPr>
              <w:t xml:space="preserve">For internal review — pre-implementation planning</w:t>
            </w:r>
          </w:p>
        </w:tc>
      </w:tr>
      <w:t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Prepared for</w:t>
            </w:r>
          </w:p>
        </w:tc>
        <w:tc>
          <w:tcPr>
            <w:tcW w:type="dxa" w:w="3800"/>
            <w:tcMar>
              <w:top w:type="dxa" w:w="80"/>
              <w:left w:type="dxa" w:w="100"/>
              <w:bottom w:type="dxa" w:w="80"/>
              <w:right w:type="dxa" w:w="100"/>
            </w:tcMar>
            <w:vAlign w:val="center"/>
          </w:tcPr>
          <w:p>
            <w:pPr>
              <w:jc w:val="left"/>
            </w:pPr>
            <w:r>
              <w:rPr>
                <w:b w:val="false"/>
                <w:bCs w:val="false"/>
                <w:sz w:val="20"/>
                <w:szCs w:val="20"/>
              </w:rPr>
              <w:t xml:space="preserve">Founder / Product Owner (solo full-stack builder)</w:t>
            </w:r>
          </w:p>
        </w:tc>
      </w:tr>
      <w:t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Scope</w:t>
            </w:r>
          </w:p>
        </w:tc>
        <w:tc>
          <w:tcPr>
            <w:tcW w:type="dxa" w:w="3800"/>
            <w:tcMar>
              <w:top w:type="dxa" w:w="80"/>
              <w:left w:type="dxa" w:w="100"/>
              <w:bottom w:type="dxa" w:w="80"/>
              <w:right w:type="dxa" w:w="100"/>
            </w:tcMar>
            <w:vAlign w:val="center"/>
          </w:tcPr>
          <w:p>
            <w:pPr>
              <w:jc w:val="left"/>
            </w:pPr>
            <w:r>
              <w:rPr>
                <w:b w:val="false"/>
                <w:bCs w:val="false"/>
                <w:sz w:val="20"/>
                <w:szCs w:val="20"/>
              </w:rPr>
              <w:t xml:space="preserve">Addis Ababa pilot, national expansion planned</w:t>
            </w:r>
          </w:p>
        </w:tc>
      </w:tr>
    </w:tbl>
    <w:p>
      <w:pPr>
        <w:spacing w:before="300"/>
        <w:jc w:val="center"/>
      </w:pPr>
      <w:r>
        <w:rPr>
          <w:b/>
          <w:bCs/>
          <w:color w:val="595959"/>
          <w:sz w:val="20"/>
          <w:szCs w:val="20"/>
        </w:rPr>
        <w:t xml:space="preserve">Revision History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tblGrid>
      <w:tr>
        <w:tc>
          <w:tcPr>
            <w:tcW w:type="dxa" w:w="1200"/>
            <w:shd w:fill="1F3864" w:val="clear"/>
            <w:tcMar>
              <w:top w:type="dxa" w:w="80"/>
              <w:left w:type="dxa" w:w="100"/>
              <w:bottom w:type="dxa" w:w="80"/>
              <w:right w:type="dxa" w:w="100"/>
            </w:tcMar>
            <w:vAlign w:val="center"/>
          </w:tcPr>
          <w:p>
            <w:pPr>
              <w:jc w:val="left"/>
            </w:pPr>
            <w:r>
              <w:rPr>
                <w:b/>
                <w:bCs/>
                <w:color w:val="FFFFFF"/>
                <w:sz w:val="20"/>
                <w:szCs w:val="20"/>
              </w:rPr>
              <w:t xml:space="preserve">Ver.</w:t>
            </w:r>
          </w:p>
        </w:tc>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Change</w:t>
            </w:r>
          </w:p>
        </w:tc>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Date</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0.1</w:t>
            </w:r>
          </w:p>
        </w:tc>
        <w:tc>
          <w:tcPr>
            <w:tcW w:type="dxa" w:w="2400"/>
            <w:tcMar>
              <w:top w:type="dxa" w:w="80"/>
              <w:left w:type="dxa" w:w="100"/>
              <w:bottom w:type="dxa" w:w="80"/>
              <w:right w:type="dxa" w:w="100"/>
            </w:tcMar>
            <w:vAlign w:val="center"/>
          </w:tcPr>
          <w:p>
            <w:pPr>
              <w:jc w:val="left"/>
            </w:pPr>
            <w:r>
              <w:rPr>
                <w:b w:val="false"/>
                <w:bCs w:val="false"/>
                <w:sz w:val="20"/>
                <w:szCs w:val="20"/>
              </w:rPr>
              <w:t xml:space="preserve">Initial draft: modules, roles, tech stack, risks, roadmap</w:t>
            </w:r>
          </w:p>
        </w:tc>
        <w:tc>
          <w:tcPr>
            <w:tcW w:type="dxa" w:w="2400"/>
            <w:tcMar>
              <w:top w:type="dxa" w:w="80"/>
              <w:left w:type="dxa" w:w="100"/>
              <w:bottom w:type="dxa" w:w="80"/>
              <w:right w:type="dxa" w:w="100"/>
            </w:tcMar>
            <w:vAlign w:val="center"/>
          </w:tcPr>
          <w:p>
            <w:pPr>
              <w:jc w:val="left"/>
            </w:pPr>
            <w:r>
              <w:rPr>
                <w:b w:val="false"/>
                <w:bCs w:val="false"/>
                <w:sz w:val="20"/>
                <w:szCs w:val="20"/>
              </w:rPr>
              <w:t xml:space="preserve">14 Aug 2026</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0.2–0.4</w:t>
            </w:r>
          </w:p>
        </w:tc>
        <w:tc>
          <w:tcPr>
            <w:tcW w:type="dxa" w:w="2400"/>
            <w:tcMar>
              <w:top w:type="dxa" w:w="80"/>
              <w:left w:type="dxa" w:w="100"/>
              <w:bottom w:type="dxa" w:w="80"/>
              <w:right w:type="dxa" w:w="100"/>
            </w:tcMar>
            <w:vAlign w:val="center"/>
          </w:tcPr>
          <w:p>
            <w:pPr>
              <w:jc w:val="left"/>
            </w:pPr>
            <w:r>
              <w:rPr>
                <w:b w:val="false"/>
                <w:bCs w:val="false"/>
                <w:sz w:val="20"/>
                <w:szCs w:val="20"/>
              </w:rPr>
              <w:t xml:space="preserve">Added recommendations, pricing/holiday/freight/differentiation, feedback &amp; rewards modules</w:t>
            </w:r>
          </w:p>
        </w:tc>
        <w:tc>
          <w:tcPr>
            <w:tcW w:type="dxa" w:w="2400"/>
            <w:tcMar>
              <w:top w:type="dxa" w:w="80"/>
              <w:left w:type="dxa" w:w="100"/>
              <w:bottom w:type="dxa" w:w="80"/>
              <w:right w:type="dxa" w:w="100"/>
            </w:tcMar>
            <w:vAlign w:val="center"/>
          </w:tcPr>
          <w:p>
            <w:pPr>
              <w:jc w:val="left"/>
            </w:pPr>
            <w:r>
              <w:rPr>
                <w:b w:val="false"/>
                <w:bCs w:val="false"/>
                <w:sz w:val="20"/>
                <w:szCs w:val="20"/>
              </w:rPr>
              <w:t xml:space="preserve">14–15 Aug 2026</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0.5</w:t>
            </w:r>
          </w:p>
        </w:tc>
        <w:tc>
          <w:tcPr>
            <w:tcW w:type="dxa" w:w="2400"/>
            <w:tcMar>
              <w:top w:type="dxa" w:w="80"/>
              <w:left w:type="dxa" w:w="100"/>
              <w:bottom w:type="dxa" w:w="80"/>
              <w:right w:type="dxa" w:w="100"/>
            </w:tcMar>
            <w:vAlign w:val="center"/>
          </w:tcPr>
          <w:p>
            <w:pPr>
              <w:jc w:val="left"/>
            </w:pPr>
            <w:r>
              <w:rPr>
                <w:b w:val="false"/>
                <w:bCs w:val="false"/>
                <w:sz w:val="20"/>
                <w:szCs w:val="20"/>
              </w:rPr>
              <w:t xml:space="preserve">Decided tech stack to match founder's solo skill set (single NestJS backend)</w:t>
            </w:r>
          </w:p>
        </w:tc>
        <w:tc>
          <w:tcPr>
            <w:tcW w:type="dxa" w:w="2400"/>
            <w:tcMar>
              <w:top w:type="dxa" w:w="80"/>
              <w:left w:type="dxa" w:w="100"/>
              <w:bottom w:type="dxa" w:w="80"/>
              <w:right w:type="dxa" w:w="100"/>
            </w:tcMar>
            <w:vAlign w:val="center"/>
          </w:tcPr>
          <w:p>
            <w:pPr>
              <w:jc w:val="left"/>
            </w:pPr>
            <w:r>
              <w:rPr>
                <w:b w:val="false"/>
                <w:bCs w:val="false"/>
                <w:sz w:val="20"/>
                <w:szCs w:val="20"/>
              </w:rPr>
              <w:t xml:space="preserve">15 Aug 2026</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0.6</w:t>
            </w:r>
          </w:p>
        </w:tc>
        <w:tc>
          <w:tcPr>
            <w:tcW w:type="dxa" w:w="2400"/>
            <w:tcMar>
              <w:top w:type="dxa" w:w="80"/>
              <w:left w:type="dxa" w:w="100"/>
              <w:bottom w:type="dxa" w:w="80"/>
              <w:right w:type="dxa" w:w="100"/>
            </w:tcMar>
            <w:vAlign w:val="center"/>
          </w:tcPr>
          <w:p>
            <w:pPr>
              <w:jc w:val="left"/>
            </w:pPr>
            <w:r>
              <w:rPr>
                <w:b w:val="false"/>
                <w:bCs w:val="false"/>
                <w:sz w:val="20"/>
                <w:szCs w:val="20"/>
              </w:rPr>
              <w:t xml:space="preserve">Full consistency pass: cross-references, terminology, static TOC verified page-by-page</w:t>
            </w:r>
          </w:p>
        </w:tc>
        <w:tc>
          <w:tcPr>
            <w:tcW w:type="dxa" w:w="2400"/>
            <w:tcMar>
              <w:top w:type="dxa" w:w="80"/>
              <w:left w:type="dxa" w:w="100"/>
              <w:bottom w:type="dxa" w:w="80"/>
              <w:right w:type="dxa" w:w="100"/>
            </w:tcMar>
            <w:vAlign w:val="center"/>
          </w:tcPr>
          <w:p>
            <w:pPr>
              <w:jc w:val="left"/>
            </w:pPr>
            <w:r>
              <w:rPr>
                <w:b w:val="false"/>
                <w:bCs w:val="false"/>
                <w:sz w:val="20"/>
                <w:szCs w:val="20"/>
              </w:rPr>
              <w:t xml:space="preserve">15 Aug 2026</w:t>
            </w:r>
          </w:p>
        </w:tc>
      </w:tr>
    </w:tbl>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p>
      <w:pPr>
        <w:tabs>
          <w:tab w:val="right" w:pos="9360" w:leader="dot"/>
        </w:tabs>
        <w:spacing w:after="140"/>
      </w:pPr>
      <w:r>
        <w:rPr>
          <w:color w:val="262626"/>
          <w:sz w:val="22"/>
          <w:szCs w:val="22"/>
        </w:rPr>
        <w:t xml:space="preserve">1. Introduction</w:t>
      </w:r>
      <w:r>
        <w:rPr>
          <w:color w:val="262626"/>
          <w:sz w:val="22"/>
          <w:szCs w:val="22"/>
        </w:rPr>
        <w:t xml:space="preserve">	4</w:t>
      </w:r>
    </w:p>
    <w:p>
      <w:pPr>
        <w:tabs>
          <w:tab w:val="right" w:pos="9360" w:leader="dot"/>
        </w:tabs>
        <w:spacing w:after="140"/>
      </w:pPr>
      <w:r>
        <w:rPr>
          <w:color w:val="262626"/>
          <w:sz w:val="22"/>
          <w:szCs w:val="22"/>
        </w:rPr>
        <w:t xml:space="preserve">2. Overall Description</w:t>
      </w:r>
      <w:r>
        <w:rPr>
          <w:color w:val="262626"/>
          <w:sz w:val="22"/>
          <w:szCs w:val="22"/>
        </w:rPr>
        <w:t xml:space="preserve">	5</w:t>
      </w:r>
    </w:p>
    <w:p>
      <w:pPr>
        <w:tabs>
          <w:tab w:val="right" w:pos="9360" w:leader="dot"/>
        </w:tabs>
        <w:spacing w:after="140"/>
      </w:pPr>
      <w:r>
        <w:rPr>
          <w:color w:val="262626"/>
          <w:sz w:val="22"/>
          <w:szCs w:val="22"/>
        </w:rPr>
        <w:t xml:space="preserve">3. System Architecture Overview</w:t>
      </w:r>
      <w:r>
        <w:rPr>
          <w:color w:val="262626"/>
          <w:sz w:val="22"/>
          <w:szCs w:val="22"/>
        </w:rPr>
        <w:t xml:space="preserve">	6</w:t>
      </w:r>
    </w:p>
    <w:p>
      <w:pPr>
        <w:tabs>
          <w:tab w:val="right" w:pos="9360" w:leader="dot"/>
        </w:tabs>
        <w:spacing w:after="140"/>
      </w:pPr>
      <w:r>
        <w:rPr>
          <w:color w:val="262626"/>
          <w:sz w:val="22"/>
          <w:szCs w:val="22"/>
        </w:rPr>
        <w:t xml:space="preserve">4. Functional Requirements — Modules</w:t>
      </w:r>
      <w:r>
        <w:rPr>
          <w:color w:val="262626"/>
          <w:sz w:val="22"/>
          <w:szCs w:val="22"/>
        </w:rPr>
        <w:t xml:space="preserve">	6</w:t>
      </w:r>
    </w:p>
    <w:p>
      <w:pPr>
        <w:tabs>
          <w:tab w:val="right" w:pos="9360" w:leader="dot"/>
        </w:tabs>
        <w:spacing w:after="140"/>
      </w:pPr>
      <w:r>
        <w:rPr>
          <w:color w:val="262626"/>
          <w:sz w:val="22"/>
          <w:szCs w:val="22"/>
        </w:rPr>
        <w:t xml:space="preserve">5. Non-Functional Requirements</w:t>
      </w:r>
      <w:r>
        <w:rPr>
          <w:color w:val="262626"/>
          <w:sz w:val="22"/>
          <w:szCs w:val="22"/>
        </w:rPr>
        <w:t xml:space="preserve">	9</w:t>
      </w:r>
    </w:p>
    <w:p>
      <w:pPr>
        <w:tabs>
          <w:tab w:val="right" w:pos="9360" w:leader="dot"/>
        </w:tabs>
        <w:spacing w:after="140"/>
      </w:pPr>
      <w:r>
        <w:rPr>
          <w:color w:val="262626"/>
          <w:sz w:val="22"/>
          <w:szCs w:val="22"/>
        </w:rPr>
        <w:t xml:space="preserve">6. Tools &amp; Technology Stack (decided)</w:t>
      </w:r>
      <w:r>
        <w:rPr>
          <w:color w:val="262626"/>
          <w:sz w:val="22"/>
          <w:szCs w:val="22"/>
        </w:rPr>
        <w:t xml:space="preserve">	9</w:t>
      </w:r>
    </w:p>
    <w:p>
      <w:pPr>
        <w:tabs>
          <w:tab w:val="right" w:pos="9360" w:leader="dot"/>
        </w:tabs>
        <w:spacing w:after="140"/>
      </w:pPr>
      <w:r>
        <w:rPr>
          <w:color w:val="262626"/>
          <w:sz w:val="22"/>
          <w:szCs w:val="22"/>
        </w:rPr>
        <w:t xml:space="preserve">7. Key Data Entities (high-level)</w:t>
      </w:r>
      <w:r>
        <w:rPr>
          <w:color w:val="262626"/>
          <w:sz w:val="22"/>
          <w:szCs w:val="22"/>
        </w:rPr>
        <w:t xml:space="preserve">	11</w:t>
      </w:r>
    </w:p>
    <w:p>
      <w:pPr>
        <w:tabs>
          <w:tab w:val="right" w:pos="9360" w:leader="dot"/>
        </w:tabs>
        <w:spacing w:after="140"/>
      </w:pPr>
      <w:r>
        <w:rPr>
          <w:color w:val="262626"/>
          <w:sz w:val="22"/>
          <w:szCs w:val="22"/>
        </w:rPr>
        <w:t xml:space="preserve">8. Roles &amp; Permissions Matrix</w:t>
      </w:r>
      <w:r>
        <w:rPr>
          <w:color w:val="262626"/>
          <w:sz w:val="22"/>
          <w:szCs w:val="22"/>
        </w:rPr>
        <w:t xml:space="preserve">	11</w:t>
      </w:r>
    </w:p>
    <w:p>
      <w:pPr>
        <w:tabs>
          <w:tab w:val="right" w:pos="9360" w:leader="dot"/>
        </w:tabs>
        <w:spacing w:after="140"/>
      </w:pPr>
      <w:r>
        <w:rPr>
          <w:color w:val="262626"/>
          <w:sz w:val="22"/>
          <w:szCs w:val="22"/>
        </w:rPr>
        <w:t xml:space="preserve">9. Risks (carried forward from initial review)</w:t>
      </w:r>
      <w:r>
        <w:rPr>
          <w:color w:val="262626"/>
          <w:sz w:val="22"/>
          <w:szCs w:val="22"/>
        </w:rPr>
        <w:t xml:space="preserve">	12</w:t>
      </w:r>
    </w:p>
    <w:p>
      <w:pPr>
        <w:tabs>
          <w:tab w:val="right" w:pos="9360" w:leader="dot"/>
        </w:tabs>
        <w:spacing w:after="140"/>
      </w:pPr>
      <w:r>
        <w:rPr>
          <w:color w:val="262626"/>
          <w:sz w:val="22"/>
          <w:szCs w:val="22"/>
        </w:rPr>
        <w:t xml:space="preserve">10. Phased Roadmap</w:t>
      </w:r>
      <w:r>
        <w:rPr>
          <w:color w:val="262626"/>
          <w:sz w:val="22"/>
          <w:szCs w:val="22"/>
        </w:rPr>
        <w:t xml:space="preserve">	12</w:t>
      </w:r>
    </w:p>
    <w:p>
      <w:pPr>
        <w:tabs>
          <w:tab w:val="right" w:pos="9360" w:leader="dot"/>
        </w:tabs>
        <w:spacing w:after="140"/>
      </w:pPr>
      <w:r>
        <w:rPr>
          <w:color w:val="262626"/>
          <w:sz w:val="22"/>
          <w:szCs w:val="22"/>
        </w:rPr>
        <w:t xml:space="preserve">11. Out of Scope for v1</w:t>
      </w:r>
      <w:r>
        <w:rPr>
          <w:color w:val="262626"/>
          <w:sz w:val="22"/>
          <w:szCs w:val="22"/>
        </w:rPr>
        <w:t xml:space="preserve">	13</w:t>
      </w:r>
    </w:p>
    <w:p>
      <w:pPr>
        <w:tabs>
          <w:tab w:val="right" w:pos="9360" w:leader="dot"/>
        </w:tabs>
        <w:spacing w:after="140"/>
      </w:pPr>
      <w:r>
        <w:rPr>
          <w:color w:val="262626"/>
          <w:sz w:val="22"/>
          <w:szCs w:val="22"/>
        </w:rPr>
        <w:t xml:space="preserve">12. Open Decisions for Stakeholder Sign-off</w:t>
      </w:r>
      <w:r>
        <w:rPr>
          <w:color w:val="262626"/>
          <w:sz w:val="22"/>
          <w:szCs w:val="22"/>
        </w:rPr>
        <w:t xml:space="preserve">	13</w:t>
      </w:r>
    </w:p>
    <w:p>
      <w:pPr>
        <w:tabs>
          <w:tab w:val="right" w:pos="9360" w:leader="dot"/>
        </w:tabs>
        <w:spacing w:after="140"/>
      </w:pPr>
      <w:r>
        <w:rPr>
          <w:color w:val="262626"/>
          <w:sz w:val="22"/>
          <w:szCs w:val="22"/>
        </w:rPr>
        <w:t xml:space="preserve">13. Additional Recommendations (Commonly Overlooked Items)</w:t>
      </w:r>
      <w:r>
        <w:rPr>
          <w:color w:val="262626"/>
          <w:sz w:val="22"/>
          <w:szCs w:val="22"/>
        </w:rPr>
        <w:t xml:space="preserve">	13</w:t>
      </w:r>
    </w:p>
    <w:p>
      <w:pPr>
        <w:tabs>
          <w:tab w:val="right" w:pos="9360" w:leader="dot"/>
        </w:tabs>
        <w:spacing w:after="140"/>
      </w:pPr>
      <w:r>
        <w:rPr>
          <w:color w:val="262626"/>
          <w:sz w:val="22"/>
          <w:szCs w:val="22"/>
        </w:rPr>
        <w:t xml:space="preserve">14. Pricing Strategy &amp; Vehicle Tiers</w:t>
      </w:r>
      <w:r>
        <w:rPr>
          <w:color w:val="262626"/>
          <w:sz w:val="22"/>
          <w:szCs w:val="22"/>
        </w:rPr>
        <w:t xml:space="preserve">	15</w:t>
      </w:r>
    </w:p>
    <w:p>
      <w:pPr>
        <w:tabs>
          <w:tab w:val="right" w:pos="9360" w:leader="dot"/>
        </w:tabs>
        <w:spacing w:after="140"/>
      </w:pPr>
      <w:r>
        <w:rPr>
          <w:color w:val="262626"/>
          <w:sz w:val="22"/>
          <w:szCs w:val="22"/>
        </w:rPr>
        <w:t xml:space="preserve">15. Holiday / Peak-Season Transport Scarcity</w:t>
      </w:r>
      <w:r>
        <w:rPr>
          <w:color w:val="262626"/>
          <w:sz w:val="22"/>
          <w:szCs w:val="22"/>
        </w:rPr>
        <w:t xml:space="preserve">	16</w:t>
      </w:r>
    </w:p>
    <w:p>
      <w:pPr>
        <w:tabs>
          <w:tab w:val="right" w:pos="9360" w:leader="dot"/>
        </w:tabs>
        <w:spacing w:after="140"/>
      </w:pPr>
      <w:r>
        <w:rPr>
          <w:color w:val="262626"/>
          <w:sz w:val="22"/>
          <w:szCs w:val="22"/>
        </w:rPr>
        <w:t xml:space="preserve">16. Competitive Differentiation</w:t>
      </w:r>
      <w:r>
        <w:rPr>
          <w:color w:val="262626"/>
          <w:sz w:val="22"/>
          <w:szCs w:val="22"/>
        </w:rPr>
        <w:t xml:space="preserve">	17</w:t>
      </w:r>
    </w:p>
    <w:p>
      <w:pPr>
        <w:tabs>
          <w:tab w:val="right" w:pos="9360" w:leader="dot"/>
        </w:tabs>
        <w:spacing w:after="140"/>
      </w:pPr>
      <w:r>
        <w:rPr>
          <w:color w:val="262626"/>
          <w:sz w:val="22"/>
          <w:szCs w:val="22"/>
        </w:rPr>
        <w:t xml:space="preserve">17. Benefits to Drivers and Passengers</w:t>
      </w:r>
      <w:r>
        <w:rPr>
          <w:color w:val="262626"/>
          <w:sz w:val="22"/>
          <w:szCs w:val="22"/>
        </w:rPr>
        <w:t xml:space="preserve">	18</w:t>
      </w:r>
    </w:p>
    <w:p>
      <w:pPr>
        <w:tabs>
          <w:tab w:val="right" w:pos="9360" w:leader="dot"/>
        </w:tabs>
        <w:spacing w:after="140"/>
      </w:pPr>
      <w:r>
        <w:rPr>
          <w:color w:val="262626"/>
          <w:sz w:val="22"/>
          <w:szCs w:val="22"/>
        </w:rPr>
        <w:t xml:space="preserve">18. Additional Gaps Identified in This Review</w:t>
      </w:r>
      <w:r>
        <w:rPr>
          <w:color w:val="262626"/>
          <w:sz w:val="22"/>
          <w:szCs w:val="22"/>
        </w:rPr>
        <w:t xml:space="preserve">	19</w:t>
      </w:r>
    </w:p>
    <w:p>
      <w:pPr>
        <w:tabs>
          <w:tab w:val="right" w:pos="9360" w:leader="dot"/>
        </w:tabs>
        <w:spacing w:after="140"/>
      </w:pPr>
      <w:r>
        <w:rPr>
          <w:color w:val="262626"/>
          <w:sz w:val="22"/>
          <w:szCs w:val="22"/>
        </w:rPr>
        <w:t xml:space="preserve">19. Freight / Cargo (“Chinet”) Transport Module</w:t>
      </w:r>
      <w:r>
        <w:rPr>
          <w:color w:val="262626"/>
          <w:sz w:val="22"/>
          <w:szCs w:val="22"/>
        </w:rPr>
        <w:t xml:space="preserve">	20</w:t>
      </w:r>
    </w:p>
    <w:p>
      <w:pPr>
        <w:tabs>
          <w:tab w:val="right" w:pos="9360" w:leader="dot"/>
        </w:tabs>
        <w:spacing w:after="140"/>
      </w:pPr>
      <w:r>
        <w:rPr>
          <w:color w:val="262626"/>
          <w:sz w:val="22"/>
          <w:szCs w:val="22"/>
        </w:rPr>
        <w:t xml:space="preserve">20. Feedback, Rewards, Announcements &amp; Coupons</w:t>
      </w:r>
      <w:r>
        <w:rPr>
          <w:color w:val="262626"/>
          <w:sz w:val="22"/>
          <w:szCs w:val="22"/>
        </w:rPr>
        <w:t xml:space="preserve">	22</w:t>
      </w:r>
    </w:p>
    <w:p>
      <w:pPr>
        <w:tabs>
          <w:tab w:val="right" w:pos="9360" w:leader="dot"/>
        </w:tabs>
        <w:spacing w:after="140"/>
      </w:pPr>
      <w:r>
        <w:rPr>
          <w:color w:val="262626"/>
          <w:sz w:val="22"/>
          <w:szCs w:val="22"/>
        </w:rPr>
        <w:t xml:space="preserve">Appendix A: Glossary</w:t>
      </w:r>
      <w:r>
        <w:rPr>
          <w:color w:val="262626"/>
          <w:sz w:val="22"/>
          <w:szCs w:val="22"/>
        </w:rPr>
        <w:t xml:space="preserve">	24</w:t>
      </w:r>
    </w:p>
    <w:p>
      <w:pPr>
        <w:spacing w:before="240"/>
      </w:pPr>
      <w:r>
        <w:rPr>
          <w:i/>
          <w:iCs/>
          <w:color w:val="595959"/>
          <w:sz w:val="18"/>
          <w:szCs w:val="18"/>
        </w:rPr>
        <w:t xml:space="preserve">(Page numbers reflect this print layout; if you add or remove content, right-click a Word Table of Contents field and choose “Update Field” to refresh automatically — this list is currently static text for reliable viewing across apps.)</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Introduction</w:t>
      </w:r>
    </w:p>
    <w:p>
      <w:pPr>
        <w:pStyle w:val="Heading2"/>
        <w:spacing w:after="120" w:before="280"/>
      </w:pPr>
      <w:r>
        <w:t xml:space="preserve">1.1 Purpose</w:t>
      </w:r>
    </w:p>
    <w:p>
      <w:pPr>
        <w:spacing w:after="160" w:line="276"/>
      </w:pPr>
      <w:r>
        <w:t xml:space="preserve">This document specifies the requirements for a mobile and web-based transport platform for Ethiopia that addresses long passenger waiting times by combining three complementary service models: on-demand ride hailing, driver-declared route pooling, and corridor-based subscription passes. It is intended to guide design, development, and stakeholder review before implementation begins.</w:t>
      </w:r>
    </w:p>
    <w:p>
      <w:pPr>
        <w:pStyle w:val="Heading2"/>
        <w:spacing w:after="120" w:before="280"/>
      </w:pPr>
      <w:r>
        <w:t xml:space="preserve">1.2 Problem Statement</w:t>
      </w:r>
    </w:p>
    <w:p>
      <w:pPr>
        <w:spacing w:after="160" w:line="276"/>
      </w:pPr>
      <w:r>
        <w:t xml:space="preserve">Passengers across Ethiopian cities, particularly Addis Ababa, routinely spend significant time waiting for available taxis, especially during peak hours. Existing ride-hailing apps (e.g. Feres, ZayRide, RIDE, ETTA) largely operate on a point-to-point, on-demand dispatch model. None of them expose driver-declared routes in advance, so passengers travelling along a corridor a driver is already covering have no way to discover and join that trip ahead of time. This platform closes that gap.</w:t>
      </w:r>
    </w:p>
    <w:p>
      <w:pPr>
        <w:pStyle w:val="Heading2"/>
        <w:spacing w:after="120" w:before="280"/>
      </w:pPr>
      <w:r>
        <w:t xml:space="preserve">1.3 Objectives</w:t>
      </w:r>
    </w:p>
    <w:p>
      <w:pPr>
        <w:pStyle w:val="ListParagraph"/>
        <w:numPr>
          <w:ilvl w:val="0"/>
          <w:numId w:val="2"/>
        </w:numPr>
        <w:spacing w:after="60"/>
      </w:pPr>
      <w:r>
        <w:t xml:space="preserve">Reduce passenger waiting time by surfacing driver-declared routes in advance.</w:t>
      </w:r>
    </w:p>
    <w:p>
      <w:pPr>
        <w:pStyle w:val="ListParagraph"/>
        <w:numPr>
          <w:ilvl w:val="0"/>
          <w:numId w:val="2"/>
        </w:numPr>
        <w:spacing w:after="60"/>
      </w:pPr>
      <w:r>
        <w:t xml:space="preserve">Increase driver earnings per hour by filling seats that would otherwise run empty.</w:t>
      </w:r>
    </w:p>
    <w:p>
      <w:pPr>
        <w:pStyle w:val="ListParagraph"/>
        <w:numPr>
          <w:ilvl w:val="0"/>
          <w:numId w:val="2"/>
        </w:numPr>
        <w:spacing w:after="60"/>
      </w:pPr>
      <w:r>
        <w:t xml:space="preserve">Offer predictable, discounted travel costs to regular commuters via subscription passes.</w:t>
      </w:r>
    </w:p>
    <w:p>
      <w:pPr>
        <w:pStyle w:val="ListParagraph"/>
        <w:numPr>
          <w:ilvl w:val="0"/>
          <w:numId w:val="2"/>
        </w:numPr>
        <w:spacing w:after="60"/>
      </w:pPr>
      <w:r>
        <w:t xml:space="preserve">Provide a single unified app experience for both passenger and driver roles.</w:t>
      </w:r>
    </w:p>
    <w:p>
      <w:pPr>
        <w:pStyle w:val="Heading2"/>
        <w:spacing w:after="120" w:before="280"/>
      </w:pPr>
      <w:r>
        <w:t xml:space="preserve">1.4 Scope</w:t>
      </w:r>
    </w:p>
    <w:p>
      <w:pPr>
        <w:spacing w:after="160" w:line="276"/>
      </w:pPr>
      <w:r>
        <w:t xml:space="preserve">Version 1 (MVP) targets Addis Ababa with on-demand ride hailing as the primary flow. Route-pooling and subscription passes are layered in during v1.x and v2 once sufficient driver density is reached (see Section 10, Phased Roadmap). Out-of-city expansion, motorbike/“tolo”-style rides, and freight/cargo transport (“chinet” — detailed in Section 19, planned for v3) are explicitly out of scope for v1 (see Section 11).</w:t>
      </w:r>
    </w:p>
    <w:p>
      <w:pPr>
        <w:pStyle w:val="Heading2"/>
        <w:spacing w:after="120" w:before="280"/>
      </w:pPr>
      <w:r>
        <w:t xml:space="preserve">1.5 Definitions, Acronyms and Abbreviations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Term</w:t>
            </w:r>
          </w:p>
        </w:tc>
        <w:tc>
          <w:tcPr>
            <w:tcW w:type="dxa" w:w="6800"/>
            <w:shd w:fill="1F3864" w:val="clear"/>
            <w:tcMar>
              <w:top w:type="dxa" w:w="80"/>
              <w:left w:type="dxa" w:w="100"/>
              <w:bottom w:type="dxa" w:w="80"/>
              <w:right w:type="dxa" w:w="100"/>
            </w:tcMar>
            <w:vAlign w:val="center"/>
          </w:tcPr>
          <w:p>
            <w:pPr>
              <w:jc w:val="left"/>
            </w:pPr>
            <w:r>
              <w:rPr>
                <w:b/>
                <w:bCs/>
                <w:color w:val="FFFFFF"/>
                <w:sz w:val="20"/>
                <w:szCs w:val="20"/>
              </w:rPr>
              <w:t xml:space="preserve">Definition</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SRS</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Software Requirements Specification</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Corridor / Route</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A driver-declared path from an origin to a destination, optionally with waypoints</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Pooling</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Multiple unrelated passengers sharing one vehicle trip along an overlapping route segment</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Pass / Subscription</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A recurring (weekly/monthly) payment granting a passenger discounted or bundled trips on a corridor</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KYC</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Know Your Customer — identity and document verification</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MVP</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Minimum Viable Product — the first release scope</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ETA</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Estimated Time of Arrival</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Chinet</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Amharic term for cargo/freight load; used here for the goods-transport service line (Section 19)</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Telebirr / CBE Birr</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Ethiopia’s dominant mobile money platforms</w:t>
            </w:r>
          </w:p>
        </w:tc>
      </w:tr>
    </w:tbl>
    <w:p>
      <w:pPr>
        <w:pStyle w:val="Heading1"/>
        <w:spacing w:after="160" w:before="360"/>
      </w:pPr>
      <w:r>
        <w:t xml:space="preserve">2. Overall Description</w:t>
      </w:r>
    </w:p>
    <w:p>
      <w:pPr>
        <w:pStyle w:val="Heading2"/>
        <w:spacing w:after="120" w:before="280"/>
      </w:pPr>
      <w:r>
        <w:t xml:space="preserve">2.1 Product Perspective</w:t>
      </w:r>
    </w:p>
    <w:p>
      <w:pPr>
        <w:spacing w:after="160" w:line="276"/>
      </w:pPr>
      <w:r>
        <w:t xml:space="preserve">The platform is a new, standalone system consisting of one unified mobile app (Android and iOS) serving both passengers and drivers through role-based profiles on the same account, plus a web-based Admin Console for platform operations. It integrates with third-party mapping, mobile-money, and SMS gateway services rather than building that infrastructure in-house.</w:t>
      </w:r>
    </w:p>
    <w:p>
      <w:pPr>
        <w:pStyle w:val="Heading2"/>
        <w:spacing w:after="120" w:before="280"/>
      </w:pPr>
      <w:r>
        <w:t xml:space="preserve">2.2 User Classes and Characteristics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0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User Class</w:t>
            </w:r>
          </w:p>
        </w:tc>
        <w:tc>
          <w:tcPr>
            <w:tcW w:type="dxa" w:w="5200"/>
            <w:shd w:fill="1F3864"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Technical Comfort</w:t>
            </w:r>
          </w:p>
        </w:tc>
      </w:tr>
      <w:tr>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Passenger</w:t>
            </w:r>
          </w:p>
        </w:tc>
        <w:tc>
          <w:tcPr>
            <w:tcW w:type="dxa" w:w="5200"/>
            <w:shd w:fill="F2F6F6" w:val="clear"/>
            <w:tcMar>
              <w:top w:type="dxa" w:w="80"/>
              <w:left w:type="dxa" w:w="100"/>
              <w:bottom w:type="dxa" w:w="80"/>
              <w:right w:type="dxa" w:w="100"/>
            </w:tcMar>
            <w:vAlign w:val="center"/>
          </w:tcPr>
          <w:p>
            <w:pPr>
              <w:jc w:val="left"/>
            </w:pPr>
            <w:r>
              <w:rPr>
                <w:b w:val="false"/>
                <w:bCs w:val="false"/>
                <w:sz w:val="20"/>
                <w:szCs w:val="20"/>
              </w:rPr>
              <w:t xml:space="preserve">Books on-demand rides, browses/books seats on posted routes, purchases subscription passes</w:t>
            </w:r>
          </w:p>
        </w:tc>
        <w:tc>
          <w:tcPr>
            <w:tcW w:type="dxa" w:w="2000"/>
            <w:shd w:fill="F2F6F6" w:val="clear"/>
            <w:tcMar>
              <w:top w:type="dxa" w:w="80"/>
              <w:left w:type="dxa" w:w="100"/>
              <w:bottom w:type="dxa" w:w="80"/>
              <w:right w:type="dxa" w:w="100"/>
            </w:tcMar>
            <w:vAlign w:val="center"/>
          </w:tcPr>
          <w:p>
            <w:pPr>
              <w:jc w:val="left"/>
            </w:pPr>
            <w:r>
              <w:rPr>
                <w:b w:val="false"/>
                <w:bCs w:val="false"/>
                <w:sz w:val="20"/>
                <w:szCs w:val="20"/>
              </w:rPr>
              <w:t xml:space="preserve">Basic smartphone literacy assumed</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Driver</w:t>
            </w:r>
          </w:p>
        </w:tc>
        <w:tc>
          <w:tcPr>
            <w:tcW w:type="dxa" w:w="5200"/>
            <w:shd w:fill="FFFFFF" w:val="clear"/>
            <w:tcMar>
              <w:top w:type="dxa" w:w="80"/>
              <w:left w:type="dxa" w:w="100"/>
              <w:bottom w:type="dxa" w:w="80"/>
              <w:right w:type="dxa" w:w="100"/>
            </w:tcMar>
            <w:vAlign w:val="center"/>
          </w:tcPr>
          <w:p>
            <w:pPr>
              <w:jc w:val="left"/>
            </w:pPr>
            <w:r>
              <w:rPr>
                <w:b w:val="false"/>
                <w:bCs w:val="false"/>
                <w:sz w:val="20"/>
                <w:szCs w:val="20"/>
              </w:rPr>
              <w:t xml:space="preserve">Accepts on-demand requests, posts routes, manages seats/pricing, receives payouts</w:t>
            </w:r>
          </w:p>
        </w:tc>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Basic smartphone literacy; some may need onboarding support</w:t>
            </w:r>
          </w:p>
        </w:tc>
      </w:tr>
      <w:tr>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Dual-role user</w:t>
            </w:r>
          </w:p>
        </w:tc>
        <w:tc>
          <w:tcPr>
            <w:tcW w:type="dxa" w:w="5200"/>
            <w:shd w:fill="F2F6F6" w:val="clear"/>
            <w:tcMar>
              <w:top w:type="dxa" w:w="80"/>
              <w:left w:type="dxa" w:w="100"/>
              <w:bottom w:type="dxa" w:w="80"/>
              <w:right w:type="dxa" w:w="100"/>
            </w:tcMar>
            <w:vAlign w:val="center"/>
          </w:tcPr>
          <w:p>
            <w:pPr>
              <w:jc w:val="left"/>
            </w:pPr>
            <w:r>
              <w:rPr>
                <w:b w:val="false"/>
                <w:bCs w:val="false"/>
                <w:sz w:val="20"/>
                <w:szCs w:val="20"/>
              </w:rPr>
              <w:t xml:space="preserve">A single person who is both passenger and driver on one account, switching modes</w:t>
            </w:r>
          </w:p>
        </w:tc>
        <w:tc>
          <w:tcPr>
            <w:tcW w:type="dxa" w:w="2000"/>
            <w:shd w:fill="F2F6F6" w:val="clear"/>
            <w:tcMar>
              <w:top w:type="dxa" w:w="80"/>
              <w:left w:type="dxa" w:w="100"/>
              <w:bottom w:type="dxa" w:w="80"/>
              <w:right w:type="dxa" w:w="100"/>
            </w:tcMar>
            <w:vAlign w:val="center"/>
          </w:tcPr>
          <w:p>
            <w:pPr>
              <w:jc w:val="left"/>
            </w:pPr>
            <w:r>
              <w:rPr>
                <w:b w:val="false"/>
                <w:bCs w:val="false"/>
                <w:sz w:val="20"/>
                <w:szCs w:val="20"/>
              </w:rPr>
              <w:t xml:space="preserve">Same as above</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Platform Admin / Ops</w:t>
            </w:r>
          </w:p>
        </w:tc>
        <w:tc>
          <w:tcPr>
            <w:tcW w:type="dxa" w:w="5200"/>
            <w:shd w:fill="FFFFFF" w:val="clear"/>
            <w:tcMar>
              <w:top w:type="dxa" w:w="80"/>
              <w:left w:type="dxa" w:w="100"/>
              <w:bottom w:type="dxa" w:w="80"/>
              <w:right w:type="dxa" w:w="100"/>
            </w:tcMar>
            <w:vAlign w:val="center"/>
          </w:tcPr>
          <w:p>
            <w:pPr>
              <w:jc w:val="left"/>
            </w:pPr>
            <w:r>
              <w:rPr>
                <w:b w:val="false"/>
                <w:bCs w:val="false"/>
                <w:sz w:val="20"/>
                <w:szCs w:val="20"/>
              </w:rPr>
              <w:t xml:space="preserve">Verifies drivers, manages pricing zones, resolves disputes, monitors fleet</w:t>
            </w:r>
          </w:p>
        </w:tc>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Trained internal staff</w:t>
            </w:r>
          </w:p>
        </w:tc>
      </w:tr>
      <w:tr>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Corporate / Institutional client (v2+)</w:t>
            </w:r>
          </w:p>
        </w:tc>
        <w:tc>
          <w:tcPr>
            <w:tcW w:type="dxa" w:w="5200"/>
            <w:shd w:fill="F2F6F6" w:val="clear"/>
            <w:tcMar>
              <w:top w:type="dxa" w:w="80"/>
              <w:left w:type="dxa" w:w="100"/>
              <w:bottom w:type="dxa" w:w="80"/>
              <w:right w:type="dxa" w:w="100"/>
            </w:tcMar>
            <w:vAlign w:val="center"/>
          </w:tcPr>
          <w:p>
            <w:pPr>
              <w:jc w:val="left"/>
            </w:pPr>
            <w:r>
              <w:rPr>
                <w:b w:val="false"/>
                <w:bCs w:val="false"/>
                <w:sz w:val="20"/>
                <w:szCs w:val="20"/>
              </w:rPr>
              <w:t xml:space="preserve">Bulk-subscribes staff or students to corridor passes</w:t>
            </w:r>
          </w:p>
        </w:tc>
        <w:tc>
          <w:tcPr>
            <w:tcW w:type="dxa" w:w="2000"/>
            <w:shd w:fill="F2F6F6" w:val="clear"/>
            <w:tcMar>
              <w:top w:type="dxa" w:w="80"/>
              <w:left w:type="dxa" w:w="100"/>
              <w:bottom w:type="dxa" w:w="80"/>
              <w:right w:type="dxa" w:w="100"/>
            </w:tcMar>
            <w:vAlign w:val="center"/>
          </w:tcPr>
          <w:p>
            <w:pPr>
              <w:jc w:val="left"/>
            </w:pPr>
            <w:r>
              <w:rPr>
                <w:b w:val="false"/>
                <w:bCs w:val="false"/>
                <w:sz w:val="20"/>
                <w:szCs w:val="20"/>
              </w:rPr>
              <w:t xml:space="preserve">Admin-assisted onboarding</w:t>
            </w:r>
          </w:p>
        </w:tc>
      </w:tr>
    </w:tbl>
    <w:p>
      <w:pPr>
        <w:pStyle w:val="Heading2"/>
        <w:spacing w:after="120" w:before="280"/>
      </w:pPr>
      <w:r>
        <w:t xml:space="preserve">2.3 Operating Environment</w:t>
      </w:r>
    </w:p>
    <w:p>
      <w:pPr>
        <w:pStyle w:val="ListParagraph"/>
        <w:numPr>
          <w:ilvl w:val="0"/>
          <w:numId w:val="2"/>
        </w:numPr>
        <w:spacing w:after="60"/>
      </w:pPr>
      <w:r>
        <w:t xml:space="preserve">Mobile clients: Android 8+ (primary market share) and iOS 14+.</w:t>
      </w:r>
    </w:p>
    <w:p>
      <w:pPr>
        <w:pStyle w:val="ListParagraph"/>
        <w:numPr>
          <w:ilvl w:val="0"/>
          <w:numId w:val="2"/>
        </w:numPr>
        <w:spacing w:after="60"/>
      </w:pPr>
      <w:r>
        <w:t xml:space="preserve">Backend: cloud-hosted (region selected for latency to East Africa and data residency review).</w:t>
      </w:r>
    </w:p>
    <w:p>
      <w:pPr>
        <w:pStyle w:val="ListParagraph"/>
        <w:numPr>
          <w:ilvl w:val="0"/>
          <w:numId w:val="2"/>
        </w:numPr>
        <w:spacing w:after="60"/>
      </w:pPr>
      <w:r>
        <w:t xml:space="preserve">Admin Console: modern desktop browsers (Chrome, Edge, Firefox).</w:t>
      </w:r>
    </w:p>
    <w:p>
      <w:pPr>
        <w:pStyle w:val="ListParagraph"/>
        <w:numPr>
          <w:ilvl w:val="0"/>
          <w:numId w:val="2"/>
        </w:numPr>
        <w:spacing w:after="60"/>
      </w:pPr>
      <w:r>
        <w:t xml:space="preserve">Network conditions: must degrade gracefully on 3G/patchy 4G; SMS fallback for critical notifications.</w:t>
      </w:r>
    </w:p>
    <w:p>
      <w:pPr>
        <w:pStyle w:val="Heading2"/>
        <w:spacing w:after="120" w:before="280"/>
      </w:pPr>
      <w:r>
        <w:t xml:space="preserve">2.4 Assumptions and Dependencies</w:t>
      </w:r>
    </w:p>
    <w:p>
      <w:pPr>
        <w:pStyle w:val="ListParagraph"/>
        <w:numPr>
          <w:ilvl w:val="0"/>
          <w:numId w:val="2"/>
        </w:numPr>
        <w:spacing w:after="60"/>
      </w:pPr>
      <w:r>
        <w:t xml:space="preserve">Drivers possess valid commercial driving licenses and vehicle registration/insurance that can be verified locally.</w:t>
      </w:r>
    </w:p>
    <w:p>
      <w:pPr>
        <w:pStyle w:val="ListParagraph"/>
        <w:numPr>
          <w:ilvl w:val="0"/>
          <w:numId w:val="2"/>
        </w:numPr>
        <w:spacing w:after="60"/>
      </w:pPr>
      <w:r>
        <w:t xml:space="preserve">Telebirr and/or CBE Birr APIs, or a licensed payment aggregator (e.g. Chapa, ArifPay), are accessible for integration.</w:t>
      </w:r>
    </w:p>
    <w:p>
      <w:pPr>
        <w:pStyle w:val="ListParagraph"/>
        <w:numPr>
          <w:ilvl w:val="0"/>
          <w:numId w:val="2"/>
        </w:numPr>
        <w:spacing w:after="60"/>
      </w:pPr>
      <w:r>
        <w:t xml:space="preserve">Google Maps or an equivalent mapping provider has adequate road coverage for Addis Ababa; secondary-city coverage will need validation.</w:t>
      </w:r>
    </w:p>
    <w:p>
      <w:pPr>
        <w:pStyle w:val="ListParagraph"/>
        <w:numPr>
          <w:ilvl w:val="0"/>
          <w:numId w:val="2"/>
        </w:numPr>
        <w:spacing w:after="60"/>
      </w:pPr>
      <w:r>
        <w:t xml:space="preserve">Relevant transport and dispatch-service licensing can be obtained before public launch (legal review required — see Risks).</w:t>
      </w:r>
    </w:p>
    <w:p>
      <w:pPr>
        <w:pStyle w:val="Heading2"/>
        <w:spacing w:after="120" w:before="280"/>
      </w:pPr>
      <w:r>
        <w:t xml:space="preserve">2.5 Constraints</w:t>
      </w:r>
    </w:p>
    <w:p>
      <w:pPr>
        <w:pStyle w:val="ListParagraph"/>
        <w:numPr>
          <w:ilvl w:val="0"/>
          <w:numId w:val="2"/>
        </w:numPr>
        <w:spacing w:after="60"/>
      </w:pPr>
      <w:r>
        <w:t xml:space="preserve">Cash remains a dominant payment method; the system must support cash-on-trip alongside digital payment.</w:t>
      </w:r>
    </w:p>
    <w:p>
      <w:pPr>
        <w:pStyle w:val="ListParagraph"/>
        <w:numPr>
          <w:ilvl w:val="0"/>
          <w:numId w:val="2"/>
        </w:numPr>
        <w:spacing w:after="60"/>
      </w:pPr>
      <w:r>
        <w:t xml:space="preserve">Bilingual support (Amharic and English) is required from MVP, not added later.</w:t>
      </w:r>
    </w:p>
    <w:p>
      <w:pPr>
        <w:pStyle w:val="ListParagraph"/>
        <w:numPr>
          <w:ilvl w:val="0"/>
          <w:numId w:val="2"/>
        </w:numPr>
        <w:spacing w:after="60"/>
      </w:pPr>
      <w:r>
        <w:t xml:space="preserve">Low-bandwidth performance is a hard constraint, not an optimization for later.</w:t>
      </w:r>
    </w:p>
    <w:p>
      <w:pPr>
        <w:pStyle w:val="Heading1"/>
        <w:spacing w:after="160" w:before="360"/>
      </w:pPr>
      <w:r>
        <w:t xml:space="preserve">3. System Architecture Overview</w:t>
      </w:r>
    </w:p>
    <w:p>
      <w:pPr>
        <w:spacing w:after="160" w:line="276"/>
      </w:pPr>
      <w:r>
        <w:t xml:space="preserve">A single mobile application serves both roles. During sign-up, a user chooses to register as a Passenger, a Driver, or later adds the second role to the same account. Driver registration additionally collects vehicle and license information and triggers a verification workflow before the driver can go online. A separate web-based Admin Console gives operations staff visibility and control across users, trips, routes, pricing, and payments.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Component</w:t>
            </w:r>
          </w:p>
        </w:tc>
        <w:tc>
          <w:tcPr>
            <w:tcW w:type="dxa" w:w="6400"/>
            <w:shd w:fill="1F3864"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3200"/>
            <w:shd w:fill="F2F6F6" w:val="clear"/>
            <w:tcMar>
              <w:top w:type="dxa" w:w="80"/>
              <w:left w:type="dxa" w:w="100"/>
              <w:bottom w:type="dxa" w:w="80"/>
              <w:right w:type="dxa" w:w="100"/>
            </w:tcMar>
            <w:vAlign w:val="center"/>
          </w:tcPr>
          <w:p>
            <w:pPr>
              <w:jc w:val="left"/>
            </w:pPr>
            <w:r>
              <w:rPr>
                <w:b w:val="false"/>
                <w:bCs w:val="false"/>
                <w:sz w:val="20"/>
                <w:szCs w:val="20"/>
              </w:rPr>
              <w:t xml:space="preserve">Unified Mobile App</w:t>
            </w:r>
          </w:p>
        </w:tc>
        <w:tc>
          <w:tcPr>
            <w:tcW w:type="dxa" w:w="6400"/>
            <w:shd w:fill="F2F6F6" w:val="clear"/>
            <w:tcMar>
              <w:top w:type="dxa" w:w="80"/>
              <w:left w:type="dxa" w:w="100"/>
              <w:bottom w:type="dxa" w:w="80"/>
              <w:right w:type="dxa" w:w="100"/>
            </w:tcMar>
            <w:vAlign w:val="center"/>
          </w:tcPr>
          <w:p>
            <w:pPr>
              <w:jc w:val="left"/>
            </w:pPr>
            <w:r>
              <w:rPr>
                <w:b w:val="false"/>
                <w:bCs w:val="false"/>
                <w:sz w:val="20"/>
                <w:szCs w:val="20"/>
              </w:rPr>
              <w:t xml:space="preserve">Android/iOS app for passengers and drivers; role toggle for dual-role accounts</w:t>
            </w:r>
          </w:p>
        </w:tc>
      </w:tr>
      <w:tr>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Backend API</w:t>
            </w:r>
          </w:p>
        </w:tc>
        <w:tc>
          <w:tcPr>
            <w:tcW w:type="dxa" w:w="6400"/>
            <w:shd w:fill="FFFFFF" w:val="clear"/>
            <w:tcMar>
              <w:top w:type="dxa" w:w="80"/>
              <w:left w:type="dxa" w:w="100"/>
              <w:bottom w:type="dxa" w:w="80"/>
              <w:right w:type="dxa" w:w="100"/>
            </w:tcMar>
            <w:vAlign w:val="center"/>
          </w:tcPr>
          <w:p>
            <w:pPr>
              <w:jc w:val="left"/>
            </w:pPr>
            <w:r>
              <w:rPr>
                <w:b w:val="false"/>
                <w:bCs w:val="false"/>
                <w:sz w:val="20"/>
                <w:szCs w:val="20"/>
              </w:rPr>
              <w:t xml:space="preserve">Core business logic: auth, matching, trips, routes, subscriptions, payments, notifications</w:t>
            </w:r>
          </w:p>
        </w:tc>
      </w:tr>
      <w:tr>
        <w:tc>
          <w:tcPr>
            <w:tcW w:type="dxa" w:w="3200"/>
            <w:shd w:fill="F2F6F6" w:val="clear"/>
            <w:tcMar>
              <w:top w:type="dxa" w:w="80"/>
              <w:left w:type="dxa" w:w="100"/>
              <w:bottom w:type="dxa" w:w="80"/>
              <w:right w:type="dxa" w:w="100"/>
            </w:tcMar>
            <w:vAlign w:val="center"/>
          </w:tcPr>
          <w:p>
            <w:pPr>
              <w:jc w:val="left"/>
            </w:pPr>
            <w:r>
              <w:rPr>
                <w:b w:val="false"/>
                <w:bCs w:val="false"/>
                <w:sz w:val="20"/>
                <w:szCs w:val="20"/>
              </w:rPr>
              <w:t xml:space="preserve">Matching Engine</w:t>
            </w:r>
          </w:p>
        </w:tc>
        <w:tc>
          <w:tcPr>
            <w:tcW w:type="dxa" w:w="6400"/>
            <w:shd w:fill="F2F6F6" w:val="clear"/>
            <w:tcMar>
              <w:top w:type="dxa" w:w="80"/>
              <w:left w:type="dxa" w:w="100"/>
              <w:bottom w:type="dxa" w:w="80"/>
              <w:right w:type="dxa" w:w="100"/>
            </w:tcMar>
            <w:vAlign w:val="center"/>
          </w:tcPr>
          <w:p>
            <w:pPr>
              <w:jc w:val="left"/>
            </w:pPr>
            <w:r>
              <w:rPr>
                <w:b w:val="false"/>
                <w:bCs w:val="false"/>
                <w:sz w:val="20"/>
                <w:szCs w:val="20"/>
              </w:rPr>
              <w:t xml:space="preserve">Real-time on-demand dispatch + route/corridor overlap matching for pooling; implemented within the single NestJS backend using PostGIS geospatial queries (see Section 6)</w:t>
            </w:r>
          </w:p>
        </w:tc>
      </w:tr>
      <w:tr>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Payments &amp; Wallet Service</w:t>
            </w:r>
          </w:p>
        </w:tc>
        <w:tc>
          <w:tcPr>
            <w:tcW w:type="dxa" w:w="6400"/>
            <w:shd w:fill="FFFFFF" w:val="clear"/>
            <w:tcMar>
              <w:top w:type="dxa" w:w="80"/>
              <w:left w:type="dxa" w:w="100"/>
              <w:bottom w:type="dxa" w:w="80"/>
              <w:right w:type="dxa" w:w="100"/>
            </w:tcMar>
            <w:vAlign w:val="center"/>
          </w:tcPr>
          <w:p>
            <w:pPr>
              <w:jc w:val="left"/>
            </w:pPr>
            <w:r>
              <w:rPr>
                <w:b w:val="false"/>
                <w:bCs w:val="false"/>
                <w:sz w:val="20"/>
                <w:szCs w:val="20"/>
              </w:rPr>
              <w:t xml:space="preserve">Mobile money integration, cash reconciliation, driver payouts, subscription billing</w:t>
            </w:r>
          </w:p>
        </w:tc>
      </w:tr>
      <w:tr>
        <w:tc>
          <w:tcPr>
            <w:tcW w:type="dxa" w:w="3200"/>
            <w:shd w:fill="F2F6F6" w:val="clear"/>
            <w:tcMar>
              <w:top w:type="dxa" w:w="80"/>
              <w:left w:type="dxa" w:w="100"/>
              <w:bottom w:type="dxa" w:w="80"/>
              <w:right w:type="dxa" w:w="100"/>
            </w:tcMar>
            <w:vAlign w:val="center"/>
          </w:tcPr>
          <w:p>
            <w:pPr>
              <w:jc w:val="left"/>
            </w:pPr>
            <w:r>
              <w:rPr>
                <w:b w:val="false"/>
                <w:bCs w:val="false"/>
                <w:sz w:val="20"/>
                <w:szCs w:val="20"/>
              </w:rPr>
              <w:t xml:space="preserve">Admin Console (Web)</w:t>
            </w:r>
          </w:p>
        </w:tc>
        <w:tc>
          <w:tcPr>
            <w:tcW w:type="dxa" w:w="6400"/>
            <w:shd w:fill="F2F6F6" w:val="clear"/>
            <w:tcMar>
              <w:top w:type="dxa" w:w="80"/>
              <w:left w:type="dxa" w:w="100"/>
              <w:bottom w:type="dxa" w:w="80"/>
              <w:right w:type="dxa" w:w="100"/>
            </w:tcMar>
            <w:vAlign w:val="center"/>
          </w:tcPr>
          <w:p>
            <w:pPr>
              <w:jc w:val="left"/>
            </w:pPr>
            <w:r>
              <w:rPr>
                <w:b w:val="false"/>
                <w:bCs w:val="false"/>
                <w:sz w:val="20"/>
                <w:szCs w:val="20"/>
              </w:rPr>
              <w:t xml:space="preserve">Driver verification, dispute handling, pricing/zone config, analytics, reporting</w:t>
            </w:r>
          </w:p>
        </w:tc>
      </w:tr>
      <w:tr>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Notification Service</w:t>
            </w:r>
          </w:p>
        </w:tc>
        <w:tc>
          <w:tcPr>
            <w:tcW w:type="dxa" w:w="6400"/>
            <w:shd w:fill="FFFFFF" w:val="clear"/>
            <w:tcMar>
              <w:top w:type="dxa" w:w="80"/>
              <w:left w:type="dxa" w:w="100"/>
              <w:bottom w:type="dxa" w:w="80"/>
              <w:right w:type="dxa" w:w="100"/>
            </w:tcMar>
            <w:vAlign w:val="center"/>
          </w:tcPr>
          <w:p>
            <w:pPr>
              <w:jc w:val="left"/>
            </w:pPr>
            <w:r>
              <w:rPr>
                <w:b w:val="false"/>
                <w:bCs w:val="false"/>
                <w:sz w:val="20"/>
                <w:szCs w:val="20"/>
              </w:rPr>
              <w:t xml:space="preserve">Push notifications with SMS fallback for critical events</w:t>
            </w:r>
          </w:p>
        </w:tc>
      </w:tr>
      <w:tr>
        <w:tc>
          <w:tcPr>
            <w:tcW w:type="dxa" w:w="3200"/>
            <w:shd w:fill="F2F6F6" w:val="clear"/>
            <w:tcMar>
              <w:top w:type="dxa" w:w="80"/>
              <w:left w:type="dxa" w:w="100"/>
              <w:bottom w:type="dxa" w:w="80"/>
              <w:right w:type="dxa" w:w="100"/>
            </w:tcMar>
            <w:vAlign w:val="center"/>
          </w:tcPr>
          <w:p>
            <w:pPr>
              <w:jc w:val="left"/>
            </w:pPr>
            <w:r>
              <w:rPr>
                <w:b w:val="false"/>
                <w:bCs w:val="false"/>
                <w:sz w:val="20"/>
                <w:szCs w:val="20"/>
              </w:rPr>
              <w:t xml:space="preserve">Mapping/Geospatial Service</w:t>
            </w:r>
          </w:p>
        </w:tc>
        <w:tc>
          <w:tcPr>
            <w:tcW w:type="dxa" w:w="6400"/>
            <w:shd w:fill="F2F6F6" w:val="clear"/>
            <w:tcMar>
              <w:top w:type="dxa" w:w="80"/>
              <w:left w:type="dxa" w:w="100"/>
              <w:bottom w:type="dxa" w:w="80"/>
              <w:right w:type="dxa" w:w="100"/>
            </w:tcMar>
            <w:vAlign w:val="center"/>
          </w:tcPr>
          <w:p>
            <w:pPr>
              <w:jc w:val="left"/>
            </w:pPr>
            <w:r>
              <w:rPr>
                <w:b w:val="false"/>
                <w:bCs w:val="false"/>
                <w:sz w:val="20"/>
                <w:szCs w:val="20"/>
              </w:rPr>
              <w:t xml:space="preserve">Geocoding, routing, live location, corridor-overlap calculations</w:t>
            </w:r>
          </w:p>
        </w:tc>
      </w:tr>
    </w:tbl>
    <w:p>
      <w:pPr>
        <w:pStyle w:val="Heading1"/>
        <w:spacing w:after="160" w:before="360"/>
      </w:pPr>
      <w:r>
        <w:t xml:space="preserve">4. Functional Requirements — Modules</w:t>
      </w:r>
    </w:p>
    <w:p>
      <w:pPr>
        <w:pStyle w:val="Heading2"/>
        <w:spacing w:after="120" w:before="280"/>
      </w:pPr>
      <w:r>
        <w:t xml:space="preserve">4.1 Unified Onboarding &amp; Account Module</w:t>
      </w:r>
    </w:p>
    <w:p>
      <w:pPr>
        <w:pStyle w:val="ListParagraph"/>
        <w:numPr>
          <w:ilvl w:val="0"/>
          <w:numId w:val="2"/>
        </w:numPr>
        <w:spacing w:after="60"/>
      </w:pPr>
      <w:r>
        <w:t xml:space="preserve">Sign-up via phone number + OTP (primary), with optional email.</w:t>
      </w:r>
    </w:p>
    <w:p>
      <w:pPr>
        <w:pStyle w:val="ListParagraph"/>
        <w:numPr>
          <w:ilvl w:val="0"/>
          <w:numId w:val="2"/>
        </w:numPr>
        <w:spacing w:after="60"/>
      </w:pPr>
      <w:r>
        <w:t xml:space="preserve">Role selection at sign-up: Passenger, Driver, or Both.</w:t>
      </w:r>
    </w:p>
    <w:p>
      <w:pPr>
        <w:pStyle w:val="ListParagraph"/>
        <w:numPr>
          <w:ilvl w:val="0"/>
          <w:numId w:val="2"/>
        </w:numPr>
        <w:spacing w:after="60"/>
      </w:pPr>
      <w:r>
        <w:t xml:space="preserve">Passenger profile: name, phone, emergency contact, profile photo, saved places.</w:t>
      </w:r>
    </w:p>
    <w:p>
      <w:pPr>
        <w:pStyle w:val="ListParagraph"/>
        <w:numPr>
          <w:ilvl w:val="0"/>
          <w:numId w:val="2"/>
        </w:numPr>
        <w:spacing w:after="60"/>
      </w:pPr>
      <w:r>
        <w:t xml:space="preserve">Driver profile: name, phone, national ID, driving license (photo upload), vehicle registration/plate, vehicle photo, insurance document, bank/mobile-money payout details.</w:t>
      </w:r>
    </w:p>
    <w:p>
      <w:pPr>
        <w:pStyle w:val="ListParagraph"/>
        <w:numPr>
          <w:ilvl w:val="0"/>
          <w:numId w:val="2"/>
        </w:numPr>
        <w:spacing w:after="60"/>
      </w:pPr>
      <w:r>
        <w:t xml:space="preserve">Driver verification workflow: documents reviewed by Admin before the driver can accept trips or post routes.</w:t>
      </w:r>
    </w:p>
    <w:p>
      <w:pPr>
        <w:pStyle w:val="ListParagraph"/>
        <w:numPr>
          <w:ilvl w:val="0"/>
          <w:numId w:val="2"/>
        </w:numPr>
        <w:spacing w:after="60"/>
      </w:pPr>
      <w:r>
        <w:t xml:space="preserve">Role switch UI: a dual-role user can toggle between “I need a ride” and “I’m driving” from one account.</w:t>
      </w:r>
    </w:p>
    <w:p>
      <w:pPr>
        <w:pStyle w:val="ListParagraph"/>
        <w:numPr>
          <w:ilvl w:val="0"/>
          <w:numId w:val="2"/>
        </w:numPr>
        <w:spacing w:after="60"/>
      </w:pPr>
      <w:r>
        <w:t xml:space="preserve">Language selection: Amharic / English, switchable anytime.</w:t>
      </w:r>
    </w:p>
    <w:p>
      <w:pPr>
        <w:pStyle w:val="Heading2"/>
        <w:spacing w:after="120" w:before="280"/>
      </w:pPr>
      <w:r>
        <w:t xml:space="preserve">4.2 Passenger Module</w:t>
      </w:r>
    </w:p>
    <w:p>
      <w:pPr>
        <w:pStyle w:val="ListParagraph"/>
        <w:numPr>
          <w:ilvl w:val="0"/>
          <w:numId w:val="2"/>
        </w:numPr>
        <w:spacing w:after="60"/>
      </w:pPr>
      <w:r>
        <w:t xml:space="preserve">Request an on-demand ride: set pickup and destination, view fare estimate, request.</w:t>
      </w:r>
    </w:p>
    <w:p>
      <w:pPr>
        <w:pStyle w:val="ListParagraph"/>
        <w:numPr>
          <w:ilvl w:val="0"/>
          <w:numId w:val="2"/>
        </w:numPr>
        <w:spacing w:after="60"/>
      </w:pPr>
      <w:r>
        <w:t xml:space="preserve">Browse posted routes/corridors matching a desired trip, with driver rating, seats left, price, and departure time.</w:t>
      </w:r>
    </w:p>
    <w:p>
      <w:pPr>
        <w:pStyle w:val="ListParagraph"/>
        <w:numPr>
          <w:ilvl w:val="0"/>
          <w:numId w:val="2"/>
        </w:numPr>
        <w:spacing w:after="60"/>
      </w:pPr>
      <w:r>
        <w:t xml:space="preserve">Book a seat on a posted route; pay for that seat.</w:t>
      </w:r>
    </w:p>
    <w:p>
      <w:pPr>
        <w:pStyle w:val="ListParagraph"/>
        <w:numPr>
          <w:ilvl w:val="0"/>
          <w:numId w:val="2"/>
        </w:numPr>
        <w:spacing w:after="60"/>
      </w:pPr>
      <w:r>
        <w:t xml:space="preserve">Live trip tracking and driver contact (masked calling/chat).</w:t>
      </w:r>
    </w:p>
    <w:p>
      <w:pPr>
        <w:pStyle w:val="ListParagraph"/>
        <w:numPr>
          <w:ilvl w:val="0"/>
          <w:numId w:val="2"/>
        </w:numPr>
        <w:spacing w:after="60"/>
      </w:pPr>
      <w:r>
        <w:t xml:space="preserve">Trip history and digital receipts.</w:t>
      </w:r>
    </w:p>
    <w:p>
      <w:pPr>
        <w:pStyle w:val="ListParagraph"/>
        <w:numPr>
          <w:ilvl w:val="0"/>
          <w:numId w:val="2"/>
        </w:numPr>
        <w:spacing w:after="60"/>
      </w:pPr>
      <w:r>
        <w:t xml:space="preserve">Subscribe to a corridor pass (weekly/monthly) — see 4.6.</w:t>
      </w:r>
    </w:p>
    <w:p>
      <w:pPr>
        <w:pStyle w:val="ListParagraph"/>
        <w:numPr>
          <w:ilvl w:val="0"/>
          <w:numId w:val="2"/>
        </w:numPr>
        <w:spacing w:after="60"/>
      </w:pPr>
      <w:r>
        <w:t xml:space="preserve">Rate and review driver after trip; report an issue.</w:t>
      </w:r>
    </w:p>
    <w:p>
      <w:pPr>
        <w:pStyle w:val="ListParagraph"/>
        <w:numPr>
          <w:ilvl w:val="0"/>
          <w:numId w:val="2"/>
        </w:numPr>
        <w:spacing w:after="60"/>
      </w:pPr>
      <w:r>
        <w:t xml:space="preserve">SOS / emergency-contact sharing during an active trip.</w:t>
      </w:r>
    </w:p>
    <w:p>
      <w:pPr>
        <w:pStyle w:val="ListParagraph"/>
        <w:numPr>
          <w:ilvl w:val="0"/>
          <w:numId w:val="2"/>
        </w:numPr>
        <w:spacing w:after="60"/>
      </w:pPr>
      <w:r>
        <w:t xml:space="preserve">Give post-trip happy/unhappy feedback, earn and redeem loyalty points/coupons — see Section 20.</w:t>
      </w:r>
    </w:p>
    <w:p>
      <w:pPr>
        <w:pStyle w:val="Heading2"/>
        <w:spacing w:after="120" w:before="280"/>
      </w:pPr>
      <w:r>
        <w:t xml:space="preserve">4.3 Driver Module</w:t>
      </w:r>
    </w:p>
    <w:p>
      <w:pPr>
        <w:pStyle w:val="ListParagraph"/>
        <w:numPr>
          <w:ilvl w:val="0"/>
          <w:numId w:val="2"/>
        </w:numPr>
        <w:spacing w:after="60"/>
      </w:pPr>
      <w:r>
        <w:t xml:space="preserve">Go online/offline for on-demand requests.</w:t>
      </w:r>
    </w:p>
    <w:p>
      <w:pPr>
        <w:pStyle w:val="ListParagraph"/>
        <w:numPr>
          <w:ilvl w:val="0"/>
          <w:numId w:val="2"/>
        </w:numPr>
        <w:spacing w:after="60"/>
      </w:pPr>
      <w:r>
        <w:t xml:space="preserve">Accept/decline incoming on-demand ride requests with a response countdown.</w:t>
      </w:r>
    </w:p>
    <w:p>
      <w:pPr>
        <w:pStyle w:val="ListParagraph"/>
        <w:numPr>
          <w:ilvl w:val="0"/>
          <w:numId w:val="2"/>
        </w:numPr>
        <w:spacing w:after="60"/>
      </w:pPr>
      <w:r>
        <w:t xml:space="preserve">Post a route: origin, destination, optional waypoints, departure time or window, seats available, price per seat.</w:t>
      </w:r>
    </w:p>
    <w:p>
      <w:pPr>
        <w:pStyle w:val="ListParagraph"/>
        <w:numPr>
          <w:ilvl w:val="0"/>
          <w:numId w:val="2"/>
        </w:numPr>
        <w:spacing w:after="60"/>
      </w:pPr>
      <w:r>
        <w:t xml:space="preserve">Manage active route postings: edit, cancel, mark full, view booked passengers.</w:t>
      </w:r>
    </w:p>
    <w:p>
      <w:pPr>
        <w:pStyle w:val="ListParagraph"/>
        <w:numPr>
          <w:ilvl w:val="0"/>
          <w:numId w:val="2"/>
        </w:numPr>
        <w:spacing w:after="60"/>
      </w:pPr>
      <w:r>
        <w:t xml:space="preserve">Start/complete trip; per-passenger pickup/drop-off confirmation for pooled trips.</w:t>
      </w:r>
    </w:p>
    <w:p>
      <w:pPr>
        <w:pStyle w:val="ListParagraph"/>
        <w:numPr>
          <w:ilvl w:val="0"/>
          <w:numId w:val="2"/>
        </w:numPr>
        <w:spacing w:after="60"/>
      </w:pPr>
      <w:r>
        <w:t xml:space="preserve">Earnings dashboard: per-trip, daily, weekly, monthly, pending payouts.</w:t>
      </w:r>
    </w:p>
    <w:p>
      <w:pPr>
        <w:pStyle w:val="ListParagraph"/>
        <w:numPr>
          <w:ilvl w:val="0"/>
          <w:numId w:val="2"/>
        </w:numPr>
        <w:spacing w:after="60"/>
      </w:pPr>
      <w:r>
        <w:t xml:space="preserve">Subscription/plan management if the driver pays a listing fee (see 4.6).</w:t>
      </w:r>
    </w:p>
    <w:p>
      <w:pPr>
        <w:pStyle w:val="ListParagraph"/>
        <w:numPr>
          <w:ilvl w:val="0"/>
          <w:numId w:val="2"/>
        </w:numPr>
        <w:spacing w:after="60"/>
      </w:pPr>
      <w:r>
        <w:t xml:space="preserve">In-app navigation handoff to the mapping provider.</w:t>
      </w:r>
    </w:p>
    <w:p>
      <w:pPr>
        <w:pStyle w:val="ListParagraph"/>
        <w:numPr>
          <w:ilvl w:val="0"/>
          <w:numId w:val="2"/>
        </w:numPr>
        <w:spacing w:after="60"/>
      </w:pPr>
      <w:r>
        <w:t xml:space="preserve">View recognition badges and earn performance-based incentives — see Section 20.3.</w:t>
      </w:r>
    </w:p>
    <w:p>
      <w:pPr>
        <w:pStyle w:val="Heading2"/>
        <w:spacing w:after="120" w:before="280"/>
      </w:pPr>
      <w:r>
        <w:t xml:space="preserve">4.4 On-Demand Ride Flow (v1 primary flow)</w:t>
      </w:r>
    </w:p>
    <w:p>
      <w:pPr>
        <w:pStyle w:val="ListParagraph"/>
        <w:numPr>
          <w:ilvl w:val="0"/>
          <w:numId w:val="2"/>
        </w:numPr>
        <w:spacing w:after="60"/>
      </w:pPr>
      <w:r>
        <w:t xml:space="preserve">Passenger requests → nearby available drivers notified → first to accept is assigned.</w:t>
      </w:r>
    </w:p>
    <w:p>
      <w:pPr>
        <w:pStyle w:val="ListParagraph"/>
        <w:numPr>
          <w:ilvl w:val="0"/>
          <w:numId w:val="2"/>
        </w:numPr>
        <w:spacing w:after="60"/>
      </w:pPr>
      <w:r>
        <w:t xml:space="preserve">Configurable request radius and driver response timeout with automatic re-broadcast.</w:t>
      </w:r>
    </w:p>
    <w:p>
      <w:pPr>
        <w:pStyle w:val="ListParagraph"/>
        <w:numPr>
          <w:ilvl w:val="0"/>
          <w:numId w:val="2"/>
        </w:numPr>
        <w:spacing w:after="60"/>
      </w:pPr>
      <w:r>
        <w:t xml:space="preserve">Real-time fare calculation (distance, time, zone/surge rules).</w:t>
      </w:r>
    </w:p>
    <w:p>
      <w:pPr>
        <w:pStyle w:val="Heading2"/>
        <w:spacing w:after="120" w:before="280"/>
      </w:pPr>
      <w:r>
        <w:t xml:space="preserve">4.5 Scheduled Route / Pooling Flow (v1.x)</w:t>
      </w:r>
    </w:p>
    <w:p>
      <w:pPr>
        <w:pStyle w:val="ListParagraph"/>
        <w:numPr>
          <w:ilvl w:val="0"/>
          <w:numId w:val="2"/>
        </w:numPr>
        <w:spacing w:after="60"/>
      </w:pPr>
      <w:r>
        <w:t xml:space="preserve">Driver declares a route in advance; system indexes it for corridor search.</w:t>
      </w:r>
    </w:p>
    <w:p>
      <w:pPr>
        <w:pStyle w:val="ListParagraph"/>
        <w:numPr>
          <w:ilvl w:val="0"/>
          <w:numId w:val="2"/>
        </w:numPr>
        <w:spacing w:after="60"/>
      </w:pPr>
      <w:r>
        <w:t xml:space="preserve">Passenger searches by desired origin/destination; system returns routes whose path overlaps sufficiently with the request, even if the driver’s full route is longer.</w:t>
      </w:r>
    </w:p>
    <w:p>
      <w:pPr>
        <w:pStyle w:val="ListParagraph"/>
        <w:numPr>
          <w:ilvl w:val="0"/>
          <w:numId w:val="2"/>
        </w:numPr>
        <w:spacing w:after="60"/>
      </w:pPr>
      <w:r>
        <w:t xml:space="preserve">Multiple passengers can book distinct segments of the same route (seat-and-segment allocation, not just seat count).</w:t>
      </w:r>
    </w:p>
    <w:p>
      <w:pPr>
        <w:pStyle w:val="ListParagraph"/>
        <w:numPr>
          <w:ilvl w:val="0"/>
          <w:numId w:val="2"/>
        </w:numPr>
        <w:spacing w:after="60"/>
      </w:pPr>
      <w:r>
        <w:t xml:space="preserve">Detour tolerance and minimum-overlap thresholds are configurable by Admin.</w:t>
      </w:r>
    </w:p>
    <w:p>
      <w:pPr>
        <w:pStyle w:val="Heading2"/>
        <w:spacing w:after="120" w:before="280"/>
      </w:pPr>
      <w:r>
        <w:t xml:space="preserve">4.6 Subscription / Pass Module (v2)</w:t>
      </w:r>
    </w:p>
    <w:p>
      <w:pPr>
        <w:pStyle w:val="ListParagraph"/>
        <w:numPr>
          <w:ilvl w:val="0"/>
          <w:numId w:val="2"/>
        </w:numPr>
        <w:spacing w:after="60"/>
      </w:pPr>
      <w:r>
        <w:t xml:space="preserve">Passenger subscribes to a specific corridor (e.g. “Bole – Piassa”) for a weekly or monthly period.</w:t>
      </w:r>
    </w:p>
    <w:p>
      <w:pPr>
        <w:pStyle w:val="ListParagraph"/>
        <w:numPr>
          <w:ilvl w:val="0"/>
          <w:numId w:val="2"/>
        </w:numPr>
        <w:spacing w:after="60"/>
      </w:pPr>
      <w:r>
        <w:t xml:space="preserve">Pass is honored by any verified driver posting a matching route that day (platform-pooled model), not tied to one driver.</w:t>
      </w:r>
    </w:p>
    <w:p>
      <w:pPr>
        <w:pStyle w:val="ListParagraph"/>
        <w:numPr>
          <w:ilvl w:val="0"/>
          <w:numId w:val="2"/>
        </w:numPr>
        <w:spacing w:after="60"/>
      </w:pPr>
      <w:r>
        <w:t xml:space="preserve">Optional premium tier: preferred/dedicated driver, subject to availability (v2+).</w:t>
      </w:r>
    </w:p>
    <w:p>
      <w:pPr>
        <w:pStyle w:val="ListParagraph"/>
        <w:numPr>
          <w:ilvl w:val="0"/>
          <w:numId w:val="2"/>
        </w:numPr>
        <w:spacing w:after="60"/>
      </w:pPr>
      <w:r>
        <w:t xml:space="preserve">Driver-side subscription option: drivers may pay a recurring platform-access fee instead of, or blended with, per-trip commission — commission-vs-subscription mix is a pricing-policy decision configured in Admin, not hard-coded.</w:t>
      </w:r>
    </w:p>
    <w:p>
      <w:pPr>
        <w:pStyle w:val="ListParagraph"/>
        <w:numPr>
          <w:ilvl w:val="0"/>
          <w:numId w:val="2"/>
        </w:numPr>
        <w:spacing w:after="60"/>
      </w:pPr>
      <w:r>
        <w:t xml:space="preserve">Corporate/institutional bulk-subscription for staff or students (v2+).</w:t>
      </w:r>
    </w:p>
    <w:p>
      <w:pPr>
        <w:pStyle w:val="Heading2"/>
        <w:spacing w:after="120" w:before="280"/>
      </w:pPr>
      <w:r>
        <w:t xml:space="preserve">4.7 Matching Engine</w:t>
      </w:r>
    </w:p>
    <w:p>
      <w:pPr>
        <w:pStyle w:val="ListParagraph"/>
        <w:numPr>
          <w:ilvl w:val="0"/>
          <w:numId w:val="2"/>
        </w:numPr>
        <w:spacing w:after="60"/>
      </w:pPr>
      <w:r>
        <w:t xml:space="preserve">On-demand: proximity-based dispatch with driver acceptance.</w:t>
      </w:r>
    </w:p>
    <w:p>
      <w:pPr>
        <w:pStyle w:val="ListParagraph"/>
        <w:numPr>
          <w:ilvl w:val="0"/>
          <w:numId w:val="2"/>
        </w:numPr>
        <w:spacing w:after="60"/>
      </w:pPr>
      <w:r>
        <w:t xml:space="preserve">Route pooling: geospatial overlap calculation between a passenger’s desired segment and posted driver routes, ranked by overlap %, detour cost, price, and driver rating.</w:t>
      </w:r>
    </w:p>
    <w:p>
      <w:pPr>
        <w:pStyle w:val="ListParagraph"/>
        <w:numPr>
          <w:ilvl w:val="0"/>
          <w:numId w:val="2"/>
        </w:numPr>
        <w:spacing w:after="60"/>
      </w:pPr>
      <w:r>
        <w:t xml:space="preserve">Subscription assignment: matches an active pass-holder to any driver running that corridor on a given day.</w:t>
      </w:r>
    </w:p>
    <w:p>
      <w:pPr>
        <w:pStyle w:val="Heading2"/>
        <w:spacing w:after="120" w:before="280"/>
      </w:pPr>
      <w:r>
        <w:t xml:space="preserve">4.8 Payments &amp; Wallet</w:t>
      </w:r>
    </w:p>
    <w:p>
      <w:pPr>
        <w:pStyle w:val="ListParagraph"/>
        <w:numPr>
          <w:ilvl w:val="0"/>
          <w:numId w:val="2"/>
        </w:numPr>
        <w:spacing w:after="60"/>
      </w:pPr>
      <w:r>
        <w:t xml:space="preserve">Cash-on-trip support (mandatory for v1).</w:t>
      </w:r>
    </w:p>
    <w:p>
      <w:pPr>
        <w:pStyle w:val="ListParagraph"/>
        <w:numPr>
          <w:ilvl w:val="0"/>
          <w:numId w:val="2"/>
        </w:numPr>
        <w:spacing w:after="60"/>
      </w:pPr>
      <w:r>
        <w:t xml:space="preserve">Mobile money integration: Telebirr and/or CBE Birr; card payment as secondary option.</w:t>
      </w:r>
    </w:p>
    <w:p>
      <w:pPr>
        <w:pStyle w:val="ListParagraph"/>
        <w:numPr>
          <w:ilvl w:val="0"/>
          <w:numId w:val="2"/>
        </w:numPr>
        <w:spacing w:after="60"/>
      </w:pPr>
      <w:r>
        <w:t xml:space="preserve">In-app wallet for passenger top-ups and driver earnings.</w:t>
      </w:r>
    </w:p>
    <w:p>
      <w:pPr>
        <w:pStyle w:val="ListParagraph"/>
        <w:numPr>
          <w:ilvl w:val="0"/>
          <w:numId w:val="2"/>
        </w:numPr>
        <w:spacing w:after="60"/>
      </w:pPr>
      <w:r>
        <w:t xml:space="preserve">Automated commission deduction per trip and/or subscription billing, per configured pricing policy.</w:t>
      </w:r>
    </w:p>
    <w:p>
      <w:pPr>
        <w:pStyle w:val="ListParagraph"/>
        <w:numPr>
          <w:ilvl w:val="0"/>
          <w:numId w:val="2"/>
        </w:numPr>
        <w:spacing w:after="60"/>
      </w:pPr>
      <w:r>
        <w:t xml:space="preserve">Driver payout scheduling (daily/weekly) with reconciliation reporting.</w:t>
      </w:r>
    </w:p>
    <w:p>
      <w:pPr>
        <w:pStyle w:val="ListParagraph"/>
        <w:numPr>
          <w:ilvl w:val="0"/>
          <w:numId w:val="2"/>
        </w:numPr>
        <w:spacing w:after="60"/>
      </w:pPr>
      <w:r>
        <w:t xml:space="preserve">Refund and dispute handling workflow.</w:t>
      </w:r>
    </w:p>
    <w:p>
      <w:pPr>
        <w:pStyle w:val="Heading2"/>
        <w:spacing w:after="120" w:before="280"/>
      </w:pPr>
      <w:r>
        <w:t xml:space="preserve">4.9 Ratings, Trust &amp; Safety</w:t>
      </w:r>
    </w:p>
    <w:p>
      <w:pPr>
        <w:pStyle w:val="ListParagraph"/>
        <w:numPr>
          <w:ilvl w:val="0"/>
          <w:numId w:val="2"/>
        </w:numPr>
        <w:spacing w:after="60"/>
      </w:pPr>
      <w:r>
        <w:t xml:space="preserve">Two-way rating (passenger rates driver, driver rates passenger).</w:t>
      </w:r>
    </w:p>
    <w:p>
      <w:pPr>
        <w:pStyle w:val="ListParagraph"/>
        <w:numPr>
          <w:ilvl w:val="0"/>
          <w:numId w:val="2"/>
        </w:numPr>
        <w:spacing w:after="60"/>
      </w:pPr>
      <w:r>
        <w:t xml:space="preserve">Driver document/background verification gating before activation.</w:t>
      </w:r>
    </w:p>
    <w:p>
      <w:pPr>
        <w:pStyle w:val="ListParagraph"/>
        <w:numPr>
          <w:ilvl w:val="0"/>
          <w:numId w:val="2"/>
        </w:numPr>
        <w:spacing w:after="60"/>
      </w:pPr>
      <w:r>
        <w:t xml:space="preserve">SOS button with live-location sharing to emergency contacts during a trip.</w:t>
      </w:r>
    </w:p>
    <w:p>
      <w:pPr>
        <w:pStyle w:val="ListParagraph"/>
        <w:numPr>
          <w:ilvl w:val="0"/>
          <w:numId w:val="2"/>
        </w:numPr>
        <w:spacing w:after="60"/>
      </w:pPr>
      <w:r>
        <w:t xml:space="preserve">Trip-sharing link for passengers to share live status with a third party.</w:t>
      </w:r>
    </w:p>
    <w:p>
      <w:pPr>
        <w:pStyle w:val="ListParagraph"/>
        <w:numPr>
          <w:ilvl w:val="0"/>
          <w:numId w:val="2"/>
        </w:numPr>
        <w:spacing w:after="60"/>
      </w:pPr>
      <w:r>
        <w:t xml:space="preserve">Incident reporting and Admin escalation workflow.</w:t>
      </w:r>
    </w:p>
    <w:p>
      <w:pPr>
        <w:pStyle w:val="Heading2"/>
        <w:spacing w:after="120" w:before="280"/>
      </w:pPr>
      <w:r>
        <w:t xml:space="preserve">4.10 Notifications</w:t>
      </w:r>
    </w:p>
    <w:p>
      <w:pPr>
        <w:pStyle w:val="ListParagraph"/>
        <w:numPr>
          <w:ilvl w:val="0"/>
          <w:numId w:val="2"/>
        </w:numPr>
        <w:spacing w:after="60"/>
      </w:pPr>
      <w:r>
        <w:t xml:space="preserve">Push notifications for trip status, route matches, subscription renewal, promotions.</w:t>
      </w:r>
    </w:p>
    <w:p>
      <w:pPr>
        <w:pStyle w:val="ListParagraph"/>
        <w:numPr>
          <w:ilvl w:val="0"/>
          <w:numId w:val="2"/>
        </w:numPr>
        <w:spacing w:after="60"/>
      </w:pPr>
      <w:r>
        <w:t xml:space="preserve">SMS fallback for critical events (trip confirmation, driver assigned, OTP) given variable data connectivity.</w:t>
      </w:r>
    </w:p>
    <w:p>
      <w:pPr>
        <w:pStyle w:val="Heading2"/>
        <w:spacing w:after="120" w:before="280"/>
      </w:pPr>
      <w:r>
        <w:t xml:space="preserve">4.11 Admin Console (Platform Operations)</w:t>
      </w:r>
    </w:p>
    <w:p>
      <w:pPr>
        <w:pStyle w:val="ListParagraph"/>
        <w:numPr>
          <w:ilvl w:val="0"/>
          <w:numId w:val="2"/>
        </w:numPr>
        <w:spacing w:after="60"/>
      </w:pPr>
      <w:r>
        <w:t xml:space="preserve">Driver document verification queue and approval/rejection workflow.</w:t>
      </w:r>
    </w:p>
    <w:p>
      <w:pPr>
        <w:pStyle w:val="ListParagraph"/>
        <w:numPr>
          <w:ilvl w:val="0"/>
          <w:numId w:val="2"/>
        </w:numPr>
        <w:spacing w:after="60"/>
      </w:pPr>
      <w:r>
        <w:t xml:space="preserve">Live map of active trips and online drivers.</w:t>
      </w:r>
    </w:p>
    <w:p>
      <w:pPr>
        <w:pStyle w:val="ListParagraph"/>
        <w:numPr>
          <w:ilvl w:val="0"/>
          <w:numId w:val="2"/>
        </w:numPr>
        <w:spacing w:after="60"/>
      </w:pPr>
      <w:r>
        <w:t xml:space="preserve">Pricing and zone configuration (base fare, per-km rate, corridor pricing, surge rules).</w:t>
      </w:r>
    </w:p>
    <w:p>
      <w:pPr>
        <w:pStyle w:val="ListParagraph"/>
        <w:numPr>
          <w:ilvl w:val="0"/>
          <w:numId w:val="2"/>
        </w:numPr>
        <w:spacing w:after="60"/>
      </w:pPr>
      <w:r>
        <w:t xml:space="preserve">Subscription plan configuration (corridors offered, pricing, commission-vs-subscription mix).</w:t>
      </w:r>
    </w:p>
    <w:p>
      <w:pPr>
        <w:pStyle w:val="ListParagraph"/>
        <w:numPr>
          <w:ilvl w:val="0"/>
          <w:numId w:val="2"/>
        </w:numPr>
        <w:spacing w:after="60"/>
      </w:pPr>
      <w:r>
        <w:t xml:space="preserve">Dispute and incident management.</w:t>
      </w:r>
    </w:p>
    <w:p>
      <w:pPr>
        <w:pStyle w:val="ListParagraph"/>
        <w:numPr>
          <w:ilvl w:val="0"/>
          <w:numId w:val="2"/>
        </w:numPr>
        <w:spacing w:after="60"/>
      </w:pPr>
      <w:r>
        <w:t xml:space="preserve">Financial reporting: revenue, commissions, payouts, subscription billing.</w:t>
      </w:r>
    </w:p>
    <w:p>
      <w:pPr>
        <w:pStyle w:val="ListParagraph"/>
        <w:numPr>
          <w:ilvl w:val="0"/>
          <w:numId w:val="2"/>
        </w:numPr>
        <w:spacing w:after="60"/>
      </w:pPr>
      <w:r>
        <w:t xml:space="preserve">User and driver account management (suspend, ban, reinstate).</w:t>
      </w:r>
    </w:p>
    <w:p>
      <w:pPr>
        <w:pStyle w:val="ListParagraph"/>
        <w:numPr>
          <w:ilvl w:val="0"/>
          <w:numId w:val="2"/>
        </w:numPr>
        <w:spacing w:after="60"/>
      </w:pPr>
      <w:r>
        <w:t xml:space="preserve">Analytics dashboard: demand heatmaps, corridor demand, driver utilization.</w:t>
      </w:r>
    </w:p>
    <w:p>
      <w:pPr>
        <w:pStyle w:val="ListParagraph"/>
        <w:numPr>
          <w:ilvl w:val="0"/>
          <w:numId w:val="2"/>
        </w:numPr>
        <w:spacing w:after="60"/>
      </w:pPr>
      <w:r>
        <w:t xml:space="preserve">Feedback dashboard and campaign/coupon management tools — see Section 20.6.</w:t>
      </w:r>
    </w:p>
    <w:p>
      <w:pPr>
        <w:pStyle w:val="Heading1"/>
        <w:spacing w:after="160" w:before="360"/>
      </w:pPr>
      <w:r>
        <w:t xml:space="preserve">5.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Category</w:t>
            </w:r>
          </w:p>
        </w:tc>
        <w:tc>
          <w:tcPr>
            <w:tcW w:type="dxa" w:w="6800"/>
            <w:shd w:fill="1F3864" w:val="clear"/>
            <w:tcMar>
              <w:top w:type="dxa" w:w="80"/>
              <w:left w:type="dxa" w:w="100"/>
              <w:bottom w:type="dxa" w:w="80"/>
              <w:right w:type="dxa" w:w="100"/>
            </w:tcMar>
            <w:vAlign w:val="center"/>
          </w:tcPr>
          <w:p>
            <w:pPr>
              <w:jc w:val="left"/>
            </w:pPr>
            <w:r>
              <w:rPr>
                <w:b/>
                <w:bCs/>
                <w:color w:val="FFFFFF"/>
                <w:sz w:val="20"/>
                <w:szCs w:val="20"/>
              </w:rPr>
              <w:t xml:space="preserve">Requirement</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Performance</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On-demand match broadcast within 5 seconds of request under normal load</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Scalability</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Architecture must support scaling from single-city pilot to multi-city without redesign</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Availability</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Target 99.5% uptime for core booking and payment services</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Localization</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Full Amharic and English UI from MVP; extensible to other local languages later</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Low-bandwidth resilience</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Core flows usable on 3G; SMS fallback for critical alerts</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Security</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Encrypted data in transit and at rest; secure storage of ID/license documents; role-based admin access</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Data privacy</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Compliance with Ethiopia’s personal data protection requirements; documented data-retention policy</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Auditability</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Full audit trail for payments, commission changes, and admin actions</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Usability</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Onboarding completable by a first-time smartphone user without external help</w:t>
            </w:r>
          </w:p>
        </w:tc>
      </w:tr>
    </w:tbl>
    <w:p>
      <w:pPr>
        <w:pStyle w:val="Heading1"/>
        <w:spacing w:after="160" w:before="360"/>
      </w:pPr>
      <w:r>
        <w:t xml:space="preserve">6. Tools &amp; Technology Stack (decided)</w:t>
      </w:r>
    </w:p>
    <w:p>
      <w:pPr>
        <w:spacing w:after="160" w:line="276"/>
      </w:pPr>
      <w:r>
        <w:t xml:space="preserve">Finalized to match the founder's own skill set (Flutter, React Native, React, Next.js, NestJS, Laravel, FastAPI) for a solo build, using a single backend rather than splitting across languages/services — simpler to build, deploy, and maintain 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70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3800"/>
            <w:shd w:fill="1F3864" w:val="clear"/>
            <w:tcMar>
              <w:top w:type="dxa" w:w="80"/>
              <w:left w:type="dxa" w:w="100"/>
              <w:bottom w:type="dxa" w:w="80"/>
              <w:right w:type="dxa" w:w="100"/>
            </w:tcMar>
            <w:vAlign w:val="center"/>
          </w:tcPr>
          <w:p>
            <w:pPr>
              <w:jc w:val="left"/>
            </w:pPr>
            <w:r>
              <w:rPr>
                <w:b/>
                <w:bCs/>
                <w:color w:val="FFFFFF"/>
                <w:sz w:val="20"/>
                <w:szCs w:val="20"/>
              </w:rPr>
              <w:t xml:space="preserve">Chosen Tooling</w:t>
            </w:r>
          </w:p>
        </w:tc>
        <w:tc>
          <w:tcPr>
            <w:tcW w:type="dxa" w:w="3700"/>
            <w:shd w:fill="1F3864" w:val="clear"/>
            <w:tcMar>
              <w:top w:type="dxa" w:w="80"/>
              <w:left w:type="dxa" w:w="100"/>
              <w:bottom w:type="dxa" w:w="80"/>
              <w:right w:type="dxa" w:w="100"/>
            </w:tcMar>
            <w:vAlign w:val="center"/>
          </w:tcPr>
          <w:p>
            <w:pPr>
              <w:jc w:val="left"/>
            </w:pPr>
            <w:r>
              <w:rPr>
                <w:b/>
                <w:bCs/>
                <w:color w:val="FFFFFF"/>
                <w:sz w:val="20"/>
                <w:szCs w:val="20"/>
              </w:rPr>
              <w:t xml:space="preserve">Why</w:t>
            </w:r>
          </w:p>
        </w:tc>
      </w:tr>
      <w:tr>
        <w:tc>
          <w:tcPr>
            <w:tcW w:type="dxa" w:w="1900"/>
            <w:shd w:fill="F2F6F6" w:val="clear"/>
            <w:tcMar>
              <w:top w:type="dxa" w:w="80"/>
              <w:left w:type="dxa" w:w="100"/>
              <w:bottom w:type="dxa" w:w="80"/>
              <w:right w:type="dxa" w:w="100"/>
            </w:tcMar>
            <w:vAlign w:val="center"/>
          </w:tcPr>
          <w:p>
            <w:pPr>
              <w:jc w:val="left"/>
            </w:pPr>
            <w:r>
              <w:rPr>
                <w:b w:val="false"/>
                <w:bCs w:val="false"/>
                <w:sz w:val="20"/>
                <w:szCs w:val="20"/>
              </w:rPr>
              <w:t xml:space="preserve">Mobile app</w:t>
            </w:r>
          </w:p>
        </w:tc>
        <w:tc>
          <w:tcPr>
            <w:tcW w:type="dxa" w:w="3800"/>
            <w:shd w:fill="F2F6F6" w:val="clear"/>
            <w:tcMar>
              <w:top w:type="dxa" w:w="80"/>
              <w:left w:type="dxa" w:w="100"/>
              <w:bottom w:type="dxa" w:w="80"/>
              <w:right w:type="dxa" w:w="100"/>
            </w:tcMar>
            <w:vAlign w:val="center"/>
          </w:tcPr>
          <w:p>
            <w:pPr>
              <w:jc w:val="left"/>
            </w:pPr>
            <w:r>
              <w:rPr>
                <w:b w:val="false"/>
                <w:bCs w:val="false"/>
                <w:sz w:val="20"/>
                <w:szCs w:val="20"/>
              </w:rPr>
              <w:t xml:space="preserve">Flutter</w:t>
            </w:r>
          </w:p>
        </w:tc>
        <w:tc>
          <w:tcPr>
            <w:tcW w:type="dxa" w:w="3700"/>
            <w:shd w:fill="F2F6F6" w:val="clear"/>
            <w:tcMar>
              <w:top w:type="dxa" w:w="80"/>
              <w:left w:type="dxa" w:w="100"/>
              <w:bottom w:type="dxa" w:w="80"/>
              <w:right w:type="dxa" w:w="100"/>
            </w:tcMar>
            <w:vAlign w:val="center"/>
          </w:tcPr>
          <w:p>
            <w:pPr>
              <w:jc w:val="left"/>
            </w:pPr>
            <w:r>
              <w:rPr>
                <w:b w:val="false"/>
                <w:bCs w:val="false"/>
                <w:sz w:val="20"/>
                <w:szCs w:val="20"/>
              </w:rPr>
              <w:t xml:space="preserve">Single Android + iOS codebase; smoother for live map rendering and marker animation than the alternative (React Native), which matters for a ride-hailing UX</w:t>
            </w:r>
          </w:p>
        </w:tc>
      </w:tr>
      <w:tr>
        <w:tc>
          <w:tcPr>
            <w:tcW w:type="dxa" w:w="1900"/>
            <w:shd w:fill="FFFFFF" w:val="clear"/>
            <w:tcMar>
              <w:top w:type="dxa" w:w="80"/>
              <w:left w:type="dxa" w:w="100"/>
              <w:bottom w:type="dxa" w:w="80"/>
              <w:right w:type="dxa" w:w="100"/>
            </w:tcMar>
            <w:vAlign w:val="center"/>
          </w:tcPr>
          <w:p>
            <w:pPr>
              <w:jc w:val="left"/>
            </w:pPr>
            <w:r>
              <w:rPr>
                <w:b w:val="false"/>
                <w:bCs w:val="false"/>
                <w:sz w:val="20"/>
                <w:szCs w:val="20"/>
              </w:rPr>
              <w:t xml:space="preserve">Backend API (single service)</w:t>
            </w:r>
          </w:p>
        </w:tc>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NestJS (Node.js/TypeScript)</w:t>
            </w:r>
          </w:p>
        </w:tc>
        <w:tc>
          <w:tcPr>
            <w:tcW w:type="dxa" w:w="3700"/>
            <w:shd w:fill="FFFFFF" w:val="clear"/>
            <w:tcMar>
              <w:top w:type="dxa" w:w="80"/>
              <w:left w:type="dxa" w:w="100"/>
              <w:bottom w:type="dxa" w:w="80"/>
              <w:right w:type="dxa" w:w="100"/>
            </w:tcMar>
            <w:vAlign w:val="center"/>
          </w:tcPr>
          <w:p>
            <w:pPr>
              <w:jc w:val="left"/>
            </w:pPr>
            <w:r>
              <w:rPr>
                <w:b w:val="false"/>
                <w:bCs w:val="false"/>
                <w:sz w:val="20"/>
                <w:szCs w:val="20"/>
              </w:rPr>
              <w:t xml:space="preserve">Handles auth, trips, routes, subscriptions, payments, admin APIs, AND the matching engine — one language, one deployment, easier for a solo build</w:t>
            </w:r>
          </w:p>
        </w:tc>
      </w:tr>
      <w:tr>
        <w:tc>
          <w:tcPr>
            <w:tcW w:type="dxa" w:w="1900"/>
            <w:shd w:fill="F2F6F6" w:val="clear"/>
            <w:tcMar>
              <w:top w:type="dxa" w:w="80"/>
              <w:left w:type="dxa" w:w="100"/>
              <w:bottom w:type="dxa" w:w="80"/>
              <w:right w:type="dxa" w:w="100"/>
            </w:tcMar>
            <w:vAlign w:val="center"/>
          </w:tcPr>
          <w:p>
            <w:pPr>
              <w:jc w:val="left"/>
            </w:pPr>
            <w:r>
              <w:rPr>
                <w:b w:val="false"/>
                <w:bCs w:val="false"/>
                <w:sz w:val="20"/>
                <w:szCs w:val="20"/>
              </w:rPr>
              <w:t xml:space="preserve">Matching engine</w:t>
            </w:r>
          </w:p>
        </w:tc>
        <w:tc>
          <w:tcPr>
            <w:tcW w:type="dxa" w:w="3800"/>
            <w:shd w:fill="F2F6F6" w:val="clear"/>
            <w:tcMar>
              <w:top w:type="dxa" w:w="80"/>
              <w:left w:type="dxa" w:w="100"/>
              <w:bottom w:type="dxa" w:w="80"/>
              <w:right w:type="dxa" w:w="100"/>
            </w:tcMar>
            <w:vAlign w:val="center"/>
          </w:tcPr>
          <w:p>
            <w:pPr>
              <w:jc w:val="left"/>
            </w:pPr>
            <w:r>
              <w:rPr>
                <w:b w:val="false"/>
                <w:bCs w:val="false"/>
                <w:sz w:val="20"/>
                <w:szCs w:val="20"/>
              </w:rPr>
              <w:t xml:space="preserve">Implemented inside NestJS using PostGIS SQL functions</w:t>
            </w:r>
          </w:p>
        </w:tc>
        <w:tc>
          <w:tcPr>
            <w:tcW w:type="dxa" w:w="3700"/>
            <w:shd w:fill="F2F6F6" w:val="clear"/>
            <w:tcMar>
              <w:top w:type="dxa" w:w="80"/>
              <w:left w:type="dxa" w:w="100"/>
              <w:bottom w:type="dxa" w:w="80"/>
              <w:right w:type="dxa" w:w="100"/>
            </w:tcMar>
            <w:vAlign w:val="center"/>
          </w:tcPr>
          <w:p>
            <w:pPr>
              <w:jc w:val="left"/>
            </w:pPr>
            <w:r>
              <w:rPr>
                <w:b w:val="false"/>
                <w:bCs w:val="false"/>
                <w:sz w:val="20"/>
                <w:szCs w:val="20"/>
              </w:rPr>
              <w:t xml:space="preserve">Route/corridor overlap (Section 4.7) is handled at the database level (ST_DWithin, ST_LineLocatePoint, ST_ClosestPoint, ST_Distance) rather than in a separate Python service — this is how most production ride-hailing systems do it, and avoids running two backend languages</w:t>
            </w:r>
          </w:p>
        </w:tc>
      </w:tr>
      <w:tr>
        <w:tc>
          <w:tcPr>
            <w:tcW w:type="dxa" w:w="1900"/>
            <w:shd w:fill="FFFFFF" w:val="clear"/>
            <w:tcMar>
              <w:top w:type="dxa" w:w="80"/>
              <w:left w:type="dxa" w:w="100"/>
              <w:bottom w:type="dxa" w:w="80"/>
              <w:right w:type="dxa" w:w="100"/>
            </w:tcMar>
            <w:vAlign w:val="center"/>
          </w:tcPr>
          <w:p>
            <w:pPr>
              <w:jc w:val="left"/>
            </w:pPr>
            <w:r>
              <w:rPr>
                <w:b w:val="false"/>
                <w:bCs w:val="false"/>
                <w:sz w:val="20"/>
                <w:szCs w:val="20"/>
              </w:rPr>
              <w:t xml:space="preserve">Admin Console</w:t>
            </w:r>
          </w:p>
        </w:tc>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Next.js</w:t>
            </w:r>
          </w:p>
        </w:tc>
        <w:tc>
          <w:tcPr>
            <w:tcW w:type="dxa" w:w="3700"/>
            <w:shd w:fill="FFFFFF" w:val="clear"/>
            <w:tcMar>
              <w:top w:type="dxa" w:w="80"/>
              <w:left w:type="dxa" w:w="100"/>
              <w:bottom w:type="dxa" w:w="80"/>
              <w:right w:type="dxa" w:w="100"/>
            </w:tcMar>
            <w:vAlign w:val="center"/>
          </w:tcPr>
          <w:p>
            <w:pPr>
              <w:jc w:val="left"/>
            </w:pPr>
            <w:r>
              <w:rPr>
                <w:b w:val="false"/>
                <w:bCs w:val="false"/>
                <w:sz w:val="20"/>
                <w:szCs w:val="20"/>
              </w:rPr>
              <w:t xml:space="preserve">Shares TypeScript types/DTOs with the NestJS backend; desktop-first, internal-facing</w:t>
            </w:r>
          </w:p>
        </w:tc>
      </w:tr>
      <w:tr>
        <w:tc>
          <w:tcPr>
            <w:tcW w:type="dxa" w:w="1900"/>
            <w:shd w:fill="F2F6F6" w:val="clear"/>
            <w:tcMar>
              <w:top w:type="dxa" w:w="80"/>
              <w:left w:type="dxa" w:w="100"/>
              <w:bottom w:type="dxa" w:w="80"/>
              <w:right w:type="dxa" w:w="100"/>
            </w:tcMar>
            <w:vAlign w:val="center"/>
          </w:tcPr>
          <w:p>
            <w:pPr>
              <w:jc w:val="left"/>
            </w:pPr>
            <w:r>
              <w:rPr>
                <w:b w:val="false"/>
                <w:bCs w:val="false"/>
                <w:sz w:val="20"/>
                <w:szCs w:val="20"/>
              </w:rPr>
              <w:t xml:space="preserve">Database</w:t>
            </w:r>
          </w:p>
        </w:tc>
        <w:tc>
          <w:tcPr>
            <w:tcW w:type="dxa" w:w="3800"/>
            <w:shd w:fill="F2F6F6" w:val="clear"/>
            <w:tcMar>
              <w:top w:type="dxa" w:w="80"/>
              <w:left w:type="dxa" w:w="100"/>
              <w:bottom w:type="dxa" w:w="80"/>
              <w:right w:type="dxa" w:w="100"/>
            </w:tcMar>
            <w:vAlign w:val="center"/>
          </w:tcPr>
          <w:p>
            <w:pPr>
              <w:jc w:val="left"/>
            </w:pPr>
            <w:r>
              <w:rPr>
                <w:b w:val="false"/>
                <w:bCs w:val="false"/>
                <w:sz w:val="20"/>
                <w:szCs w:val="20"/>
              </w:rPr>
              <w:t xml:space="preserve">PostgreSQL + PostGIS</w:t>
            </w:r>
          </w:p>
        </w:tc>
        <w:tc>
          <w:tcPr>
            <w:tcW w:type="dxa" w:w="3700"/>
            <w:shd w:fill="F2F6F6" w:val="clear"/>
            <w:tcMar>
              <w:top w:type="dxa" w:w="80"/>
              <w:left w:type="dxa" w:w="100"/>
              <w:bottom w:type="dxa" w:w="80"/>
              <w:right w:type="dxa" w:w="100"/>
            </w:tcMar>
            <w:vAlign w:val="center"/>
          </w:tcPr>
          <w:p>
            <w:pPr>
              <w:jc w:val="left"/>
            </w:pPr>
            <w:r>
              <w:rPr>
                <w:b w:val="false"/>
                <w:bCs w:val="false"/>
                <w:sz w:val="20"/>
                <w:szCs w:val="20"/>
              </w:rPr>
              <w:t xml:space="preserve">Required for route/corridor geospatial queries across on-demand, pooling, and freight modules</w:t>
            </w:r>
          </w:p>
        </w:tc>
      </w:tr>
      <w:tr>
        <w:tc>
          <w:tcPr>
            <w:tcW w:type="dxa" w:w="1900"/>
            <w:shd w:fill="FFFFFF" w:val="clear"/>
            <w:tcMar>
              <w:top w:type="dxa" w:w="80"/>
              <w:left w:type="dxa" w:w="100"/>
              <w:bottom w:type="dxa" w:w="80"/>
              <w:right w:type="dxa" w:w="100"/>
            </w:tcMar>
            <w:vAlign w:val="center"/>
          </w:tcPr>
          <w:p>
            <w:pPr>
              <w:jc w:val="left"/>
            </w:pPr>
            <w:r>
              <w:rPr>
                <w:b w:val="false"/>
                <w:bCs w:val="false"/>
                <w:sz w:val="20"/>
                <w:szCs w:val="20"/>
              </w:rPr>
              <w:t xml:space="preserve">Real-time layer</w:t>
            </w:r>
          </w:p>
        </w:tc>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Redis + WebSockets</w:t>
            </w:r>
          </w:p>
        </w:tc>
        <w:tc>
          <w:tcPr>
            <w:tcW w:type="dxa" w:w="3700"/>
            <w:shd w:fill="FFFFFF" w:val="clear"/>
            <w:tcMar>
              <w:top w:type="dxa" w:w="80"/>
              <w:left w:type="dxa" w:w="100"/>
              <w:bottom w:type="dxa" w:w="80"/>
              <w:right w:type="dxa" w:w="100"/>
            </w:tcMar>
            <w:vAlign w:val="center"/>
          </w:tcPr>
          <w:p>
            <w:pPr>
              <w:jc w:val="left"/>
            </w:pPr>
            <w:r>
              <w:rPr>
                <w:b w:val="false"/>
                <w:bCs w:val="false"/>
                <w:sz w:val="20"/>
                <w:szCs w:val="20"/>
              </w:rPr>
              <w:t xml:space="preserve">Live driver location, matching queue, trip status updates</w:t>
            </w:r>
          </w:p>
        </w:tc>
      </w:tr>
      <w:tr>
        <w:tc>
          <w:tcPr>
            <w:tcW w:type="dxa" w:w="1900"/>
            <w:shd w:fill="F2F6F6" w:val="clear"/>
            <w:tcMar>
              <w:top w:type="dxa" w:w="80"/>
              <w:left w:type="dxa" w:w="100"/>
              <w:bottom w:type="dxa" w:w="80"/>
              <w:right w:type="dxa" w:w="100"/>
            </w:tcMar>
            <w:vAlign w:val="center"/>
          </w:tcPr>
          <w:p>
            <w:pPr>
              <w:jc w:val="left"/>
            </w:pPr>
            <w:r>
              <w:rPr>
                <w:b w:val="false"/>
                <w:bCs w:val="false"/>
                <w:sz w:val="20"/>
                <w:szCs w:val="20"/>
              </w:rPr>
              <w:t xml:space="preserve">Mapping/Geocoding</w:t>
            </w:r>
          </w:p>
        </w:tc>
        <w:tc>
          <w:tcPr>
            <w:tcW w:type="dxa" w:w="3800"/>
            <w:shd w:fill="F2F6F6" w:val="clear"/>
            <w:tcMar>
              <w:top w:type="dxa" w:w="80"/>
              <w:left w:type="dxa" w:w="100"/>
              <w:bottom w:type="dxa" w:w="80"/>
              <w:right w:type="dxa" w:w="100"/>
            </w:tcMar>
            <w:vAlign w:val="center"/>
          </w:tcPr>
          <w:p>
            <w:pPr>
              <w:jc w:val="left"/>
            </w:pPr>
            <w:r>
              <w:rPr>
                <w:b w:val="false"/>
                <w:bCs w:val="false"/>
                <w:sz w:val="20"/>
                <w:szCs w:val="20"/>
              </w:rPr>
              <w:t xml:space="preserve">Google Maps Platform, supplemented with OpenStreetMap</w:t>
            </w:r>
          </w:p>
        </w:tc>
        <w:tc>
          <w:tcPr>
            <w:tcW w:type="dxa" w:w="3700"/>
            <w:shd w:fill="F2F6F6" w:val="clear"/>
            <w:tcMar>
              <w:top w:type="dxa" w:w="80"/>
              <w:left w:type="dxa" w:w="100"/>
              <w:bottom w:type="dxa" w:w="80"/>
              <w:right w:type="dxa" w:w="100"/>
            </w:tcMar>
            <w:vAlign w:val="center"/>
          </w:tcPr>
          <w:p>
            <w:pPr>
              <w:jc w:val="left"/>
            </w:pPr>
            <w:r>
              <w:rPr>
                <w:b w:val="false"/>
                <w:bCs w:val="false"/>
                <w:sz w:val="20"/>
                <w:szCs w:val="20"/>
              </w:rPr>
              <w:t xml:space="preserve">Validate secondary-city and intercity road data coverage before Section 15 (holiday/intercity) expansion</w:t>
            </w:r>
          </w:p>
        </w:tc>
      </w:tr>
      <w:tr>
        <w:tc>
          <w:tcPr>
            <w:tcW w:type="dxa" w:w="1900"/>
            <w:shd w:fill="FFFFFF" w:val="clear"/>
            <w:tcMar>
              <w:top w:type="dxa" w:w="80"/>
              <w:left w:type="dxa" w:w="100"/>
              <w:bottom w:type="dxa" w:w="80"/>
              <w:right w:type="dxa" w:w="100"/>
            </w:tcMar>
            <w:vAlign w:val="center"/>
          </w:tcPr>
          <w:p>
            <w:pPr>
              <w:jc w:val="left"/>
            </w:pPr>
            <w:r>
              <w:rPr>
                <w:b w:val="false"/>
                <w:bCs w:val="false"/>
                <w:sz w:val="20"/>
                <w:szCs w:val="20"/>
              </w:rPr>
              <w:t xml:space="preserve">Payments</w:t>
            </w:r>
          </w:p>
        </w:tc>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Telebirr / CBE Birr APIs via a licensed aggregator (e.g. Chapa, ArifPay)</w:t>
            </w:r>
          </w:p>
        </w:tc>
        <w:tc>
          <w:tcPr>
            <w:tcW w:type="dxa" w:w="3700"/>
            <w:shd w:fill="FFFFFF" w:val="clear"/>
            <w:tcMar>
              <w:top w:type="dxa" w:w="80"/>
              <w:left w:type="dxa" w:w="100"/>
              <w:bottom w:type="dxa" w:w="80"/>
              <w:right w:type="dxa" w:w="100"/>
            </w:tcMar>
            <w:vAlign w:val="center"/>
          </w:tcPr>
          <w:p>
            <w:pPr>
              <w:jc w:val="left"/>
            </w:pPr>
            <w:r>
              <w:rPr>
                <w:b w:val="false"/>
                <w:bCs w:val="false"/>
                <w:sz w:val="20"/>
                <w:szCs w:val="20"/>
              </w:rPr>
              <w:t xml:space="preserve">Avoid building direct bank integrations from scratch</w:t>
            </w:r>
          </w:p>
        </w:tc>
      </w:tr>
      <w:tr>
        <w:tc>
          <w:tcPr>
            <w:tcW w:type="dxa" w:w="1900"/>
            <w:shd w:fill="F2F6F6" w:val="clear"/>
            <w:tcMar>
              <w:top w:type="dxa" w:w="80"/>
              <w:left w:type="dxa" w:w="100"/>
              <w:bottom w:type="dxa" w:w="80"/>
              <w:right w:type="dxa" w:w="100"/>
            </w:tcMar>
            <w:vAlign w:val="center"/>
          </w:tcPr>
          <w:p>
            <w:pPr>
              <w:jc w:val="left"/>
            </w:pPr>
            <w:r>
              <w:rPr>
                <w:b w:val="false"/>
                <w:bCs w:val="false"/>
                <w:sz w:val="20"/>
                <w:szCs w:val="20"/>
              </w:rPr>
              <w:t xml:space="preserve">Notifications</w:t>
            </w:r>
          </w:p>
        </w:tc>
        <w:tc>
          <w:tcPr>
            <w:tcW w:type="dxa" w:w="3800"/>
            <w:shd w:fill="F2F6F6" w:val="clear"/>
            <w:tcMar>
              <w:top w:type="dxa" w:w="80"/>
              <w:left w:type="dxa" w:w="100"/>
              <w:bottom w:type="dxa" w:w="80"/>
              <w:right w:type="dxa" w:w="100"/>
            </w:tcMar>
            <w:vAlign w:val="center"/>
          </w:tcPr>
          <w:p>
            <w:pPr>
              <w:jc w:val="left"/>
            </w:pPr>
            <w:r>
              <w:rPr>
                <w:b w:val="false"/>
                <w:bCs w:val="false"/>
                <w:sz w:val="20"/>
                <w:szCs w:val="20"/>
              </w:rPr>
              <w:t xml:space="preserve">Firebase Cloud Messaging (push) + local SMS gateway</w:t>
            </w:r>
          </w:p>
        </w:tc>
        <w:tc>
          <w:tcPr>
            <w:tcW w:type="dxa" w:w="3700"/>
            <w:shd w:fill="F2F6F6" w:val="clear"/>
            <w:tcMar>
              <w:top w:type="dxa" w:w="80"/>
              <w:left w:type="dxa" w:w="100"/>
              <w:bottom w:type="dxa" w:w="80"/>
              <w:right w:type="dxa" w:w="100"/>
            </w:tcMar>
            <w:vAlign w:val="center"/>
          </w:tcPr>
          <w:p>
            <w:pPr>
              <w:jc w:val="left"/>
            </w:pPr>
            <w:r>
              <w:rPr>
                <w:b w:val="false"/>
                <w:bCs w:val="false"/>
                <w:sz w:val="20"/>
                <w:szCs w:val="20"/>
              </w:rPr>
              <w:t xml:space="preserve">SMS fallback is essential, not optional, per Section 4.10</w:t>
            </w:r>
          </w:p>
        </w:tc>
      </w:tr>
      <w:tr>
        <w:tc>
          <w:tcPr>
            <w:tcW w:type="dxa" w:w="1900"/>
            <w:shd w:fill="FFFFFF" w:val="clear"/>
            <w:tcMar>
              <w:top w:type="dxa" w:w="80"/>
              <w:left w:type="dxa" w:w="100"/>
              <w:bottom w:type="dxa" w:w="80"/>
              <w:right w:type="dxa" w:w="100"/>
            </w:tcMar>
            <w:vAlign w:val="center"/>
          </w:tcPr>
          <w:p>
            <w:pPr>
              <w:jc w:val="left"/>
            </w:pPr>
            <w:r>
              <w:rPr>
                <w:b w:val="false"/>
                <w:bCs w:val="false"/>
                <w:sz w:val="20"/>
                <w:szCs w:val="20"/>
              </w:rPr>
              <w:t xml:space="preserve">Infrastructure</w:t>
            </w:r>
          </w:p>
        </w:tc>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Cloud hosting (e.g. AWS/GCP/Azure) with CI/CD pipeline</w:t>
            </w:r>
          </w:p>
        </w:tc>
        <w:tc>
          <w:tcPr>
            <w:tcW w:type="dxa" w:w="3700"/>
            <w:shd w:fill="FFFFFF" w:val="clear"/>
            <w:tcMar>
              <w:top w:type="dxa" w:w="80"/>
              <w:left w:type="dxa" w:w="100"/>
              <w:bottom w:type="dxa" w:w="80"/>
              <w:right w:type="dxa" w:w="100"/>
            </w:tcMar>
            <w:vAlign w:val="center"/>
          </w:tcPr>
          <w:p>
            <w:pPr>
              <w:jc w:val="left"/>
            </w:pPr>
            <w:r>
              <w:rPr>
                <w:b w:val="false"/>
                <w:bCs w:val="false"/>
                <w:sz w:val="20"/>
                <w:szCs w:val="20"/>
              </w:rPr>
              <w:t xml:space="preserve">Confirm data-residency requirements during legal review (Section 13.2)</w:t>
            </w:r>
          </w:p>
        </w:tc>
      </w:tr>
      <w:tr>
        <w:tc>
          <w:tcPr>
            <w:tcW w:type="dxa" w:w="1900"/>
            <w:shd w:fill="F2F6F6" w:val="clear"/>
            <w:tcMar>
              <w:top w:type="dxa" w:w="80"/>
              <w:left w:type="dxa" w:w="100"/>
              <w:bottom w:type="dxa" w:w="80"/>
              <w:right w:type="dxa" w:w="100"/>
            </w:tcMar>
            <w:vAlign w:val="center"/>
          </w:tcPr>
          <w:p>
            <w:pPr>
              <w:jc w:val="left"/>
            </w:pPr>
            <w:r>
              <w:rPr>
                <w:b w:val="false"/>
                <w:bCs w:val="false"/>
                <w:sz w:val="20"/>
                <w:szCs w:val="20"/>
              </w:rPr>
              <w:t xml:space="preserve">Analytics</w:t>
            </w:r>
          </w:p>
        </w:tc>
        <w:tc>
          <w:tcPr>
            <w:tcW w:type="dxa" w:w="3800"/>
            <w:shd w:fill="F2F6F6" w:val="clear"/>
            <w:tcMar>
              <w:top w:type="dxa" w:w="80"/>
              <w:left w:type="dxa" w:w="100"/>
              <w:bottom w:type="dxa" w:w="80"/>
              <w:right w:type="dxa" w:w="100"/>
            </w:tcMar>
            <w:vAlign w:val="center"/>
          </w:tcPr>
          <w:p>
            <w:pPr>
              <w:jc w:val="left"/>
            </w:pPr>
            <w:r>
              <w:rPr>
                <w:b w:val="false"/>
                <w:bCs w:val="false"/>
                <w:sz w:val="20"/>
                <w:szCs w:val="20"/>
              </w:rPr>
              <w:t xml:space="preserve">Metabase or a similar BI tool on a reporting data warehouse</w:t>
            </w:r>
          </w:p>
        </w:tc>
        <w:tc>
          <w:tcPr>
            <w:tcW w:type="dxa" w:w="3700"/>
            <w:shd w:fill="F2F6F6" w:val="clear"/>
            <w:tcMar>
              <w:top w:type="dxa" w:w="80"/>
              <w:left w:type="dxa" w:w="100"/>
              <w:bottom w:type="dxa" w:w="80"/>
              <w:right w:type="dxa" w:w="100"/>
            </w:tcMar>
            <w:vAlign w:val="center"/>
          </w:tcPr>
          <w:p>
            <w:pPr>
              <w:jc w:val="left"/>
            </w:pPr>
            <w:r>
              <w:rPr>
                <w:b w:val="false"/>
                <w:bCs w:val="false"/>
                <w:sz w:val="20"/>
                <w:szCs w:val="20"/>
              </w:rPr>
              <w:t xml:space="preserve">Feeds Admin analytics dashboard</w:t>
            </w:r>
          </w:p>
        </w:tc>
      </w:tr>
    </w:tbl>
    <w:p>
      <w:pPr>
        <w:spacing w:after="160" w:line="276"/>
      </w:pPr>
      <w:r>
        <w:t xml:space="preserve">Laravel and FastAPI remain reasonable choices if a future contractor is stronger in PHP or Python than in TypeScript, or if a specific future service (e.g. a heavy offline data-processing job) genuinely needs Python's tooling — but for the core platform, one backend language (NestJS) is the simpler and faster path for a solo build, and PostGIS covers the geospatial need without requiring a second stack.</w:t>
      </w:r>
    </w:p>
    <w:p>
      <w:pPr>
        <w:pStyle w:val="Heading1"/>
        <w:spacing w:after="160" w:before="360"/>
      </w:pPr>
      <w:r>
        <w:t xml:space="preserve">7. Key Data Entities (high-level)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Entity</w:t>
            </w:r>
          </w:p>
        </w:tc>
        <w:tc>
          <w:tcPr>
            <w:tcW w:type="dxa" w:w="6800"/>
            <w:shd w:fill="1F3864" w:val="clear"/>
            <w:tcMar>
              <w:top w:type="dxa" w:w="80"/>
              <w:left w:type="dxa" w:w="100"/>
              <w:bottom w:type="dxa" w:w="80"/>
              <w:right w:type="dxa" w:w="100"/>
            </w:tcMar>
            <w:vAlign w:val="center"/>
          </w:tcPr>
          <w:p>
            <w:pPr>
              <w:jc w:val="left"/>
            </w:pPr>
            <w:r>
              <w:rPr>
                <w:b/>
                <w:bCs/>
                <w:color w:val="FFFFFF"/>
                <w:sz w:val="20"/>
                <w:szCs w:val="20"/>
              </w:rPr>
              <w:t xml:space="preserve">Key Attributes</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User</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id, phone, name, roles[passenger/driver], language, status</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DriverProfile</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user_id, license_no, vehicle_plate, vehicle_type, verification_status, rating</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Vehicle</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plate_no, make/model, capacity, insurance_expiry</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Trip (on-demand)</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passenger_id, driver_id, origin, destination, fare, status, timestamps</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RoutePosting</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driver_id, origin, destination, waypoints, departure_window, seats_total, seats_available, price_per_seat</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SeatBooking</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route_posting_id, passenger_id, segment_origin, segment_destination, status</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SubscriptionPass</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passenger_id, corridor_id, plan_type, start_date, end_date, status</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Payment</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trip_id/subscription_id, method, amount, commission, status</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Rating</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trip_id, rater_id, ratee_id, score, comment</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TripFeedback</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trip_id, user_id, sentiment[happy/neutral/unhappy], reason_tags[], comment</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RewardAccount</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user_id, points_balance, tier_status</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Coupon</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code, discount_type, value, expiry_date, usage_limit, applicable_service_type</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Announcement</w:t>
            </w:r>
          </w:p>
        </w:tc>
        <w:tc>
          <w:tcPr>
            <w:tcW w:type="dxa" w:w="6800"/>
            <w:shd w:fill="F2F6F6" w:val="clear"/>
            <w:tcMar>
              <w:top w:type="dxa" w:w="80"/>
              <w:left w:type="dxa" w:w="100"/>
              <w:bottom w:type="dxa" w:w="80"/>
              <w:right w:type="dxa" w:w="100"/>
            </w:tcMar>
            <w:vAlign w:val="center"/>
          </w:tcPr>
          <w:p>
            <w:pPr>
              <w:jc w:val="left"/>
            </w:pPr>
            <w:r>
              <w:rPr>
                <w:b w:val="false"/>
                <w:bCs w:val="false"/>
                <w:sz w:val="20"/>
                <w:szCs w:val="20"/>
              </w:rPr>
              <w:t xml:space="preserve">title, body, audience_segment, sent_at, channel[push/SMS]</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CargoJob</w:t>
            </w:r>
          </w:p>
        </w:tc>
        <w:tc>
          <w:tcPr>
            <w:tcW w:type="dxa" w:w="6800"/>
            <w:shd w:fill="FFFFFF" w:val="clear"/>
            <w:tcMar>
              <w:top w:type="dxa" w:w="80"/>
              <w:left w:type="dxa" w:w="100"/>
              <w:bottom w:type="dxa" w:w="80"/>
              <w:right w:type="dxa" w:w="100"/>
            </w:tcMar>
            <w:vAlign w:val="center"/>
          </w:tcPr>
          <w:p>
            <w:pPr>
              <w:jc w:val="left"/>
            </w:pPr>
            <w:r>
              <w:rPr>
                <w:b w:val="false"/>
                <w:bCs w:val="false"/>
                <w:sz w:val="20"/>
                <w:szCs w:val="20"/>
              </w:rPr>
              <w:t xml:space="preserve">customer_id, driver_id, pickup, drop_offs[], cargo_category, estimated_price, final_price, status</w:t>
            </w:r>
          </w:p>
        </w:tc>
      </w:tr>
    </w:tbl>
    <w:p>
      <w:pPr>
        <w:pStyle w:val="Heading1"/>
        <w:spacing w:after="160" w:before="360"/>
      </w:pPr>
      <w:r>
        <w:t xml:space="preserve">8. Roles &amp; Permissions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800"/>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Action</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Passenger</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Driver</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Admin</w:t>
            </w:r>
          </w:p>
        </w:tc>
      </w:tr>
      <w:tr>
        <w:tc>
          <w:tcPr>
            <w:tcW w:type="dxa" w:w="3400"/>
            <w:shd w:fill="F2F6F6" w:val="clear"/>
            <w:tcMar>
              <w:top w:type="dxa" w:w="80"/>
              <w:left w:type="dxa" w:w="100"/>
              <w:bottom w:type="dxa" w:w="80"/>
              <w:right w:type="dxa" w:w="100"/>
            </w:tcMar>
            <w:vAlign w:val="center"/>
          </w:tcPr>
          <w:p>
            <w:pPr>
              <w:jc w:val="left"/>
            </w:pPr>
            <w:r>
              <w:rPr>
                <w:b w:val="false"/>
                <w:bCs w:val="false"/>
                <w:sz w:val="20"/>
                <w:szCs w:val="20"/>
              </w:rPr>
              <w:t xml:space="preserve">Request on-demand ride</w:t>
            </w:r>
          </w:p>
        </w:tc>
        <w:tc>
          <w:tcPr>
            <w:tcW w:type="dxa" w:w="1800"/>
            <w:shd w:fill="F2F6F6" w:val="clear"/>
            <w:tcMar>
              <w:top w:type="dxa" w:w="80"/>
              <w:left w:type="dxa" w:w="100"/>
              <w:bottom w:type="dxa" w:w="80"/>
              <w:right w:type="dxa" w:w="100"/>
            </w:tcMar>
            <w:vAlign w:val="center"/>
          </w:tcPr>
          <w:p>
            <w:pPr>
              <w:jc w:val="left"/>
            </w:pPr>
            <w:r>
              <w:rPr>
                <w:b w:val="false"/>
                <w:bCs w:val="false"/>
                <w:sz w:val="20"/>
                <w:szCs w:val="20"/>
              </w:rPr>
              <w:t xml:space="preserve">Yes</w:t>
            </w:r>
          </w:p>
        </w:tc>
        <w:tc>
          <w:tcPr>
            <w:tcW w:type="dxa" w:w="1800"/>
            <w:shd w:fill="F2F6F6"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800"/>
            <w:shd w:fill="F2F6F6" w:val="clear"/>
            <w:tcMar>
              <w:top w:type="dxa" w:w="80"/>
              <w:left w:type="dxa" w:w="100"/>
              <w:bottom w:type="dxa" w:w="80"/>
              <w:right w:type="dxa" w:w="100"/>
            </w:tcMar>
            <w:vAlign w:val="center"/>
          </w:tcPr>
          <w:p>
            <w:pPr>
              <w:jc w:val="left"/>
            </w:pPr>
            <w:r>
              <w:rPr>
                <w:b w:val="false"/>
                <w:bCs w:val="false"/>
                <w:sz w:val="20"/>
                <w:szCs w:val="20"/>
              </w:rPr>
              <w:t xml:space="preserve">No</w:t>
            </w:r>
          </w:p>
        </w:tc>
      </w:tr>
      <w:tr>
        <w:tc>
          <w:tcPr>
            <w:tcW w:type="dxa" w:w="3400"/>
            <w:shd w:fill="FFFFFF" w:val="clear"/>
            <w:tcMar>
              <w:top w:type="dxa" w:w="80"/>
              <w:left w:type="dxa" w:w="100"/>
              <w:bottom w:type="dxa" w:w="80"/>
              <w:right w:type="dxa" w:w="100"/>
            </w:tcMar>
            <w:vAlign w:val="center"/>
          </w:tcPr>
          <w:p>
            <w:pPr>
              <w:jc w:val="left"/>
            </w:pPr>
            <w:r>
              <w:rPr>
                <w:b w:val="false"/>
                <w:bCs w:val="false"/>
                <w:sz w:val="20"/>
                <w:szCs w:val="20"/>
              </w:rPr>
              <w:t xml:space="preserve">Accept on-demand ride</w:t>
            </w:r>
          </w:p>
        </w:tc>
        <w:tc>
          <w:tcPr>
            <w:tcW w:type="dxa" w:w="1800"/>
            <w:shd w:fill="FFFFFF"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800"/>
            <w:shd w:fill="FFFFFF" w:val="clear"/>
            <w:tcMar>
              <w:top w:type="dxa" w:w="80"/>
              <w:left w:type="dxa" w:w="100"/>
              <w:bottom w:type="dxa" w:w="80"/>
              <w:right w:type="dxa" w:w="100"/>
            </w:tcMar>
            <w:vAlign w:val="center"/>
          </w:tcPr>
          <w:p>
            <w:pPr>
              <w:jc w:val="left"/>
            </w:pPr>
            <w:r>
              <w:rPr>
                <w:b w:val="false"/>
                <w:bCs w:val="false"/>
                <w:sz w:val="20"/>
                <w:szCs w:val="20"/>
              </w:rPr>
              <w:t xml:space="preserve">Yes</w:t>
            </w:r>
          </w:p>
        </w:tc>
        <w:tc>
          <w:tcPr>
            <w:tcW w:type="dxa" w:w="1800"/>
            <w:shd w:fill="FFFFFF" w:val="clear"/>
            <w:tcMar>
              <w:top w:type="dxa" w:w="80"/>
              <w:left w:type="dxa" w:w="100"/>
              <w:bottom w:type="dxa" w:w="80"/>
              <w:right w:type="dxa" w:w="100"/>
            </w:tcMar>
            <w:vAlign w:val="center"/>
          </w:tcPr>
          <w:p>
            <w:pPr>
              <w:jc w:val="left"/>
            </w:pPr>
            <w:r>
              <w:rPr>
                <w:b w:val="false"/>
                <w:bCs w:val="false"/>
                <w:sz w:val="20"/>
                <w:szCs w:val="20"/>
              </w:rPr>
              <w:t xml:space="preserve">No</w:t>
            </w:r>
          </w:p>
        </w:tc>
      </w:tr>
      <w:tr>
        <w:tc>
          <w:tcPr>
            <w:tcW w:type="dxa" w:w="3400"/>
            <w:shd w:fill="F2F6F6" w:val="clear"/>
            <w:tcMar>
              <w:top w:type="dxa" w:w="80"/>
              <w:left w:type="dxa" w:w="100"/>
              <w:bottom w:type="dxa" w:w="80"/>
              <w:right w:type="dxa" w:w="100"/>
            </w:tcMar>
            <w:vAlign w:val="center"/>
          </w:tcPr>
          <w:p>
            <w:pPr>
              <w:jc w:val="left"/>
            </w:pPr>
            <w:r>
              <w:rPr>
                <w:b w:val="false"/>
                <w:bCs w:val="false"/>
                <w:sz w:val="20"/>
                <w:szCs w:val="20"/>
              </w:rPr>
              <w:t xml:space="preserve">Post a route</w:t>
            </w:r>
          </w:p>
        </w:tc>
        <w:tc>
          <w:tcPr>
            <w:tcW w:type="dxa" w:w="1800"/>
            <w:shd w:fill="F2F6F6"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800"/>
            <w:shd w:fill="F2F6F6" w:val="clear"/>
            <w:tcMar>
              <w:top w:type="dxa" w:w="80"/>
              <w:left w:type="dxa" w:w="100"/>
              <w:bottom w:type="dxa" w:w="80"/>
              <w:right w:type="dxa" w:w="100"/>
            </w:tcMar>
            <w:vAlign w:val="center"/>
          </w:tcPr>
          <w:p>
            <w:pPr>
              <w:jc w:val="left"/>
            </w:pPr>
            <w:r>
              <w:rPr>
                <w:b w:val="false"/>
                <w:bCs w:val="false"/>
                <w:sz w:val="20"/>
                <w:szCs w:val="20"/>
              </w:rPr>
              <w:t xml:space="preserve">Yes</w:t>
            </w:r>
          </w:p>
        </w:tc>
        <w:tc>
          <w:tcPr>
            <w:tcW w:type="dxa" w:w="1800"/>
            <w:shd w:fill="F2F6F6" w:val="clear"/>
            <w:tcMar>
              <w:top w:type="dxa" w:w="80"/>
              <w:left w:type="dxa" w:w="100"/>
              <w:bottom w:type="dxa" w:w="80"/>
              <w:right w:type="dxa" w:w="100"/>
            </w:tcMar>
            <w:vAlign w:val="center"/>
          </w:tcPr>
          <w:p>
            <w:pPr>
              <w:jc w:val="left"/>
            </w:pPr>
            <w:r>
              <w:rPr>
                <w:b w:val="false"/>
                <w:bCs w:val="false"/>
                <w:sz w:val="20"/>
                <w:szCs w:val="20"/>
              </w:rPr>
              <w:t xml:space="preserve">No</w:t>
            </w:r>
          </w:p>
        </w:tc>
      </w:tr>
      <w:tr>
        <w:tc>
          <w:tcPr>
            <w:tcW w:type="dxa" w:w="3400"/>
            <w:shd w:fill="FFFFFF" w:val="clear"/>
            <w:tcMar>
              <w:top w:type="dxa" w:w="80"/>
              <w:left w:type="dxa" w:w="100"/>
              <w:bottom w:type="dxa" w:w="80"/>
              <w:right w:type="dxa" w:w="100"/>
            </w:tcMar>
            <w:vAlign w:val="center"/>
          </w:tcPr>
          <w:p>
            <w:pPr>
              <w:jc w:val="left"/>
            </w:pPr>
            <w:r>
              <w:rPr>
                <w:b w:val="false"/>
                <w:bCs w:val="false"/>
                <w:sz w:val="20"/>
                <w:szCs w:val="20"/>
              </w:rPr>
              <w:t xml:space="preserve">Book a seat on a route</w:t>
            </w:r>
          </w:p>
        </w:tc>
        <w:tc>
          <w:tcPr>
            <w:tcW w:type="dxa" w:w="1800"/>
            <w:shd w:fill="FFFFFF" w:val="clear"/>
            <w:tcMar>
              <w:top w:type="dxa" w:w="80"/>
              <w:left w:type="dxa" w:w="100"/>
              <w:bottom w:type="dxa" w:w="80"/>
              <w:right w:type="dxa" w:w="100"/>
            </w:tcMar>
            <w:vAlign w:val="center"/>
          </w:tcPr>
          <w:p>
            <w:pPr>
              <w:jc w:val="left"/>
            </w:pPr>
            <w:r>
              <w:rPr>
                <w:b w:val="false"/>
                <w:bCs w:val="false"/>
                <w:sz w:val="20"/>
                <w:szCs w:val="20"/>
              </w:rPr>
              <w:t xml:space="preserve">Yes</w:t>
            </w:r>
          </w:p>
        </w:tc>
        <w:tc>
          <w:tcPr>
            <w:tcW w:type="dxa" w:w="1800"/>
            <w:shd w:fill="FFFFFF"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800"/>
            <w:shd w:fill="FFFFFF" w:val="clear"/>
            <w:tcMar>
              <w:top w:type="dxa" w:w="80"/>
              <w:left w:type="dxa" w:w="100"/>
              <w:bottom w:type="dxa" w:w="80"/>
              <w:right w:type="dxa" w:w="100"/>
            </w:tcMar>
            <w:vAlign w:val="center"/>
          </w:tcPr>
          <w:p>
            <w:pPr>
              <w:jc w:val="left"/>
            </w:pPr>
            <w:r>
              <w:rPr>
                <w:b w:val="false"/>
                <w:bCs w:val="false"/>
                <w:sz w:val="20"/>
                <w:szCs w:val="20"/>
              </w:rPr>
              <w:t xml:space="preserve">No</w:t>
            </w:r>
          </w:p>
        </w:tc>
      </w:tr>
      <w:tr>
        <w:tc>
          <w:tcPr>
            <w:tcW w:type="dxa" w:w="3400"/>
            <w:shd w:fill="F2F6F6" w:val="clear"/>
            <w:tcMar>
              <w:top w:type="dxa" w:w="80"/>
              <w:left w:type="dxa" w:w="100"/>
              <w:bottom w:type="dxa" w:w="80"/>
              <w:right w:type="dxa" w:w="100"/>
            </w:tcMar>
            <w:vAlign w:val="center"/>
          </w:tcPr>
          <w:p>
            <w:pPr>
              <w:jc w:val="left"/>
            </w:pPr>
            <w:r>
              <w:rPr>
                <w:b w:val="false"/>
                <w:bCs w:val="false"/>
                <w:sz w:val="20"/>
                <w:szCs w:val="20"/>
              </w:rPr>
              <w:t xml:space="preserve">Purchase subscription pass</w:t>
            </w:r>
          </w:p>
        </w:tc>
        <w:tc>
          <w:tcPr>
            <w:tcW w:type="dxa" w:w="1800"/>
            <w:shd w:fill="F2F6F6" w:val="clear"/>
            <w:tcMar>
              <w:top w:type="dxa" w:w="80"/>
              <w:left w:type="dxa" w:w="100"/>
              <w:bottom w:type="dxa" w:w="80"/>
              <w:right w:type="dxa" w:w="100"/>
            </w:tcMar>
            <w:vAlign w:val="center"/>
          </w:tcPr>
          <w:p>
            <w:pPr>
              <w:jc w:val="left"/>
            </w:pPr>
            <w:r>
              <w:rPr>
                <w:b w:val="false"/>
                <w:bCs w:val="false"/>
                <w:sz w:val="20"/>
                <w:szCs w:val="20"/>
              </w:rPr>
              <w:t xml:space="preserve">Yes</w:t>
            </w:r>
          </w:p>
        </w:tc>
        <w:tc>
          <w:tcPr>
            <w:tcW w:type="dxa" w:w="1800"/>
            <w:shd w:fill="F2F6F6"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800"/>
            <w:shd w:fill="F2F6F6" w:val="clear"/>
            <w:tcMar>
              <w:top w:type="dxa" w:w="80"/>
              <w:left w:type="dxa" w:w="100"/>
              <w:bottom w:type="dxa" w:w="80"/>
              <w:right w:type="dxa" w:w="100"/>
            </w:tcMar>
            <w:vAlign w:val="center"/>
          </w:tcPr>
          <w:p>
            <w:pPr>
              <w:jc w:val="left"/>
            </w:pPr>
            <w:r>
              <w:rPr>
                <w:b w:val="false"/>
                <w:bCs w:val="false"/>
                <w:sz w:val="20"/>
                <w:szCs w:val="20"/>
              </w:rPr>
              <w:t xml:space="preserve">No</w:t>
            </w:r>
          </w:p>
        </w:tc>
      </w:tr>
      <w:tr>
        <w:tc>
          <w:tcPr>
            <w:tcW w:type="dxa" w:w="3400"/>
            <w:shd w:fill="FFFFFF" w:val="clear"/>
            <w:tcMar>
              <w:top w:type="dxa" w:w="80"/>
              <w:left w:type="dxa" w:w="100"/>
              <w:bottom w:type="dxa" w:w="80"/>
              <w:right w:type="dxa" w:w="100"/>
            </w:tcMar>
            <w:vAlign w:val="center"/>
          </w:tcPr>
          <w:p>
            <w:pPr>
              <w:jc w:val="left"/>
            </w:pPr>
            <w:r>
              <w:rPr>
                <w:b w:val="false"/>
                <w:bCs w:val="false"/>
                <w:sz w:val="20"/>
                <w:szCs w:val="20"/>
              </w:rPr>
              <w:t xml:space="preserve">Configure pricing/commission</w:t>
            </w:r>
          </w:p>
        </w:tc>
        <w:tc>
          <w:tcPr>
            <w:tcW w:type="dxa" w:w="1800"/>
            <w:shd w:fill="FFFFFF"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800"/>
            <w:shd w:fill="FFFFFF"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800"/>
            <w:shd w:fill="FFFFFF" w:val="clear"/>
            <w:tcMar>
              <w:top w:type="dxa" w:w="80"/>
              <w:left w:type="dxa" w:w="100"/>
              <w:bottom w:type="dxa" w:w="80"/>
              <w:right w:type="dxa" w:w="100"/>
            </w:tcMar>
            <w:vAlign w:val="center"/>
          </w:tcPr>
          <w:p>
            <w:pPr>
              <w:jc w:val="left"/>
            </w:pPr>
            <w:r>
              <w:rPr>
                <w:b w:val="false"/>
                <w:bCs w:val="false"/>
                <w:sz w:val="20"/>
                <w:szCs w:val="20"/>
              </w:rPr>
              <w:t xml:space="preserve">Yes</w:t>
            </w:r>
          </w:p>
        </w:tc>
      </w:tr>
      <w:tr>
        <w:tc>
          <w:tcPr>
            <w:tcW w:type="dxa" w:w="3400"/>
            <w:shd w:fill="F2F6F6" w:val="clear"/>
            <w:tcMar>
              <w:top w:type="dxa" w:w="80"/>
              <w:left w:type="dxa" w:w="100"/>
              <w:bottom w:type="dxa" w:w="80"/>
              <w:right w:type="dxa" w:w="100"/>
            </w:tcMar>
            <w:vAlign w:val="center"/>
          </w:tcPr>
          <w:p>
            <w:pPr>
              <w:jc w:val="left"/>
            </w:pPr>
            <w:r>
              <w:rPr>
                <w:b w:val="false"/>
                <w:bCs w:val="false"/>
                <w:sz w:val="20"/>
                <w:szCs w:val="20"/>
              </w:rPr>
              <w:t xml:space="preserve">Verify driver documents</w:t>
            </w:r>
          </w:p>
        </w:tc>
        <w:tc>
          <w:tcPr>
            <w:tcW w:type="dxa" w:w="1800"/>
            <w:shd w:fill="F2F6F6"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800"/>
            <w:shd w:fill="F2F6F6"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800"/>
            <w:shd w:fill="F2F6F6" w:val="clear"/>
            <w:tcMar>
              <w:top w:type="dxa" w:w="80"/>
              <w:left w:type="dxa" w:w="100"/>
              <w:bottom w:type="dxa" w:w="80"/>
              <w:right w:type="dxa" w:w="100"/>
            </w:tcMar>
            <w:vAlign w:val="center"/>
          </w:tcPr>
          <w:p>
            <w:pPr>
              <w:jc w:val="left"/>
            </w:pPr>
            <w:r>
              <w:rPr>
                <w:b w:val="false"/>
                <w:bCs w:val="false"/>
                <w:sz w:val="20"/>
                <w:szCs w:val="20"/>
              </w:rPr>
              <w:t xml:space="preserve">Yes</w:t>
            </w:r>
          </w:p>
        </w:tc>
      </w:tr>
      <w:tr>
        <w:tc>
          <w:tcPr>
            <w:tcW w:type="dxa" w:w="3400"/>
            <w:shd w:fill="FFFFFF" w:val="clear"/>
            <w:tcMar>
              <w:top w:type="dxa" w:w="80"/>
              <w:left w:type="dxa" w:w="100"/>
              <w:bottom w:type="dxa" w:w="80"/>
              <w:right w:type="dxa" w:w="100"/>
            </w:tcMar>
            <w:vAlign w:val="center"/>
          </w:tcPr>
          <w:p>
            <w:pPr>
              <w:jc w:val="left"/>
            </w:pPr>
            <w:r>
              <w:rPr>
                <w:b w:val="false"/>
                <w:bCs w:val="false"/>
                <w:sz w:val="20"/>
                <w:szCs w:val="20"/>
              </w:rPr>
              <w:t xml:space="preserve">View platform-wide analytics</w:t>
            </w:r>
          </w:p>
        </w:tc>
        <w:tc>
          <w:tcPr>
            <w:tcW w:type="dxa" w:w="1800"/>
            <w:shd w:fill="FFFFFF"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800"/>
            <w:shd w:fill="FFFFFF"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800"/>
            <w:shd w:fill="FFFFFF" w:val="clear"/>
            <w:tcMar>
              <w:top w:type="dxa" w:w="80"/>
              <w:left w:type="dxa" w:w="100"/>
              <w:bottom w:type="dxa" w:w="80"/>
              <w:right w:type="dxa" w:w="100"/>
            </w:tcMar>
            <w:vAlign w:val="center"/>
          </w:tcPr>
          <w:p>
            <w:pPr>
              <w:jc w:val="left"/>
            </w:pPr>
            <w:r>
              <w:rPr>
                <w:b w:val="false"/>
                <w:bCs w:val="false"/>
                <w:sz w:val="20"/>
                <w:szCs w:val="20"/>
              </w:rPr>
              <w:t xml:space="preserve">Yes</w:t>
            </w:r>
          </w:p>
        </w:tc>
      </w:tr>
    </w:tbl>
    <w:p>
      <w:pPr>
        <w:pStyle w:val="Heading1"/>
        <w:spacing w:after="160" w:before="360"/>
      </w:pPr>
      <w:r>
        <w:t xml:space="preserve">9. Risks (carried forward from initial review)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0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Risk</w:t>
            </w:r>
          </w:p>
        </w:tc>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Impact</w:t>
            </w:r>
          </w:p>
        </w:tc>
        <w:tc>
          <w:tcPr>
            <w:tcW w:type="dxa" w:w="4000"/>
            <w:shd w:fill="1F3864" w:val="clear"/>
            <w:tcMar>
              <w:top w:type="dxa" w:w="80"/>
              <w:left w:type="dxa" w:w="100"/>
              <w:bottom w:type="dxa" w:w="80"/>
              <w:right w:type="dxa" w:w="100"/>
            </w:tcMar>
            <w:vAlign w:val="center"/>
          </w:tcPr>
          <w:p>
            <w:pPr>
              <w:jc w:val="left"/>
            </w:pPr>
            <w:r>
              <w:rPr>
                <w:b/>
                <w:bCs/>
                <w:color w:val="FFFFFF"/>
                <w:sz w:val="20"/>
                <w:szCs w:val="20"/>
              </w:rPr>
              <w:t xml:space="preserve">Mitigation Direction</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Transport/dispatch licensing not yet secured</w:t>
            </w:r>
          </w:p>
        </w:tc>
        <w:tc>
          <w:tcPr>
            <w:tcW w:type="dxa" w:w="2200"/>
            <w:shd w:fill="F2F6F6" w:val="clear"/>
            <w:tcMar>
              <w:top w:type="dxa" w:w="80"/>
              <w:left w:type="dxa" w:w="100"/>
              <w:bottom w:type="dxa" w:w="80"/>
              <w:right w:type="dxa" w:w="100"/>
            </w:tcMar>
            <w:vAlign w:val="center"/>
          </w:tcPr>
          <w:p>
            <w:pPr>
              <w:jc w:val="left"/>
            </w:pPr>
            <w:r>
              <w:rPr>
                <w:b w:val="false"/>
                <w:bCs w:val="false"/>
                <w:sz w:val="20"/>
                <w:szCs w:val="20"/>
              </w:rPr>
              <w:t xml:space="preserve">Legal exposure, possible launch delay</w:t>
            </w:r>
          </w:p>
        </w:tc>
        <w:tc>
          <w:tcPr>
            <w:tcW w:type="dxa" w:w="4000"/>
            <w:shd w:fill="F2F6F6" w:val="clear"/>
            <w:tcMar>
              <w:top w:type="dxa" w:w="80"/>
              <w:left w:type="dxa" w:w="100"/>
              <w:bottom w:type="dxa" w:w="80"/>
              <w:right w:type="dxa" w:w="100"/>
            </w:tcMar>
            <w:vAlign w:val="center"/>
          </w:tcPr>
          <w:p>
            <w:pPr>
              <w:jc w:val="left"/>
            </w:pPr>
            <w:r>
              <w:rPr>
                <w:b w:val="false"/>
                <w:bCs w:val="false"/>
                <w:sz w:val="20"/>
                <w:szCs w:val="20"/>
              </w:rPr>
              <w:t xml:space="preserve">Engage local legal counsel before public launch</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Fragmented payment landscape</w:t>
            </w:r>
          </w:p>
        </w:tc>
        <w:tc>
          <w:tcPr>
            <w:tcW w:type="dxa" w:w="2200"/>
            <w:shd w:fill="FFFFFF" w:val="clear"/>
            <w:tcMar>
              <w:top w:type="dxa" w:w="80"/>
              <w:left w:type="dxa" w:w="100"/>
              <w:bottom w:type="dxa" w:w="80"/>
              <w:right w:type="dxa" w:w="100"/>
            </w:tcMar>
            <w:vAlign w:val="center"/>
          </w:tcPr>
          <w:p>
            <w:pPr>
              <w:jc w:val="left"/>
            </w:pPr>
            <w:r>
              <w:rPr>
                <w:b w:val="false"/>
                <w:bCs w:val="false"/>
                <w:sz w:val="20"/>
                <w:szCs w:val="20"/>
              </w:rPr>
              <w:t xml:space="preserve">Complicates commission and subscription billing</w:t>
            </w:r>
          </w:p>
        </w:tc>
        <w:tc>
          <w:tcPr>
            <w:tcW w:type="dxa" w:w="4000"/>
            <w:shd w:fill="FFFFFF" w:val="clear"/>
            <w:tcMar>
              <w:top w:type="dxa" w:w="80"/>
              <w:left w:type="dxa" w:w="100"/>
              <w:bottom w:type="dxa" w:w="80"/>
              <w:right w:type="dxa" w:w="100"/>
            </w:tcMar>
            <w:vAlign w:val="center"/>
          </w:tcPr>
          <w:p>
            <w:pPr>
              <w:jc w:val="left"/>
            </w:pPr>
            <w:r>
              <w:rPr>
                <w:b w:val="false"/>
                <w:bCs w:val="false"/>
                <w:sz w:val="20"/>
                <w:szCs w:val="20"/>
              </w:rPr>
              <w:t xml:space="preserve">Support cash + telebirr/CBE Birr from v1; use an aggregator</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Route-overlap matching complexity</w:t>
            </w:r>
          </w:p>
        </w:tc>
        <w:tc>
          <w:tcPr>
            <w:tcW w:type="dxa" w:w="2200"/>
            <w:shd w:fill="F2F6F6" w:val="clear"/>
            <w:tcMar>
              <w:top w:type="dxa" w:w="80"/>
              <w:left w:type="dxa" w:w="100"/>
              <w:bottom w:type="dxa" w:w="80"/>
              <w:right w:type="dxa" w:w="100"/>
            </w:tcMar>
            <w:vAlign w:val="center"/>
          </w:tcPr>
          <w:p>
            <w:pPr>
              <w:jc w:val="left"/>
            </w:pPr>
            <w:r>
              <w:rPr>
                <w:b w:val="false"/>
                <w:bCs w:val="false"/>
                <w:sz w:val="20"/>
                <w:szCs w:val="20"/>
              </w:rPr>
              <w:t xml:space="preserve">Timeline risk if underestimated</w:t>
            </w:r>
          </w:p>
        </w:tc>
        <w:tc>
          <w:tcPr>
            <w:tcW w:type="dxa" w:w="4000"/>
            <w:shd w:fill="F2F6F6" w:val="clear"/>
            <w:tcMar>
              <w:top w:type="dxa" w:w="80"/>
              <w:left w:type="dxa" w:w="100"/>
              <w:bottom w:type="dxa" w:w="80"/>
              <w:right w:type="dxa" w:w="100"/>
            </w:tcMar>
            <w:vAlign w:val="center"/>
          </w:tcPr>
          <w:p>
            <w:pPr>
              <w:jc w:val="left"/>
            </w:pPr>
            <w:r>
              <w:rPr>
                <w:b w:val="false"/>
                <w:bCs w:val="false"/>
                <w:sz w:val="20"/>
                <w:szCs w:val="20"/>
              </w:rPr>
              <w:t xml:space="preserve">Scope pooling as v1.x, not MVP; prototype the matching algorithm early</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Driver liquidity / cold start</w:t>
            </w:r>
          </w:p>
        </w:tc>
        <w:tc>
          <w:tcPr>
            <w:tcW w:type="dxa" w:w="2200"/>
            <w:shd w:fill="FFFFFF" w:val="clear"/>
            <w:tcMar>
              <w:top w:type="dxa" w:w="80"/>
              <w:left w:type="dxa" w:w="100"/>
              <w:bottom w:type="dxa" w:w="80"/>
              <w:right w:type="dxa" w:w="100"/>
            </w:tcMar>
            <w:vAlign w:val="center"/>
          </w:tcPr>
          <w:p>
            <w:pPr>
              <w:jc w:val="left"/>
            </w:pPr>
            <w:r>
              <w:rPr>
                <w:b w:val="false"/>
                <w:bCs w:val="false"/>
                <w:sz w:val="20"/>
                <w:szCs w:val="20"/>
              </w:rPr>
              <w:t xml:space="preserve">Empty results kill early trust</w:t>
            </w:r>
          </w:p>
        </w:tc>
        <w:tc>
          <w:tcPr>
            <w:tcW w:type="dxa" w:w="4000"/>
            <w:shd w:fill="FFFFFF" w:val="clear"/>
            <w:tcMar>
              <w:top w:type="dxa" w:w="80"/>
              <w:left w:type="dxa" w:w="100"/>
              <w:bottom w:type="dxa" w:w="80"/>
              <w:right w:type="dxa" w:w="100"/>
            </w:tcMar>
            <w:vAlign w:val="center"/>
          </w:tcPr>
          <w:p>
            <w:pPr>
              <w:jc w:val="left"/>
            </w:pPr>
            <w:r>
              <w:rPr>
                <w:b w:val="false"/>
                <w:bCs w:val="false"/>
                <w:sz w:val="20"/>
                <w:szCs w:val="20"/>
              </w:rPr>
              <w:t xml:space="preserve">Launch corridor-by-corridor, not city-wide, for route pooling</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Safety and liability incidents</w:t>
            </w:r>
          </w:p>
        </w:tc>
        <w:tc>
          <w:tcPr>
            <w:tcW w:type="dxa" w:w="2200"/>
            <w:shd w:fill="F2F6F6" w:val="clear"/>
            <w:tcMar>
              <w:top w:type="dxa" w:w="80"/>
              <w:left w:type="dxa" w:w="100"/>
              <w:bottom w:type="dxa" w:w="80"/>
              <w:right w:type="dxa" w:w="100"/>
            </w:tcMar>
            <w:vAlign w:val="center"/>
          </w:tcPr>
          <w:p>
            <w:pPr>
              <w:jc w:val="left"/>
            </w:pPr>
            <w:r>
              <w:rPr>
                <w:b w:val="false"/>
                <w:bCs w:val="false"/>
                <w:sz w:val="20"/>
                <w:szCs w:val="20"/>
              </w:rPr>
              <w:t xml:space="preserve">Legal and reputational risk</w:t>
            </w:r>
          </w:p>
        </w:tc>
        <w:tc>
          <w:tcPr>
            <w:tcW w:type="dxa" w:w="4000"/>
            <w:shd w:fill="F2F6F6" w:val="clear"/>
            <w:tcMar>
              <w:top w:type="dxa" w:w="80"/>
              <w:left w:type="dxa" w:w="100"/>
              <w:bottom w:type="dxa" w:w="80"/>
              <w:right w:type="dxa" w:w="100"/>
            </w:tcMar>
            <w:vAlign w:val="center"/>
          </w:tcPr>
          <w:p>
            <w:pPr>
              <w:jc w:val="left"/>
            </w:pPr>
            <w:r>
              <w:rPr>
                <w:b w:val="false"/>
                <w:bCs w:val="false"/>
                <w:sz w:val="20"/>
                <w:szCs w:val="20"/>
              </w:rPr>
              <w:t xml:space="preserve">Mandatory KYC, insurance verification, SOS features from v1</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Subscription vs. commission tension</w:t>
            </w:r>
          </w:p>
        </w:tc>
        <w:tc>
          <w:tcPr>
            <w:tcW w:type="dxa" w:w="2200"/>
            <w:shd w:fill="FFFFFF" w:val="clear"/>
            <w:tcMar>
              <w:top w:type="dxa" w:w="80"/>
              <w:left w:type="dxa" w:w="100"/>
              <w:bottom w:type="dxa" w:w="80"/>
              <w:right w:type="dxa" w:w="100"/>
            </w:tcMar>
            <w:vAlign w:val="center"/>
          </w:tcPr>
          <w:p>
            <w:pPr>
              <w:jc w:val="left"/>
            </w:pPr>
            <w:r>
              <w:rPr>
                <w:b w:val="false"/>
                <w:bCs w:val="false"/>
                <w:sz w:val="20"/>
                <w:szCs w:val="20"/>
              </w:rPr>
              <w:t xml:space="preserve">Driver churn if flat fees during low demand</w:t>
            </w:r>
          </w:p>
        </w:tc>
        <w:tc>
          <w:tcPr>
            <w:tcW w:type="dxa" w:w="4000"/>
            <w:shd w:fill="FFFFFF" w:val="clear"/>
            <w:tcMar>
              <w:top w:type="dxa" w:w="80"/>
              <w:left w:type="dxa" w:w="100"/>
              <w:bottom w:type="dxa" w:w="80"/>
              <w:right w:type="dxa" w:w="100"/>
            </w:tcMar>
            <w:vAlign w:val="center"/>
          </w:tcPr>
          <w:p>
            <w:pPr>
              <w:jc w:val="left"/>
            </w:pPr>
            <w:r>
              <w:rPr>
                <w:b w:val="false"/>
                <w:bCs w:val="false"/>
                <w:sz w:val="20"/>
                <w:szCs w:val="20"/>
              </w:rPr>
              <w:t xml:space="preserve">Configurable blended pricing policy, tested with a small driver cohort first</w:t>
            </w:r>
          </w:p>
        </w:tc>
      </w:tr>
      <w:tr>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Established incumbents (Feres, ZayRide, RIDE, ETTA)</w:t>
            </w:r>
          </w:p>
        </w:tc>
        <w:tc>
          <w:tcPr>
            <w:tcW w:type="dxa" w:w="2200"/>
            <w:shd w:fill="F2F6F6" w:val="clear"/>
            <w:tcMar>
              <w:top w:type="dxa" w:w="80"/>
              <w:left w:type="dxa" w:w="100"/>
              <w:bottom w:type="dxa" w:w="80"/>
              <w:right w:type="dxa" w:w="100"/>
            </w:tcMar>
            <w:vAlign w:val="center"/>
          </w:tcPr>
          <w:p>
            <w:pPr>
              <w:jc w:val="left"/>
            </w:pPr>
            <w:r>
              <w:rPr>
                <w:b w:val="false"/>
                <w:bCs w:val="false"/>
                <w:sz w:val="20"/>
                <w:szCs w:val="20"/>
              </w:rPr>
              <w:t xml:space="preserve">Harder user acquisition</w:t>
            </w:r>
          </w:p>
        </w:tc>
        <w:tc>
          <w:tcPr>
            <w:tcW w:type="dxa" w:w="4000"/>
            <w:shd w:fill="F2F6F6" w:val="clear"/>
            <w:tcMar>
              <w:top w:type="dxa" w:w="80"/>
              <w:left w:type="dxa" w:w="100"/>
              <w:bottom w:type="dxa" w:w="80"/>
              <w:right w:type="dxa" w:w="100"/>
            </w:tcMar>
            <w:vAlign w:val="center"/>
          </w:tcPr>
          <w:p>
            <w:pPr>
              <w:jc w:val="left"/>
            </w:pPr>
            <w:r>
              <w:rPr>
                <w:b w:val="false"/>
                <w:bCs w:val="false"/>
                <w:sz w:val="20"/>
                <w:szCs w:val="20"/>
              </w:rPr>
              <w:t xml:space="preserve">Differentiate on route-pooling and subscription passes, not generic dispatch</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Connectivity/GPS variability outside Addis</w:t>
            </w:r>
          </w:p>
        </w:tc>
        <w:tc>
          <w:tcPr>
            <w:tcW w:type="dxa" w:w="2200"/>
            <w:shd w:fill="FFFFFF" w:val="clear"/>
            <w:tcMar>
              <w:top w:type="dxa" w:w="80"/>
              <w:left w:type="dxa" w:w="100"/>
              <w:bottom w:type="dxa" w:w="80"/>
              <w:right w:type="dxa" w:w="100"/>
            </w:tcMar>
            <w:vAlign w:val="center"/>
          </w:tcPr>
          <w:p>
            <w:pPr>
              <w:jc w:val="left"/>
            </w:pPr>
            <w:r>
              <w:rPr>
                <w:b w:val="false"/>
                <w:bCs w:val="false"/>
                <w:sz w:val="20"/>
                <w:szCs w:val="20"/>
              </w:rPr>
              <w:t xml:space="preserve">Matching reliability drops</w:t>
            </w:r>
          </w:p>
        </w:tc>
        <w:tc>
          <w:tcPr>
            <w:tcW w:type="dxa" w:w="4000"/>
            <w:shd w:fill="FFFFFF" w:val="clear"/>
            <w:tcMar>
              <w:top w:type="dxa" w:w="80"/>
              <w:left w:type="dxa" w:w="100"/>
              <w:bottom w:type="dxa" w:w="80"/>
              <w:right w:type="dxa" w:w="100"/>
            </w:tcMar>
            <w:vAlign w:val="center"/>
          </w:tcPr>
          <w:p>
            <w:pPr>
              <w:jc w:val="left"/>
            </w:pPr>
            <w:r>
              <w:rPr>
                <w:b w:val="false"/>
                <w:bCs w:val="false"/>
                <w:sz w:val="20"/>
                <w:szCs w:val="20"/>
              </w:rPr>
              <w:t xml:space="preserve">SMS fallback; validate map data before secondary-city expansion</w:t>
            </w:r>
          </w:p>
        </w:tc>
      </w:tr>
    </w:tbl>
    <w:p>
      <w:pPr>
        <w:pStyle w:val="Heading1"/>
        <w:spacing w:after="160" w:before="360"/>
      </w:pPr>
      <w:r>
        <w:t xml:space="preserve">10. Phased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Phase</w:t>
            </w:r>
          </w:p>
        </w:tc>
        <w:tc>
          <w:tcPr>
            <w:tcW w:type="dxa" w:w="7600"/>
            <w:shd w:fill="1F3864" w:val="clear"/>
            <w:tcMar>
              <w:top w:type="dxa" w:w="80"/>
              <w:left w:type="dxa" w:w="100"/>
              <w:bottom w:type="dxa" w:w="80"/>
              <w:right w:type="dxa" w:w="100"/>
            </w:tcMar>
            <w:vAlign w:val="center"/>
          </w:tcPr>
          <w:p>
            <w:pPr>
              <w:jc w:val="left"/>
            </w:pPr>
            <w:r>
              <w:rPr>
                <w:b/>
                <w:bCs/>
                <w:color w:val="FFFFFF"/>
                <w:sz w:val="20"/>
                <w:szCs w:val="20"/>
              </w:rPr>
              <w:t xml:space="preserve">Scope</w:t>
            </w:r>
          </w:p>
        </w:tc>
      </w:tr>
      <w:tr>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MVP (v1)</w:t>
            </w:r>
          </w:p>
        </w:tc>
        <w:tc>
          <w:tcPr>
            <w:tcW w:type="dxa" w:w="7600"/>
            <w:shd w:fill="F2F6F6" w:val="clear"/>
            <w:tcMar>
              <w:top w:type="dxa" w:w="80"/>
              <w:left w:type="dxa" w:w="100"/>
              <w:bottom w:type="dxa" w:w="80"/>
              <w:right w:type="dxa" w:w="100"/>
            </w:tcMar>
            <w:vAlign w:val="center"/>
          </w:tcPr>
          <w:p>
            <w:pPr>
              <w:jc w:val="left"/>
            </w:pPr>
            <w:r>
              <w:rPr>
                <w:b w:val="false"/>
                <w:bCs w:val="false"/>
                <w:sz w:val="20"/>
                <w:szCs w:val="20"/>
              </w:rPr>
              <w:t xml:space="preserve">Unified app, on-demand ride flow only, cash + one mobile-money method, driver verification, basic Admin Console, Addis Ababa pilot zone(s)</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v1.x</w:t>
            </w:r>
          </w:p>
        </w:tc>
        <w:tc>
          <w:tcPr>
            <w:tcW w:type="dxa" w:w="7600"/>
            <w:shd w:fill="FFFFFF" w:val="clear"/>
            <w:tcMar>
              <w:top w:type="dxa" w:w="80"/>
              <w:left w:type="dxa" w:w="100"/>
              <w:bottom w:type="dxa" w:w="80"/>
              <w:right w:type="dxa" w:w="100"/>
            </w:tcMar>
            <w:vAlign w:val="center"/>
          </w:tcPr>
          <w:p>
            <w:pPr>
              <w:jc w:val="left"/>
            </w:pPr>
            <w:r>
              <w:rPr>
                <w:b w:val="false"/>
                <w:bCs w:val="false"/>
                <w:sz w:val="20"/>
                <w:szCs w:val="20"/>
              </w:rPr>
              <w:t xml:space="preserve">Route/corridor posting and pooling flow layered onto the same app, once driver density supports it</w:t>
            </w:r>
          </w:p>
        </w:tc>
      </w:tr>
      <w:tr>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v2</w:t>
            </w:r>
          </w:p>
        </w:tc>
        <w:tc>
          <w:tcPr>
            <w:tcW w:type="dxa" w:w="7600"/>
            <w:shd w:fill="F2F6F6" w:val="clear"/>
            <w:tcMar>
              <w:top w:type="dxa" w:w="80"/>
              <w:left w:type="dxa" w:w="100"/>
              <w:bottom w:type="dxa" w:w="80"/>
              <w:right w:type="dxa" w:w="100"/>
            </w:tcMar>
            <w:vAlign w:val="center"/>
          </w:tcPr>
          <w:p>
            <w:pPr>
              <w:jc w:val="left"/>
            </w:pPr>
            <w:r>
              <w:rPr>
                <w:b w:val="false"/>
                <w:bCs w:val="false"/>
                <w:sz w:val="20"/>
                <w:szCs w:val="20"/>
              </w:rPr>
              <w:t xml:space="preserve">Subscription/pass module (corridor passes), driver subscription pricing option, expanded Admin analytics</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v2+</w:t>
            </w:r>
          </w:p>
        </w:tc>
        <w:tc>
          <w:tcPr>
            <w:tcW w:type="dxa" w:w="7600"/>
            <w:shd w:fill="FFFFFF" w:val="clear"/>
            <w:tcMar>
              <w:top w:type="dxa" w:w="80"/>
              <w:left w:type="dxa" w:w="100"/>
              <w:bottom w:type="dxa" w:w="80"/>
              <w:right w:type="dxa" w:w="100"/>
            </w:tcMar>
            <w:vAlign w:val="center"/>
          </w:tcPr>
          <w:p>
            <w:pPr>
              <w:jc w:val="left"/>
            </w:pPr>
            <w:r>
              <w:rPr>
                <w:b w:val="false"/>
                <w:bCs w:val="false"/>
                <w:sz w:val="20"/>
                <w:szCs w:val="20"/>
              </w:rPr>
              <w:t xml:space="preserve">Corporate/institutional bulk passes, preferred-driver premium tier, additional cities</w:t>
            </w:r>
          </w:p>
        </w:tc>
      </w:tr>
      <w:tr>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v3</w:t>
            </w:r>
          </w:p>
        </w:tc>
        <w:tc>
          <w:tcPr>
            <w:tcW w:type="dxa" w:w="7600"/>
            <w:shd w:fill="F2F6F6" w:val="clear"/>
            <w:tcMar>
              <w:top w:type="dxa" w:w="80"/>
              <w:left w:type="dxa" w:w="100"/>
              <w:bottom w:type="dxa" w:w="80"/>
              <w:right w:type="dxa" w:w="100"/>
            </w:tcMar>
            <w:vAlign w:val="center"/>
          </w:tcPr>
          <w:p>
            <w:pPr>
              <w:jc w:val="left"/>
            </w:pPr>
            <w:r>
              <w:rPr>
                <w:b w:val="false"/>
                <w:bCs w:val="false"/>
                <w:sz w:val="20"/>
                <w:szCs w:val="20"/>
              </w:rPr>
              <w:t xml:space="preserve">Freight/cargo (“chinet”) module: pickup, medium truck, and heavy truck categories, estimated-to-final cargo pricing, cargo-specific Admin tooling</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v1.x / v2 (parallel)</w:t>
            </w:r>
          </w:p>
        </w:tc>
        <w:tc>
          <w:tcPr>
            <w:tcW w:type="dxa" w:w="7600"/>
            <w:shd w:fill="FFFFFF" w:val="clear"/>
            <w:tcMar>
              <w:top w:type="dxa" w:w="80"/>
              <w:left w:type="dxa" w:w="100"/>
              <w:bottom w:type="dxa" w:w="80"/>
              <w:right w:type="dxa" w:w="100"/>
            </w:tcMar>
            <w:vAlign w:val="center"/>
          </w:tcPr>
          <w:p>
            <w:pPr>
              <w:jc w:val="left"/>
            </w:pPr>
            <w:r>
              <w:rPr>
                <w:b w:val="false"/>
                <w:bCs w:val="false"/>
                <w:sz w:val="20"/>
                <w:szCs w:val="20"/>
              </w:rPr>
              <w:t xml:space="preserve">Post-trip happy/unhappy feedback and launch coupon codes ship alongside on-demand/pooling; full points-based loyalty program and driver recognition badges follow once usage data exists (Section 20)</w:t>
            </w:r>
          </w:p>
        </w:tc>
      </w:tr>
    </w:tbl>
    <w:p>
      <w:pPr>
        <w:pStyle w:val="Heading1"/>
        <w:spacing w:after="160" w:before="360"/>
      </w:pPr>
      <w:r>
        <w:t xml:space="preserve">11. Out of Scope for v1</w:t>
      </w:r>
    </w:p>
    <w:p>
      <w:pPr>
        <w:pStyle w:val="ListParagraph"/>
        <w:numPr>
          <w:ilvl w:val="0"/>
          <w:numId w:val="2"/>
        </w:numPr>
        <w:spacing w:after="60"/>
      </w:pPr>
      <w:r>
        <w:t xml:space="preserve">Motorbike/“tolo”-style rides.</w:t>
      </w:r>
    </w:p>
    <w:p>
      <w:pPr>
        <w:pStyle w:val="ListParagraph"/>
        <w:numPr>
          <w:ilvl w:val="0"/>
          <w:numId w:val="2"/>
        </w:numPr>
        <w:spacing w:after="60"/>
      </w:pPr>
      <w:r>
        <w:t xml:space="preserve">Freight/cargo (“chinet”) transport — specified in Section 19, planned for v3.</w:t>
      </w:r>
    </w:p>
    <w:p>
      <w:pPr>
        <w:pStyle w:val="ListParagraph"/>
        <w:numPr>
          <w:ilvl w:val="0"/>
          <w:numId w:val="2"/>
        </w:numPr>
        <w:spacing w:after="60"/>
      </w:pPr>
      <w:r>
        <w:t xml:space="preserve">Multi-city launch (pilot is single-city).</w:t>
      </w:r>
    </w:p>
    <w:p>
      <w:pPr>
        <w:pStyle w:val="ListParagraph"/>
        <w:numPr>
          <w:ilvl w:val="0"/>
          <w:numId w:val="2"/>
        </w:numPr>
        <w:spacing w:after="60"/>
      </w:pPr>
      <w:r>
        <w:t xml:space="preserve">Dedicated/preferred-driver subscription tier.</w:t>
      </w:r>
    </w:p>
    <w:p>
      <w:pPr>
        <w:pStyle w:val="ListParagraph"/>
        <w:numPr>
          <w:ilvl w:val="0"/>
          <w:numId w:val="2"/>
        </w:numPr>
        <w:spacing w:after="60"/>
      </w:pPr>
      <w:r>
        <w:t xml:space="preserve">Ambulance or emergency-transport integration.</w:t>
      </w:r>
    </w:p>
    <w:p>
      <w:pPr>
        <w:pStyle w:val="Heading1"/>
        <w:spacing w:after="160" w:before="360"/>
      </w:pPr>
      <w:r>
        <w:t xml:space="preserve">12. Open Decisions for Stakeholder Sign-off</w:t>
      </w:r>
    </w:p>
    <w:p>
      <w:pPr>
        <w:pStyle w:val="ListParagraph"/>
        <w:numPr>
          <w:ilvl w:val="0"/>
          <w:numId w:val="2"/>
        </w:numPr>
        <w:spacing w:after="60"/>
      </w:pPr>
      <w:r>
        <w:t xml:space="preserve">Final split of commission between driver-paid and passenger-paid, and whether it varies by trip type.</w:t>
      </w:r>
    </w:p>
    <w:p>
      <w:pPr>
        <w:pStyle w:val="ListParagraph"/>
        <w:numPr>
          <w:ilvl w:val="0"/>
          <w:numId w:val="2"/>
        </w:numPr>
        <w:spacing w:after="60"/>
      </w:pPr>
      <w:r>
        <w:t xml:space="preserve">Pilot launch corridor(s) and city zone boundaries.</w:t>
      </w:r>
    </w:p>
    <w:p>
      <w:pPr>
        <w:pStyle w:val="ListParagraph"/>
        <w:numPr>
          <w:ilvl w:val="0"/>
          <w:numId w:val="2"/>
        </w:numPr>
        <w:spacing w:after="60"/>
      </w:pPr>
      <w:r>
        <w:t xml:space="preserve">Choice of payment aggregator partner.</w:t>
      </w:r>
    </w:p>
    <w:p>
      <w:pPr>
        <w:pStyle w:val="ListParagraph"/>
        <w:numPr>
          <w:ilvl w:val="0"/>
          <w:numId w:val="2"/>
        </w:numPr>
        <w:spacing w:after="60"/>
      </w:pPr>
      <w:r>
        <w:t xml:space="preserve">Whether route-pooling launches in v1 or is deferred to v1.x based on early driver sign-up numbers.</w:t>
      </w:r>
    </w:p>
    <w:p>
      <w:pPr>
        <w:pStyle w:val="Heading1"/>
        <w:spacing w:after="160" w:before="360"/>
      </w:pPr>
      <w:r>
        <w:t xml:space="preserve">13. Additional Recommendations (Commonly Overlooked Items)</w:t>
      </w:r>
    </w:p>
    <w:p>
      <w:pPr>
        <w:spacing w:after="160" w:line="276"/>
      </w:pPr>
      <w:r>
        <w:t xml:space="preserve">This section adds items that are easy to leave out of a first draft but consistently matter once a transport platform is live. Review these with your team before finalizing scope.</w:t>
      </w:r>
    </w:p>
    <w:p>
      <w:pPr>
        <w:pStyle w:val="Heading2"/>
        <w:spacing w:after="120" w:before="280"/>
      </w:pPr>
      <w:r>
        <w:t xml:space="preserve">13.1 Customer Support / Call Center</w:t>
      </w:r>
    </w:p>
    <w:p>
      <w:pPr>
        <w:spacing w:after="160" w:line="276"/>
      </w:pPr>
      <w:r>
        <w:t xml:space="preserve">Every established competitor in this market (Feres, ZayRide, RIDE) still runs a phone dispatch line alongside the app, because not every user will fully trust or successfully use self-service booking, especially early on. For a solo-founder MVP, this can start as the founder personally handling calls via a single published number, growing into a small 3–5 person team once volume justifies it — the point is to have a human fallback from day one, not to over-hire early. This should be reflected as an Admin Console feature (call-assisted trip creation) as well as a staffing line item for later.</w:t>
      </w:r>
    </w:p>
    <w:p>
      <w:pPr>
        <w:pStyle w:val="Heading2"/>
        <w:spacing w:after="120" w:before="280"/>
      </w:pPr>
      <w:r>
        <w:t xml:space="preserve">13.2 Business &amp; Legal Setup</w:t>
      </w:r>
    </w:p>
    <w:p>
      <w:pPr>
        <w:pStyle w:val="ListParagraph"/>
        <w:numPr>
          <w:ilvl w:val="0"/>
          <w:numId w:val="2"/>
        </w:numPr>
        <w:spacing w:after="60"/>
      </w:pPr>
      <w:r>
        <w:t xml:space="preserve">Confirm the correct business license category for a transport-dispatch/tech platform (this is often distinct from a standard IT company license in Ethiopia).</w:t>
      </w:r>
    </w:p>
    <w:p>
      <w:pPr>
        <w:pStyle w:val="ListParagraph"/>
        <w:numPr>
          <w:ilvl w:val="0"/>
          <w:numId w:val="2"/>
        </w:numPr>
        <w:spacing w:after="60"/>
      </w:pPr>
      <w:r>
        <w:t xml:space="preserve">Clarify whether the platform itself needs a dispatch/operator license, separate from each individual driver's commercial driving license.</w:t>
      </w:r>
    </w:p>
    <w:p>
      <w:pPr>
        <w:pStyle w:val="ListParagraph"/>
        <w:numPr>
          <w:ilvl w:val="0"/>
          <w:numId w:val="2"/>
        </w:numPr>
        <w:spacing w:after="60"/>
      </w:pPr>
      <w:r>
        <w:t xml:space="preserve">Draft Terms of Service and a Driver Agreement that clearly state the platform is a technology intermediary (if that is the intended legal position), since this affects liability.</w:t>
      </w:r>
    </w:p>
    <w:p>
      <w:pPr>
        <w:pStyle w:val="ListParagraph"/>
        <w:numPr>
          <w:ilvl w:val="0"/>
          <w:numId w:val="2"/>
        </w:numPr>
        <w:spacing w:after="60"/>
      </w:pPr>
      <w:r>
        <w:t xml:space="preserve">Check foreign-currency and investment regulations early if you plan to raise outside funding.</w:t>
      </w:r>
    </w:p>
    <w:p>
      <w:pPr>
        <w:pStyle w:val="Heading2"/>
        <w:spacing w:after="120" w:before="280"/>
      </w:pPr>
      <w:r>
        <w:t xml:space="preserve">13.3 Insurance</w:t>
      </w:r>
    </w:p>
    <w:p>
      <w:pPr>
        <w:pStyle w:val="ListParagraph"/>
        <w:numPr>
          <w:ilvl w:val="0"/>
          <w:numId w:val="2"/>
        </w:numPr>
        <w:spacing w:after="60"/>
      </w:pPr>
      <w:r>
        <w:t xml:space="preserve">Confirm each driver's vehicle insurance covers commercial passenger transport, not just private use — many personal policies exclude this.</w:t>
      </w:r>
    </w:p>
    <w:p>
      <w:pPr>
        <w:pStyle w:val="ListParagraph"/>
        <w:numPr>
          <w:ilvl w:val="0"/>
          <w:numId w:val="2"/>
        </w:numPr>
        <w:spacing w:after="60"/>
      </w:pPr>
      <w:r>
        <w:t xml:space="preserve">Evaluate whether the platform should offer or require supplemental trip/passenger insurance, especially for pooled rides with multiple strangers in one vehicle.</w:t>
      </w:r>
    </w:p>
    <w:p>
      <w:pPr>
        <w:pStyle w:val="ListParagraph"/>
        <w:numPr>
          <w:ilvl w:val="0"/>
          <w:numId w:val="2"/>
        </w:numPr>
        <w:spacing w:after="60"/>
      </w:pPr>
      <w:r>
        <w:t xml:space="preserve">Define, in writing, what happens (financially and procedurally) in the event of an accident — this should exist before launch, not be improvised after an incident.</w:t>
      </w:r>
    </w:p>
    <w:p>
      <w:pPr>
        <w:pStyle w:val="Heading2"/>
        <w:spacing w:after="120" w:before="280"/>
      </w:pPr>
      <w:r>
        <w:t xml:space="preserve">13.4 Driver Incentives &amp; Retention</w:t>
      </w:r>
    </w:p>
    <w:p>
      <w:pPr>
        <w:pStyle w:val="ListParagraph"/>
        <w:numPr>
          <w:ilvl w:val="0"/>
          <w:numId w:val="2"/>
        </w:numPr>
        <w:spacing w:after="60"/>
      </w:pPr>
      <w:r>
        <w:t xml:space="preserve">Early-stage platforms typically need driver-side incentives (sign-up bonuses, guaranteed minimum earnings for first weeks) to build supply before demand exists — budget for this.</w:t>
      </w:r>
    </w:p>
    <w:p>
      <w:pPr>
        <w:pStyle w:val="ListParagraph"/>
        <w:numPr>
          <w:ilvl w:val="0"/>
          <w:numId w:val="2"/>
        </w:numPr>
        <w:spacing w:after="60"/>
      </w:pPr>
      <w:r>
        <w:t xml:space="preserve">Consider a simple tiered loyalty/rewards mechanism to encourage driver and passenger retention once the base product is stable — fully specified in Section 20 (Feedback, Rewards, Announcements &amp; Coupons).</w:t>
      </w:r>
    </w:p>
    <w:p>
      <w:pPr>
        <w:pStyle w:val="ListParagraph"/>
        <w:numPr>
          <w:ilvl w:val="0"/>
          <w:numId w:val="2"/>
        </w:numPr>
        <w:spacing w:after="60"/>
      </w:pPr>
      <w:r>
        <w:t xml:space="preserve">Plan a process for handling driver complaints about unfair deactivation or payment disputes — this is a common source of platform mistrust if handled informally.</w:t>
      </w:r>
    </w:p>
    <w:p>
      <w:pPr>
        <w:pStyle w:val="Heading2"/>
        <w:spacing w:after="120" w:before="280"/>
      </w:pPr>
      <w:r>
        <w:t xml:space="preserve">13.5 Fraud &amp; Abuse Prevention</w:t>
      </w:r>
    </w:p>
    <w:p>
      <w:pPr>
        <w:pStyle w:val="ListParagraph"/>
        <w:numPr>
          <w:ilvl w:val="0"/>
          <w:numId w:val="2"/>
        </w:numPr>
        <w:spacing w:after="60"/>
      </w:pPr>
      <w:r>
        <w:t xml:space="preserve">GPS spoofing / fake location: add basic detection (e.g. implausible speed jumps, mismatched device sensors) before scaling incentive programs, since fake trips are a common abuse vector on new platforms.</w:t>
      </w:r>
    </w:p>
    <w:p>
      <w:pPr>
        <w:pStyle w:val="ListParagraph"/>
        <w:numPr>
          <w:ilvl w:val="0"/>
          <w:numId w:val="2"/>
        </w:numPr>
        <w:spacing w:after="60"/>
      </w:pPr>
      <w:r>
        <w:t xml:space="preserve">Fake or duplicate accounts used to farm sign-up bonuses or manipulate ratings.</w:t>
      </w:r>
    </w:p>
    <w:p>
      <w:pPr>
        <w:pStyle w:val="ListParagraph"/>
        <w:numPr>
          <w:ilvl w:val="0"/>
          <w:numId w:val="2"/>
        </w:numPr>
        <w:spacing w:after="60"/>
      </w:pPr>
      <w:r>
        <w:t xml:space="preserve">Cash-trip under-reporting by drivers to avoid commission — needs a reconciliation or spot-check mechanism if commission is charged on cash trips.</w:t>
      </w:r>
    </w:p>
    <w:p>
      <w:pPr>
        <w:pStyle w:val="ListParagraph"/>
        <w:numPr>
          <w:ilvl w:val="0"/>
          <w:numId w:val="2"/>
        </w:numPr>
        <w:spacing w:after="60"/>
      </w:pPr>
      <w:r>
        <w:t xml:space="preserve">Promo/coupon abuse controls if discount codes are introduced.</w:t>
      </w:r>
    </w:p>
    <w:p>
      <w:pPr>
        <w:pStyle w:val="Heading2"/>
        <w:spacing w:after="120" w:before="280"/>
      </w:pPr>
      <w:r>
        <w:t xml:space="preserve">13.6 Testing &amp; Quality Assurance</w:t>
      </w:r>
    </w:p>
    <w:p>
      <w:pPr>
        <w:pStyle w:val="ListParagraph"/>
        <w:numPr>
          <w:ilvl w:val="0"/>
          <w:numId w:val="2"/>
        </w:numPr>
        <w:spacing w:after="60"/>
      </w:pPr>
      <w:r>
        <w:t xml:space="preserve">Plan a structured QA phase covering payment edge cases (failed payment mid-trip, partial refunds, network drop during a transaction) before public launch — payment bugs are the most damaging category of bug for user trust.</w:t>
      </w:r>
    </w:p>
    <w:p>
      <w:pPr>
        <w:pStyle w:val="ListParagraph"/>
        <w:numPr>
          <w:ilvl w:val="0"/>
          <w:numId w:val="2"/>
        </w:numPr>
        <w:spacing w:after="60"/>
      </w:pPr>
      <w:r>
        <w:t xml:space="preserve">Include a closed beta with a small number of real drivers and passengers in one corridor before opening broadly, to validate the matching engine against real traffic and road conditions.</w:t>
      </w:r>
    </w:p>
    <w:p>
      <w:pPr>
        <w:pStyle w:val="ListParagraph"/>
        <w:numPr>
          <w:ilvl w:val="0"/>
          <w:numId w:val="2"/>
        </w:numPr>
        <w:spacing w:after="60"/>
      </w:pPr>
      <w:r>
        <w:t xml:space="preserve">Test on low-end Android devices and low-bandwidth conditions specifically, not just on developer devices.</w:t>
      </w:r>
    </w:p>
    <w:p>
      <w:pPr>
        <w:pStyle w:val="Heading2"/>
        <w:spacing w:after="120" w:before="280"/>
      </w:pPr>
      <w:r>
        <w:t xml:space="preserve">13.7 Accessibility &amp; Inclusion</w:t>
      </w:r>
    </w:p>
    <w:p>
      <w:pPr>
        <w:pStyle w:val="ListParagraph"/>
        <w:numPr>
          <w:ilvl w:val="0"/>
          <w:numId w:val="2"/>
        </w:numPr>
        <w:spacing w:after="60"/>
      </w:pPr>
      <w:r>
        <w:t xml:space="preserve">Consider a female-driver-preference option for passengers who want it — a feature several markets have found improves trust and adoption among women riders.</w:t>
      </w:r>
    </w:p>
    <w:p>
      <w:pPr>
        <w:pStyle w:val="ListParagraph"/>
        <w:numPr>
          <w:ilvl w:val="0"/>
          <w:numId w:val="2"/>
        </w:numPr>
        <w:spacing w:after="60"/>
      </w:pPr>
      <w:r>
        <w:t xml:space="preserve">Consider basic accessibility support for passengers with disabilities (e.g. flagging wheelchair-accessible vehicles), even if only a small share of the fleet supports it initially.</w:t>
      </w:r>
    </w:p>
    <w:p>
      <w:pPr>
        <w:pStyle w:val="ListParagraph"/>
        <w:numPr>
          <w:ilvl w:val="0"/>
          <w:numId w:val="2"/>
        </w:numPr>
        <w:spacing w:after="60"/>
      </w:pPr>
      <w:r>
        <w:t xml:space="preserve">Ensure the app remains usable for low-literacy users — icon-led navigation, voice prompts, or call-center fallback matter here.</w:t>
      </w:r>
    </w:p>
    <w:p>
      <w:pPr>
        <w:pStyle w:val="Heading2"/>
        <w:spacing w:after="120" w:before="280"/>
      </w:pPr>
      <w:r>
        <w:t xml:space="preserve">13.8 Go-to-Market / Launch Strategy</w:t>
      </w:r>
    </w:p>
    <w:p>
      <w:pPr>
        <w:pStyle w:val="ListParagraph"/>
        <w:numPr>
          <w:ilvl w:val="0"/>
          <w:numId w:val="2"/>
        </w:numPr>
        <w:spacing w:after="60"/>
      </w:pPr>
      <w:r>
        <w:t xml:space="preserve">Identify one or two pilot corridors with genuinely high, predictable demand (e.g. a major commuter route) rather than launching city-wide — this was already flagged as a technical necessity for route-pooling, but it is equally a marketing necessity: concentrated visible activity builds trust faster than thin citywide coverage.</w:t>
      </w:r>
    </w:p>
    <w:p>
      <w:pPr>
        <w:pStyle w:val="ListParagraph"/>
        <w:numPr>
          <w:ilvl w:val="0"/>
          <w:numId w:val="2"/>
        </w:numPr>
        <w:spacing w:after="60"/>
      </w:pPr>
      <w:r>
        <w:t xml:space="preserve">Plan a driver-recruitment channel (partnerships with existing driver associations or taxi stands) separately from a passenger-acquisition channel (social media, campus/office partnerships) — these are two different funnels with different messaging.</w:t>
      </w:r>
    </w:p>
    <w:p>
      <w:pPr>
        <w:pStyle w:val="Heading2"/>
        <w:spacing w:after="120" w:before="280"/>
      </w:pPr>
      <w:r>
        <w:t xml:space="preserve">13.9 Team &amp; Resourcing (for planning purposes)</w:t>
      </w:r>
    </w:p>
    <w:p>
      <w:pPr>
        <w:spacing w:after="160" w:line="276"/>
      </w:pPr>
      <w:r>
        <w:t xml:space="preserve">For a solo full-stack founder (this project's actual situation — covering Flutter, React Native, React, Next.js, NestJS, Laravel, and FastAPI), the resourcing question shifts from “who do I hire” to “what order do I build in, and where do I need help first.” Recommended build order:</w:t>
      </w:r>
    </w:p>
    <w:p>
      <w:pPr>
        <w:pStyle w:val="ListParagraph"/>
        <w:numPr>
          <w:ilvl w:val="0"/>
          <w:numId w:val="2"/>
        </w:numPr>
        <w:spacing w:after="60"/>
      </w:pPr>
      <w:r>
        <w:t xml:space="preserve">Backend core first: auth, user/driver profiles, on-demand trip flow end-to-end (NestJS + PostgreSQL/PostGIS), since every other flow depends on this foundation.</w:t>
      </w:r>
    </w:p>
    <w:p>
      <w:pPr>
        <w:pStyle w:val="ListParagraph"/>
        <w:numPr>
          <w:ilvl w:val="0"/>
          <w:numId w:val="2"/>
        </w:numPr>
        <w:spacing w:after="60"/>
      </w:pPr>
      <w:r>
        <w:t xml:space="preserve">Flutter app second, wired to the on-demand flow, so there is a working end-to-end MVP before adding route-pooling, subscriptions, or freight.</w:t>
      </w:r>
    </w:p>
    <w:p>
      <w:pPr>
        <w:pStyle w:val="ListParagraph"/>
        <w:numPr>
          <w:ilvl w:val="0"/>
          <w:numId w:val="2"/>
        </w:numPr>
        <w:spacing w:after="60"/>
      </w:pPr>
      <w:r>
        <w:t xml:space="preserve">Route/corridor matching logic third, once on-demand works, built as PostGIS-backed queries inside the same NestJS backend — easiest to get right once there is real trip/location data to test it against, rather than designed in isolation up front.</w:t>
      </w:r>
    </w:p>
    <w:p>
      <w:pPr>
        <w:pStyle w:val="ListParagraph"/>
        <w:numPr>
          <w:ilvl w:val="0"/>
          <w:numId w:val="2"/>
        </w:numPr>
        <w:spacing w:after="60"/>
      </w:pPr>
      <w:r>
        <w:t xml:space="preserve">Admin Console (Next.js) can be built in parallel with the app once the backend API contracts are stable, since it consumes the same API.</w:t>
      </w:r>
    </w:p>
    <w:p>
      <w:pPr>
        <w:pStyle w:val="ListParagraph"/>
        <w:numPr>
          <w:ilvl w:val="0"/>
          <w:numId w:val="2"/>
        </w:numPr>
        <w:spacing w:after="60"/>
      </w:pPr>
      <w:r>
        <w:t xml:space="preserve">Realistic first outside help, even for a solo technical founder: a part-time designer for the app/admin UI (visual design is a different skill from engineering), and operations/support coverage (driver document verification, call-line/dispute handling) once real users are on the platform — these are not development tasks and pull focus away from building if done by the founder alone.</w:t>
      </w:r>
    </w:p>
    <w:p>
      <w:pPr>
        <w:pStyle w:val="ListParagraph"/>
        <w:numPr>
          <w:ilvl w:val="0"/>
          <w:numId w:val="2"/>
        </w:numPr>
        <w:spacing w:after="60"/>
      </w:pPr>
      <w:r>
        <w:t xml:space="preserve">QA: build a habit of testing on low-end Android devices and weak network conditions from the first working build, rather than treating it as a separate later phase — for a solo developer, this is easy to skip under time pressure and expensive to fix after users are already on the platform.</w:t>
      </w:r>
    </w:p>
    <w:p>
      <w:pPr>
        <w:pStyle w:val="Heading2"/>
        <w:spacing w:after="120" w:before="280"/>
      </w:pPr>
      <w:r>
        <w:t xml:space="preserve">13.10 Data Backup &amp; Disaster Recovery</w:t>
      </w:r>
    </w:p>
    <w:p>
      <w:pPr>
        <w:pStyle w:val="ListParagraph"/>
        <w:numPr>
          <w:ilvl w:val="0"/>
          <w:numId w:val="2"/>
        </w:numPr>
        <w:spacing w:after="60"/>
      </w:pPr>
      <w:r>
        <w:t xml:space="preserve">Define a backup schedule and retention policy for the core database, particularly payment and trip records, before go-live.</w:t>
      </w:r>
    </w:p>
    <w:p>
      <w:pPr>
        <w:pStyle w:val="ListParagraph"/>
        <w:numPr>
          <w:ilvl w:val="0"/>
          <w:numId w:val="2"/>
        </w:numPr>
        <w:spacing w:after="60"/>
      </w:pPr>
      <w:r>
        <w:t xml:space="preserve">Define a basic incident-response plan for outages (who is on call, how users are communicated with) — this is often skipped until the first real outage happens.</w:t>
      </w:r>
    </w:p>
    <w:p>
      <w:pPr>
        <w:pStyle w:val="Heading1"/>
        <w:spacing w:after="160" w:before="360"/>
      </w:pPr>
      <w:r>
        <w:t xml:space="preserve">14. Pricing Strategy &amp; Vehicle Tiers</w:t>
      </w:r>
    </w:p>
    <w:p>
      <w:pPr>
        <w:spacing w:after="160" w:line="276"/>
      </w:pPr>
      <w:r>
        <w:t xml:space="preserve">Your stated positioning is that Ride, Feres, and Yango are perceived by many riders as priced above what a standard taxi ride would cost, and that this is a real opening for a lower-cost alternative. The pricing model below is built around that positioning; the exact cap should be validated against current fuel and operating costs before launch, but the structural approach is captured here for the SRS.</w:t>
      </w:r>
    </w:p>
    <w:p>
      <w:pPr>
        <w:pStyle w:val="Heading2"/>
        <w:spacing w:after="120" w:before="280"/>
      </w:pPr>
      <w:r>
        <w:t xml:space="preserve">14.1 Standard Tier</w:t>
      </w:r>
    </w:p>
    <w:p>
      <w:pPr>
        <w:pStyle w:val="ListParagraph"/>
        <w:numPr>
          <w:ilvl w:val="0"/>
          <w:numId w:val="2"/>
        </w:numPr>
        <w:spacing w:after="60"/>
      </w:pPr>
      <w:r>
        <w:t xml:space="preserve">Base fare aligned to normal local taxi/meter-equivalent pricing for the route, not to competitor ride-hailing rates.</w:t>
      </w:r>
    </w:p>
    <w:p>
      <w:pPr>
        <w:pStyle w:val="ListParagraph"/>
        <w:numPr>
          <w:ilvl w:val="0"/>
          <w:numId w:val="2"/>
        </w:numPr>
        <w:spacing w:after="60"/>
      </w:pPr>
      <w:r>
        <w:t xml:space="preserve">Platform adds a capped service fee on top of that base fare — configurable in Admin, with your stated target of a maximum of approximately 20 Birr above the standard fare.</w:t>
      </w:r>
    </w:p>
    <w:p>
      <w:pPr>
        <w:pStyle w:val="ListParagraph"/>
        <w:numPr>
          <w:ilvl w:val="0"/>
          <w:numId w:val="2"/>
        </w:numPr>
        <w:spacing w:after="60"/>
      </w:pPr>
      <w:r>
        <w:t xml:space="preserve">Fare breakdown must be shown to the passenger before booking (base fare + platform fee shown separately), so the cap is visibly honored rather than just claimed — this transparency is itself a trust-building differentiator, since fare opacity is a common rider complaint about existing apps.</w:t>
      </w:r>
    </w:p>
    <w:p>
      <w:pPr>
        <w:pStyle w:val="ListParagraph"/>
        <w:numPr>
          <w:ilvl w:val="0"/>
          <w:numId w:val="2"/>
        </w:numPr>
        <w:spacing w:after="60"/>
      </w:pPr>
      <w:r>
        <w:t xml:space="preserve">The cap should be a configurable policy value in Admin (not hard-coded), reviewed periodically against fuel price changes, so the business can adjust it without a new app release.</w:t>
      </w:r>
    </w:p>
    <w:p>
      <w:pPr>
        <w:pStyle w:val="Heading2"/>
        <w:spacing w:after="120" w:before="280"/>
      </w:pPr>
      <w:r>
        <w:t xml:space="preserve">14.2 Comfort / Luxury Tier</w:t>
      </w:r>
    </w:p>
    <w:p>
      <w:pPr>
        <w:pStyle w:val="ListParagraph"/>
        <w:numPr>
          <w:ilvl w:val="0"/>
          <w:numId w:val="2"/>
        </w:numPr>
        <w:spacing w:after="60"/>
      </w:pPr>
      <w:r>
        <w:t xml:space="preserve">An opt-in higher tier for passengers willing to pay more for a higher-spec vehicle (newer car, AC guaranteed, larger vehicle, etc.).</w:t>
      </w:r>
    </w:p>
    <w:p>
      <w:pPr>
        <w:pStyle w:val="ListParagraph"/>
        <w:numPr>
          <w:ilvl w:val="0"/>
          <w:numId w:val="2"/>
        </w:numPr>
        <w:spacing w:after="60"/>
      </w:pPr>
      <w:r>
        <w:t xml:space="preserve">Priced independently of the standard-tier cap — luxury tier pricing is market-based, not capped, since it is an optional upgrade rather than the core low-cost offering.</w:t>
      </w:r>
    </w:p>
    <w:p>
      <w:pPr>
        <w:pStyle w:val="ListParagraph"/>
        <w:numPr>
          <w:ilvl w:val="0"/>
          <w:numId w:val="2"/>
        </w:numPr>
        <w:spacing w:after="60"/>
      </w:pPr>
      <w:r>
        <w:t xml:space="preserve">Vehicle class should be a field on the driver/vehicle profile (Standard, Comfort, Luxury) so passengers can filter and select by tier at booking time, for both on-demand and route-posted trips.</w:t>
      </w:r>
    </w:p>
    <w:p>
      <w:pPr>
        <w:pStyle w:val="Heading2"/>
        <w:spacing w:after="120" w:before="280"/>
      </w:pPr>
      <w:r>
        <w:t xml:space="preserve">14.3 Why This Matters for Positioning</w:t>
      </w:r>
    </w:p>
    <w:p>
      <w:pPr>
        <w:pStyle w:val="ListParagraph"/>
        <w:numPr>
          <w:ilvl w:val="0"/>
          <w:numId w:val="2"/>
        </w:numPr>
        <w:spacing w:after="60"/>
      </w:pPr>
      <w:r>
        <w:t xml:space="preserve">Standard tier becomes your volume driver and the direct answer to “existing apps are too expensive.”</w:t>
      </w:r>
    </w:p>
    <w:p>
      <w:pPr>
        <w:pStyle w:val="ListParagraph"/>
        <w:numPr>
          <w:ilvl w:val="0"/>
          <w:numId w:val="2"/>
        </w:numPr>
        <w:spacing w:after="60"/>
      </w:pPr>
      <w:r>
        <w:t xml:space="preserve">Luxury tier captures the segment willing to pay more, without diluting the low-cost promise of the standard tier.</w:t>
      </w:r>
    </w:p>
    <w:p>
      <w:pPr>
        <w:pStyle w:val="ListParagraph"/>
        <w:numPr>
          <w:ilvl w:val="0"/>
          <w:numId w:val="2"/>
        </w:numPr>
        <w:spacing w:after="60"/>
      </w:pPr>
      <w:r>
        <w:t xml:space="preserve">Running both tiers on one platform, with clear per-tier pricing shown up front, is itself a competitive point — most local incumbents do not clearly separate a low-cost and a premium option within the same app.</w:t>
      </w:r>
    </w:p>
    <w:p>
      <w:pPr>
        <w:pStyle w:val="Heading1"/>
        <w:spacing w:after="160" w:before="360"/>
      </w:pPr>
      <w:r>
        <w:t xml:space="preserve">15. Holiday / Peak-Season Transport Scarcity</w:t>
      </w:r>
    </w:p>
    <w:p>
      <w:pPr>
        <w:spacing w:after="160" w:line="276"/>
      </w:pPr>
      <w:r>
        <w:t xml:space="preserve">Around major Ethiopian holidays (Enkutatash, Meskel, Timkat, Genna, Fasika, and similar periods), large numbers of people travel from Addis Ababa to their home regions, and intercity transport capacity is well short of demand — this is the scarcity problem you described. The platform can address this directly rather than treating it as an edge case.</w:t>
      </w:r>
    </w:p>
    <w:p>
      <w:pPr>
        <w:pStyle w:val="Heading2"/>
        <w:spacing w:after="120" w:before="280"/>
      </w:pPr>
      <w:r>
        <w:t xml:space="preserve">15.1 Recommended Features</w:t>
      </w:r>
    </w:p>
    <w:p>
      <w:pPr>
        <w:pStyle w:val="ListParagraph"/>
        <w:numPr>
          <w:ilvl w:val="0"/>
          <w:numId w:val="2"/>
        </w:numPr>
        <w:spacing w:after="60"/>
      </w:pPr>
      <w:r>
        <w:t xml:space="preserve">Holiday calendar in Admin: pre-flag known high-demand dates and corridors (e.g. Addis Ababa – Bahir Dar, Addis Ababa – Hawassa) so the platform can proactively recruit drivers before the surge rather than reacting to it.</w:t>
      </w:r>
    </w:p>
    <w:p>
      <w:pPr>
        <w:pStyle w:val="ListParagraph"/>
        <w:numPr>
          <w:ilvl w:val="0"/>
          <w:numId w:val="2"/>
        </w:numPr>
        <w:spacing w:after="60"/>
      </w:pPr>
      <w:r>
        <w:t xml:space="preserve">Advance intercity booking: allow passengers to book intercity seats days or weeks ahead of a holiday, rather than only on the day of travel — this is a natural extension of the route-posting/pooling model already in Section 4.5, applied to longer intercity corridors.</w:t>
      </w:r>
    </w:p>
    <w:p>
      <w:pPr>
        <w:pStyle w:val="ListParagraph"/>
        <w:numPr>
          <w:ilvl w:val="0"/>
          <w:numId w:val="2"/>
        </w:numPr>
        <w:spacing w:after="60"/>
      </w:pPr>
      <w:r>
        <w:t xml:space="preserve">Larger-vehicle pooling: for intercity routes, support pooling across a minibus or larger vehicle capacity, not just 4-seat sedans, since holiday demand concentrates on a small number of popular corridors.</w:t>
      </w:r>
    </w:p>
    <w:p>
      <w:pPr>
        <w:pStyle w:val="ListParagraph"/>
        <w:numPr>
          <w:ilvl w:val="0"/>
          <w:numId w:val="2"/>
        </w:numPr>
        <w:spacing w:after="60"/>
      </w:pPr>
      <w:r>
        <w:t xml:space="preserve">Waitlist: when a corridor is fully booked, let passengers join a waitlist and get notified automatically if a new route or extra seats are posted.</w:t>
      </w:r>
    </w:p>
    <w:p>
      <w:pPr>
        <w:pStyle w:val="ListParagraph"/>
        <w:numPr>
          <w:ilvl w:val="0"/>
          <w:numId w:val="2"/>
        </w:numPr>
        <w:spacing w:after="60"/>
      </w:pPr>
      <w:r>
        <w:t xml:space="preserve">Targeted driver recruitment campaigns tied to the holiday calendar, separate from your everyday driver-recruitment channel (see Section 13.8).</w:t>
      </w:r>
    </w:p>
    <w:p>
      <w:pPr>
        <w:pStyle w:val="ListParagraph"/>
        <w:numPr>
          <w:ilvl w:val="0"/>
          <w:numId w:val="2"/>
        </w:numPr>
        <w:spacing w:after="60"/>
      </w:pPr>
      <w:r>
        <w:t xml:space="preserve">Partnership option: rather than only competing with existing bus/minibus station operators for holiday capacity, consider onboarding some of them as verified drivers/operators on the platform for the holiday season specifically — this adds supply quickly instead of building it from zero.</w:t>
      </w:r>
    </w:p>
    <w:p>
      <w:pPr>
        <w:pStyle w:val="Heading2"/>
        <w:spacing w:after="120" w:before="280"/>
      </w:pPr>
      <w:r>
        <w:t xml:space="preserve">15.2 Fare Integrity During Scarcity</w:t>
      </w:r>
    </w:p>
    <w:p>
      <w:pPr>
        <w:pStyle w:val="ListParagraph"/>
        <w:numPr>
          <w:ilvl w:val="0"/>
          <w:numId w:val="2"/>
        </w:numPr>
        <w:spacing w:after="60"/>
      </w:pPr>
      <w:r>
        <w:t xml:space="preserve">Apply a clear, capped pricing rule for holiday/intercity routes as well — the same transparency principle as Section 14 — so the platform does not itself become a source of the price-gouging that riders already experience informally at bus stations during peak travel periods. This is a meaningful trust differentiator: solving scarcity by adding visible, bookable supply, not by charging whatever the market will bear.</w:t>
      </w:r>
    </w:p>
    <w:p>
      <w:pPr>
        <w:pStyle w:val="ListParagraph"/>
        <w:numPr>
          <w:ilvl w:val="0"/>
          <w:numId w:val="2"/>
        </w:numPr>
        <w:spacing w:after="60"/>
      </w:pPr>
      <w:r>
        <w:t xml:space="preserve">If limited demand-based pricing is used for very high-demand dates, it should be capped and disclosed up front, never silently applied.</w:t>
      </w:r>
    </w:p>
    <w:p>
      <w:pPr>
        <w:pStyle w:val="Heading1"/>
        <w:spacing w:after="160" w:before="360"/>
      </w:pPr>
      <w:r>
        <w:t xml:space="preserve">16. Competitive Differentiation</w:t>
      </w:r>
    </w:p>
    <w:p>
      <w:pPr>
        <w:spacing w:after="160" w:line="276"/>
      </w:pPr>
      <w:r>
        <w:t xml:space="preserve">The comparison below reflects your stated positioning against existing ride-hailing apps and informal station-based taxis. Some competitor claims (e.g. loyalty programs, delivery add-ons) are based on their own public descriptions and may change — treat this as a positioning reference to validate periodically, not a fixed fact sheet.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60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Dimension</w:t>
            </w:r>
          </w:p>
        </w:tc>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Ride / Feres / Yango (typical)</w:t>
            </w:r>
          </w:p>
        </w:tc>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Station-Based / Informal Taxis</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Your Platform</w:t>
            </w:r>
          </w:p>
        </w:tc>
      </w:tr>
      <w:tr>
        <w:tc>
          <w:tcPr>
            <w:tcW w:type="dxa" w:w="2000"/>
            <w:shd w:fill="F2F6F6" w:val="clear"/>
            <w:tcMar>
              <w:top w:type="dxa" w:w="80"/>
              <w:left w:type="dxa" w:w="100"/>
              <w:bottom w:type="dxa" w:w="80"/>
              <w:right w:type="dxa" w:w="100"/>
            </w:tcMar>
            <w:vAlign w:val="center"/>
          </w:tcPr>
          <w:p>
            <w:pPr>
              <w:jc w:val="left"/>
            </w:pPr>
            <w:r>
              <w:rPr>
                <w:b w:val="false"/>
                <w:bCs w:val="false"/>
                <w:sz w:val="20"/>
                <w:szCs w:val="20"/>
              </w:rPr>
              <w:t xml:space="preserve">Pricing model</w:t>
            </w:r>
          </w:p>
        </w:tc>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App-based dynamic/point-to-point fares, often above standard taxi rates</w:t>
            </w:r>
          </w:p>
        </w:tc>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Negotiated or metered, inconsistent, can spike informally at peak times</w:t>
            </w:r>
          </w:p>
        </w:tc>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Standard-tier fare capped near normal taxi pricing (target: up to ~20 Birr above base fare), shown transparently</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Advance route visibility</w:t>
            </w:r>
          </w:p>
        </w:tc>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Not generally available — on-demand dispatch only</w:t>
            </w:r>
          </w:p>
        </w:tc>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None — first-come, first-served at the station</w:t>
            </w:r>
          </w:p>
        </w:tc>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Drivers can post routes/corridors in advance; passengers book ahead</w:t>
            </w:r>
          </w:p>
        </w:tc>
      </w:tr>
      <w:tr>
        <w:tc>
          <w:tcPr>
            <w:tcW w:type="dxa" w:w="2000"/>
            <w:shd w:fill="F2F6F6" w:val="clear"/>
            <w:tcMar>
              <w:top w:type="dxa" w:w="80"/>
              <w:left w:type="dxa" w:w="100"/>
              <w:bottom w:type="dxa" w:w="80"/>
              <w:right w:type="dxa" w:w="100"/>
            </w:tcMar>
            <w:vAlign w:val="center"/>
          </w:tcPr>
          <w:p>
            <w:pPr>
              <w:jc w:val="left"/>
            </w:pPr>
            <w:r>
              <w:rPr>
                <w:b w:val="false"/>
                <w:bCs w:val="false"/>
                <w:sz w:val="20"/>
                <w:szCs w:val="20"/>
              </w:rPr>
              <w:t xml:space="preserve">Ride pooling / shared cost</w:t>
            </w:r>
          </w:p>
        </w:tc>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Limited or not offered</w:t>
            </w:r>
          </w:p>
        </w:tc>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Informal shared-taxi lines exist but are not app-bookable</w:t>
            </w:r>
          </w:p>
        </w:tc>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Built-in seat/segment pooling on posted routes, lowering per-passenger cost</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Subscription / recurring commuter option</w:t>
            </w:r>
          </w:p>
        </w:tc>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Not a core feature</w:t>
            </w:r>
          </w:p>
        </w:tc>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Not available</w:t>
            </w:r>
          </w:p>
        </w:tc>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Corridor-based subscription passes for regular commuters (v2)</w:t>
            </w:r>
          </w:p>
        </w:tc>
      </w:tr>
      <w:tr>
        <w:tc>
          <w:tcPr>
            <w:tcW w:type="dxa" w:w="2000"/>
            <w:shd w:fill="F2F6F6" w:val="clear"/>
            <w:tcMar>
              <w:top w:type="dxa" w:w="80"/>
              <w:left w:type="dxa" w:w="100"/>
              <w:bottom w:type="dxa" w:w="80"/>
              <w:right w:type="dxa" w:w="100"/>
            </w:tcMar>
            <w:vAlign w:val="center"/>
          </w:tcPr>
          <w:p>
            <w:pPr>
              <w:jc w:val="left"/>
            </w:pPr>
            <w:r>
              <w:rPr>
                <w:b w:val="false"/>
                <w:bCs w:val="false"/>
                <w:sz w:val="20"/>
                <w:szCs w:val="20"/>
              </w:rPr>
              <w:t xml:space="preserve">Vehicle choice</w:t>
            </w:r>
          </w:p>
        </w:tc>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Often a single or limited vehicle class</w:t>
            </w:r>
          </w:p>
        </w:tc>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No structured choice</w:t>
            </w:r>
          </w:p>
        </w:tc>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Standard and Comfort/Luxury tiers selectable at booking</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Holiday/intercity capacity</w:t>
            </w:r>
          </w:p>
        </w:tc>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Not a specific focus</w:t>
            </w:r>
          </w:p>
        </w:tc>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Main channel today, but scarcity and price spikes are common</w:t>
            </w:r>
          </w:p>
        </w:tc>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Dedicated holiday calendar, advance booking, and driver recruitment for known scarcity corridors</w:t>
            </w:r>
          </w:p>
        </w:tc>
      </w:tr>
      <w:tr>
        <w:tc>
          <w:tcPr>
            <w:tcW w:type="dxa" w:w="2000"/>
            <w:shd w:fill="F2F6F6" w:val="clear"/>
            <w:tcMar>
              <w:top w:type="dxa" w:w="80"/>
              <w:left w:type="dxa" w:w="100"/>
              <w:bottom w:type="dxa" w:w="80"/>
              <w:right w:type="dxa" w:w="100"/>
            </w:tcMar>
            <w:vAlign w:val="center"/>
          </w:tcPr>
          <w:p>
            <w:pPr>
              <w:jc w:val="left"/>
            </w:pPr>
            <w:r>
              <w:rPr>
                <w:b w:val="false"/>
                <w:bCs w:val="false"/>
                <w:sz w:val="20"/>
                <w:szCs w:val="20"/>
              </w:rPr>
              <w:t xml:space="preserve">Fare transparency</w:t>
            </w:r>
          </w:p>
        </w:tc>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Varies by app</w:t>
            </w:r>
          </w:p>
        </w:tc>
        <w:tc>
          <w:tcPr>
            <w:tcW w:type="dxa" w:w="2400"/>
            <w:shd w:fill="F2F6F6" w:val="clear"/>
            <w:tcMar>
              <w:top w:type="dxa" w:w="80"/>
              <w:left w:type="dxa" w:w="100"/>
              <w:bottom w:type="dxa" w:w="80"/>
              <w:right w:type="dxa" w:w="100"/>
            </w:tcMar>
            <w:vAlign w:val="center"/>
          </w:tcPr>
          <w:p>
            <w:pPr>
              <w:jc w:val="left"/>
            </w:pPr>
            <w:r>
              <w:rPr>
                <w:b w:val="false"/>
                <w:bCs w:val="false"/>
                <w:sz w:val="20"/>
                <w:szCs w:val="20"/>
              </w:rPr>
              <w:t xml:space="preserve">Often negotiated with no fixed reference</w:t>
            </w:r>
          </w:p>
        </w:tc>
        <w:tc>
          <w:tcPr>
            <w:tcW w:type="dxa" w:w="2600"/>
            <w:shd w:fill="F2F6F6" w:val="clear"/>
            <w:tcMar>
              <w:top w:type="dxa" w:w="80"/>
              <w:left w:type="dxa" w:w="100"/>
              <w:bottom w:type="dxa" w:w="80"/>
              <w:right w:type="dxa" w:w="100"/>
            </w:tcMar>
            <w:vAlign w:val="center"/>
          </w:tcPr>
          <w:p>
            <w:pPr>
              <w:jc w:val="left"/>
            </w:pPr>
            <w:r>
              <w:rPr>
                <w:b w:val="false"/>
                <w:bCs w:val="false"/>
                <w:sz w:val="20"/>
                <w:szCs w:val="20"/>
              </w:rPr>
              <w:t xml:space="preserve">Base fare + platform fee shown separately before booking</w:t>
            </w:r>
          </w:p>
        </w:tc>
      </w:tr>
      <w:tr>
        <w:tc>
          <w:tcPr>
            <w:tcW w:type="dxa" w:w="2000"/>
            <w:shd w:fill="FFFFFF" w:val="clear"/>
            <w:tcMar>
              <w:top w:type="dxa" w:w="80"/>
              <w:left w:type="dxa" w:w="100"/>
              <w:bottom w:type="dxa" w:w="80"/>
              <w:right w:type="dxa" w:w="100"/>
            </w:tcMar>
            <w:vAlign w:val="center"/>
          </w:tcPr>
          <w:p>
            <w:pPr>
              <w:jc w:val="left"/>
            </w:pPr>
            <w:r>
              <w:rPr>
                <w:b w:val="false"/>
                <w:bCs w:val="false"/>
                <w:sz w:val="20"/>
                <w:szCs w:val="20"/>
              </w:rPr>
              <w:t xml:space="preserve">Feedback &amp; rewards</w:t>
            </w:r>
          </w:p>
        </w:tc>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Some offer loyalty points (e.g. Feres Miles)</w:t>
            </w:r>
          </w:p>
        </w:tc>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None</w:t>
            </w:r>
          </w:p>
        </w:tc>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Post-trip happy/unhappy feedback loop, points, coupons, and driver recognition badges (Section 20)</w:t>
            </w:r>
          </w:p>
        </w:tc>
      </w:tr>
    </w:tbl>
    <w:p>
      <w:pPr>
        <w:pStyle w:val="Heading1"/>
        <w:spacing w:after="160" w:before="360"/>
      </w:pPr>
      <w:r>
        <w:t xml:space="preserve">17. Benefits to Drivers and Passengers</w:t>
      </w:r>
    </w:p>
    <w:p>
      <w:pPr>
        <w:pStyle w:val="Heading2"/>
        <w:spacing w:after="120" w:before="280"/>
      </w:pPr>
      <w:r>
        <w:t xml:space="preserve">17.1 Benefits to Drivers</w:t>
      </w:r>
    </w:p>
    <w:p>
      <w:pPr>
        <w:pStyle w:val="ListParagraph"/>
        <w:numPr>
          <w:ilvl w:val="0"/>
          <w:numId w:val="2"/>
        </w:numPr>
        <w:spacing w:after="60"/>
      </w:pPr>
      <w:r>
        <w:t xml:space="preserve">Access to route-posting means a driver already heading somewhere can fill empty seats instead of driving that distance for one fare or empty.</w:t>
      </w:r>
    </w:p>
    <w:p>
      <w:pPr>
        <w:pStyle w:val="ListParagraph"/>
        <w:numPr>
          <w:ilvl w:val="0"/>
          <w:numId w:val="2"/>
        </w:numPr>
        <w:spacing w:after="60"/>
      </w:pPr>
      <w:r>
        <w:t xml:space="preserve">Choice between commission-per-trip and a flat subscription/access fee (Section 4.6), giving drivers flexibility based on how much they drive.</w:t>
      </w:r>
    </w:p>
    <w:p>
      <w:pPr>
        <w:pStyle w:val="ListParagraph"/>
        <w:numPr>
          <w:ilvl w:val="0"/>
          <w:numId w:val="2"/>
        </w:numPr>
        <w:spacing w:after="60"/>
      </w:pPr>
      <w:r>
        <w:t xml:space="preserve">Holiday-season demand surges become a planned opportunity (advance bookings, larger-vehicle pooling) rather than chaotic same-day scrambling.</w:t>
      </w:r>
    </w:p>
    <w:p>
      <w:pPr>
        <w:pStyle w:val="ListParagraph"/>
        <w:numPr>
          <w:ilvl w:val="0"/>
          <w:numId w:val="2"/>
        </w:numPr>
        <w:spacing w:after="60"/>
      </w:pPr>
      <w:r>
        <w:t xml:space="preserve">Vehicle-tier classification lets drivers with newer or higher-spec vehicles earn more through the Comfort/Luxury tier without being capped at standard-tier pricing.</w:t>
      </w:r>
    </w:p>
    <w:p>
      <w:pPr>
        <w:pStyle w:val="ListParagraph"/>
        <w:numPr>
          <w:ilvl w:val="0"/>
          <w:numId w:val="2"/>
        </w:numPr>
        <w:spacing w:after="60"/>
      </w:pPr>
      <w:r>
        <w:t xml:space="preserve">Transparent, capped standard-tier pricing reduces fare disputes with passengers, since the fare is shown and agreed before the trip starts.</w:t>
      </w:r>
    </w:p>
    <w:p>
      <w:pPr>
        <w:pStyle w:val="ListParagraph"/>
        <w:numPr>
          <w:ilvl w:val="0"/>
          <w:numId w:val="2"/>
        </w:numPr>
        <w:spacing w:after="60"/>
      </w:pPr>
      <w:r>
        <w:t xml:space="preserve">Performance-based bonuses, recognition badges, and a referral reward for bringing in other verified drivers (Section 20.3).</w:t>
      </w:r>
    </w:p>
    <w:p>
      <w:pPr>
        <w:pStyle w:val="Heading2"/>
        <w:spacing w:after="120" w:before="280"/>
      </w:pPr>
      <w:r>
        <w:t xml:space="preserve">17.2 Benefits to Passengers</w:t>
      </w:r>
    </w:p>
    <w:p>
      <w:pPr>
        <w:pStyle w:val="ListParagraph"/>
        <w:numPr>
          <w:ilvl w:val="0"/>
          <w:numId w:val="2"/>
        </w:numPr>
        <w:spacing w:after="60"/>
      </w:pPr>
      <w:r>
        <w:t xml:space="preserve">Standard-tier trips priced close to normal taxi rates directly addresses the “existing apps are too expensive” complaint.</w:t>
      </w:r>
    </w:p>
    <w:p>
      <w:pPr>
        <w:pStyle w:val="ListParagraph"/>
        <w:numPr>
          <w:ilvl w:val="0"/>
          <w:numId w:val="2"/>
        </w:numPr>
        <w:spacing w:after="60"/>
      </w:pPr>
      <w:r>
        <w:t xml:space="preserve">Advance visibility into posted routes reduces waiting time, since passengers can see and book a ride before they need to leave, not only once they are already waiting on the street.</w:t>
      </w:r>
    </w:p>
    <w:p>
      <w:pPr>
        <w:pStyle w:val="ListParagraph"/>
        <w:numPr>
          <w:ilvl w:val="0"/>
          <w:numId w:val="2"/>
        </w:numPr>
        <w:spacing w:after="60"/>
      </w:pPr>
      <w:r>
        <w:t xml:space="preserve">Pooling lowers cost further for passengers willing to share a route segment with others.</w:t>
      </w:r>
    </w:p>
    <w:p>
      <w:pPr>
        <w:pStyle w:val="ListParagraph"/>
        <w:numPr>
          <w:ilvl w:val="0"/>
          <w:numId w:val="2"/>
        </w:numPr>
        <w:spacing w:after="60"/>
      </w:pPr>
      <w:r>
        <w:t xml:space="preserve">A dedicated holiday/intercity booking flow reduces the stress and price uncertainty of last-minute travel to the countryside around major holidays.</w:t>
      </w:r>
    </w:p>
    <w:p>
      <w:pPr>
        <w:pStyle w:val="ListParagraph"/>
        <w:numPr>
          <w:ilvl w:val="0"/>
          <w:numId w:val="2"/>
        </w:numPr>
        <w:spacing w:after="60"/>
      </w:pPr>
      <w:r>
        <w:t xml:space="preserve">Choice of vehicle tier lets passengers pick based on budget or comfort need for the same trip, without switching apps.</w:t>
      </w:r>
    </w:p>
    <w:p>
      <w:pPr>
        <w:pStyle w:val="ListParagraph"/>
        <w:numPr>
          <w:ilvl w:val="0"/>
          <w:numId w:val="2"/>
        </w:numPr>
        <w:spacing w:after="60"/>
      </w:pPr>
      <w:r>
        <w:t xml:space="preserve">Fare transparency (base fare + capped fee shown up front) builds trust that is currently a pain point with negotiated or opaque pricing.</w:t>
      </w:r>
    </w:p>
    <w:p>
      <w:pPr>
        <w:pStyle w:val="ListParagraph"/>
        <w:numPr>
          <w:ilvl w:val="0"/>
          <w:numId w:val="2"/>
        </w:numPr>
        <w:spacing w:after="60"/>
      </w:pPr>
      <w:r>
        <w:t xml:space="preserve">Loyalty points, tiered perks, and coupon codes reward regular use, with a direct feedback channel when something goes wrong (Section 20).</w:t>
      </w:r>
    </w:p>
    <w:p>
      <w:pPr>
        <w:pStyle w:val="Heading1"/>
        <w:spacing w:after="160" w:before="360"/>
      </w:pPr>
      <w:r>
        <w:t xml:space="preserve">18. Additional Gaps Identified in This Review</w:t>
      </w:r>
    </w:p>
    <w:p>
      <w:pPr>
        <w:spacing w:after="160" w:line="276"/>
      </w:pPr>
      <w:r>
        <w:t xml:space="preserve">A further pass over the full document, specifically for the Ethiopian context, surfaced a few more items worth adding before this is considered complete.</w:t>
      </w:r>
    </w:p>
    <w:p>
      <w:pPr>
        <w:pStyle w:val="Heading2"/>
        <w:spacing w:after="120" w:before="280"/>
      </w:pPr>
      <w:r>
        <w:t xml:space="preserve">18.1 Vehicle Categories Beyond Standard Cars</w:t>
      </w:r>
    </w:p>
    <w:p>
      <w:pPr>
        <w:pStyle w:val="ListParagraph"/>
        <w:numPr>
          <w:ilvl w:val="0"/>
          <w:numId w:val="2"/>
        </w:numPr>
        <w:spacing w:after="60"/>
      </w:pPr>
      <w:r>
        <w:t xml:space="preserve">Bajaj/three-wheelers: dominant and cost-effective for short trips in many regional towns and even parts of Addis Ababa; add as a distinct vehicle category with its own pricing, separate from the Standard/Comfort/Luxury car tiers in Section 14.</w:t>
      </w:r>
    </w:p>
    <w:p>
      <w:pPr>
        <w:pStyle w:val="ListParagraph"/>
        <w:numPr>
          <w:ilvl w:val="0"/>
          <w:numId w:val="2"/>
        </w:numPr>
        <w:spacing w:after="60"/>
      </w:pPr>
      <w:r>
        <w:t xml:space="preserve">Minibus: needed for the intercity/holiday pooling use case in Section 15, where demand concentrates on high-capacity routes; should be a first-class vehicle category, not an edge case of the standard car tier.</w:t>
      </w:r>
    </w:p>
    <w:p>
      <w:pPr>
        <w:pStyle w:val="ListParagraph"/>
        <w:numPr>
          <w:ilvl w:val="0"/>
          <w:numId w:val="2"/>
        </w:numPr>
        <w:spacing w:after="60"/>
      </w:pPr>
      <w:r>
        <w:t xml:space="preserve">Vehicle category should be a filter at search/booking time across all three flows (on-demand, route-posting, subscription), so this is a data-model and matching-engine consideration, not just a UI label.</w:t>
      </w:r>
    </w:p>
    <w:p>
      <w:pPr>
        <w:pStyle w:val="Heading2"/>
        <w:spacing w:after="120" w:before="280"/>
      </w:pPr>
      <w:r>
        <w:t xml:space="preserve">18.2 USSD / Feature-Phone Booking (for consideration)</w:t>
      </w:r>
    </w:p>
    <w:p>
      <w:pPr>
        <w:spacing w:after="160" w:line="276"/>
      </w:pPr>
      <w:r>
        <w:t xml:space="preserve">A meaningful share of travelers during holiday countryside trips — and rural users generally — may not have a smartphone or reliable data. A basic USSD short-code booking flow (dial a code, select route by number, confirm) is a common pattern in African mobility and mobile-money apps, and would extend reach beyond the smartphone-only app. Recommend scoping this as a v2+ item rather than MVP, but flagging it now so the backend API is designed to support a non-app channel later without rework.</w:t>
      </w:r>
    </w:p>
    <w:p>
      <w:pPr>
        <w:pStyle w:val="Heading2"/>
        <w:spacing w:after="120" w:before="280"/>
      </w:pPr>
      <w:r>
        <w:t xml:space="preserve">18.3 Diaspora / Remote Booking</w:t>
      </w:r>
    </w:p>
    <w:p>
      <w:pPr>
        <w:spacing w:after="160" w:line="276"/>
      </w:pPr>
      <w:r>
        <w:t xml:space="preserve">Given how common it is for family members abroad or in other cities to pay for a relative's transport in Ethiopia — especially around holiday travel — consider a “book for someone else” feature: the payer completes booking and payment, the trip is assigned to a different passenger's phone number, who receives the trip details and driver contact by SMS/app notification. This directly supports the holiday-travel scenario in Section 15 and could be a genuine differentiator, since none of the reviewed competitors appear to offer this explicitly.</w:t>
      </w:r>
    </w:p>
    <w:p>
      <w:pPr>
        <w:pStyle w:val="Heading2"/>
        <w:spacing w:after="120" w:before="280"/>
      </w:pPr>
      <w:r>
        <w:t xml:space="preserve">18.4 Additional Local Languages</w:t>
      </w:r>
    </w:p>
    <w:p>
      <w:pPr>
        <w:spacing w:after="160" w:line="276"/>
      </w:pPr>
      <w:r>
        <w:t xml:space="preserve">Section 2.5 currently commits to Amharic and English at MVP. Given the countryside-travel use case specifically, Afaan Oromo and Tigrinya are worth planning for as early post-MVP additions, since intercity routes will often involve regions where these are the primary languages.</w:t>
      </w:r>
    </w:p>
    <w:p>
      <w:pPr>
        <w:pStyle w:val="Heading2"/>
        <w:spacing w:after="120" w:before="280"/>
      </w:pPr>
      <w:r>
        <w:t xml:space="preserve">18.5 Ongoing Driver &amp; Vehicle Re-Verification</w:t>
      </w:r>
    </w:p>
    <w:p>
      <w:pPr>
        <w:spacing w:after="160" w:line="276"/>
      </w:pPr>
      <w:r>
        <w:t xml:space="preserve">Section 4.1 covers verification at sign-up. Add a recurring re-verification requirement — e.g. annual re-check of license validity, vehicle insurance renewal, and roadworthiness — so a driver approved at onboarding doesn't stay approved indefinitely on expired documents. This should be an automated Admin reminder/expiry-tracking feature, not a manual process.</w:t>
      </w:r>
    </w:p>
    <w:p>
      <w:pPr>
        <w:pStyle w:val="Heading2"/>
        <w:spacing w:after="120" w:before="280"/>
      </w:pPr>
      <w:r>
        <w:t xml:space="preserve">18.6 Cancellation &amp; No-Show Policy</w:t>
      </w:r>
    </w:p>
    <w:p>
      <w:pPr>
        <w:pStyle w:val="ListParagraph"/>
        <w:numPr>
          <w:ilvl w:val="0"/>
          <w:numId w:val="2"/>
        </w:numPr>
        <w:spacing w:after="60"/>
      </w:pPr>
      <w:r>
        <w:t xml:space="preserve">Define a passenger cancellation window (free vs. fee-charged) for both on-demand and pre-booked route/holiday trips.</w:t>
      </w:r>
    </w:p>
    <w:p>
      <w:pPr>
        <w:pStyle w:val="ListParagraph"/>
        <w:numPr>
          <w:ilvl w:val="0"/>
          <w:numId w:val="2"/>
        </w:numPr>
        <w:spacing w:after="60"/>
      </w:pPr>
      <w:r>
        <w:t xml:space="preserve">Define a driver no-show policy and compensation/credit for the passenger.</w:t>
      </w:r>
    </w:p>
    <w:p>
      <w:pPr>
        <w:pStyle w:val="ListParagraph"/>
        <w:numPr>
          <w:ilvl w:val="0"/>
          <w:numId w:val="2"/>
        </w:numPr>
        <w:spacing w:after="60"/>
      </w:pPr>
      <w:r>
        <w:t xml:space="preserve">For pooled/route trips specifically, define what happens to other booked passengers if the driver cancels after seats are already sold — this needs an explicit rule, since it affects multiple people at once, unlike a single on-demand cancellation.</w:t>
      </w:r>
    </w:p>
    <w:p>
      <w:pPr>
        <w:pStyle w:val="Heading2"/>
        <w:spacing w:after="120" w:before="280"/>
      </w:pPr>
      <w:r>
        <w:t xml:space="preserve">18.7 Complaint Escalation Pathway</w:t>
      </w:r>
    </w:p>
    <w:p>
      <w:pPr>
        <w:spacing w:after="160" w:line="276"/>
      </w:pPr>
      <w:r>
        <w:t xml:space="preserve">Section 4.9 covers in-app incident reporting. Add an explicit escalation pathway for serious incidents (harassment, assault, accident) to local law enforcement, including what data the platform will provide to authorities and how that is communicated to the user — this should be documented policy, not improvised if an incident occurs.</w:t>
      </w:r>
    </w:p>
    <w:p>
      <w:pPr>
        <w:pStyle w:val="Heading2"/>
        <w:spacing w:after="120" w:before="280"/>
      </w:pPr>
      <w:r>
        <w:t xml:space="preserve">18.8 Tax, VAT &amp; Invoicing</w:t>
      </w:r>
    </w:p>
    <w:p>
      <w:pPr>
        <w:spacing w:after="160" w:line="276"/>
      </w:pPr>
      <w:r>
        <w:t xml:space="preserve">Confirm how VAT applies to platform commission and to driver earnings under Ethiopian tax law, and whether the platform needs to issue formal VAT-compliant receipts/invoices for trips and subscriptions — this affects both the Payments module (Section 4.8) and the Admin financial reporting module (Section 4.11), and should be confirmed during the legal review already flagged in Section 13.2.</w:t>
      </w:r>
    </w:p>
    <w:p>
      <w:pPr>
        <w:pStyle w:val="Heading2"/>
        <w:spacing w:after="120" w:before="280"/>
      </w:pPr>
      <w:r>
        <w:t xml:space="preserve">18.9 Driver Onboarding &amp; Training</w:t>
      </w:r>
    </w:p>
    <w:p>
      <w:pPr>
        <w:spacing w:after="160" w:line="276"/>
      </w:pPr>
      <w:r>
        <w:t xml:space="preserve">Beyond document verification, plan a short onboarding process (in-app tutorial or a brief in-person/call-center session) covering how to post a route, how holiday-mode booking works, and how payouts/commission are calculated — driver confusion about how they get paid is a common source of platform mistrust in this market.</w:t>
      </w:r>
    </w:p>
    <w:p>
      <w:pPr>
        <w:pStyle w:val="Heading1"/>
        <w:spacing w:after="160" w:before="360"/>
      </w:pPr>
      <w:r>
        <w:t xml:space="preserve">19. Freight / Cargo (“Chinet”) Transport Module</w:t>
      </w:r>
    </w:p>
    <w:p>
      <w:pPr>
        <w:spacing w:after="160" w:line="276"/>
      </w:pPr>
      <w:r>
        <w:t xml:space="preserve">This is a distinct service line from passenger transport: customers who need to move goods or materials — furniture, construction materials, shop restocking, household moves, and similar — request a cargo vehicle rather than a passenger ride. It uses the same underlying platform (accounts, matching, payments, Admin) but needs its own vehicle categories, request flow, and pricing logic, since cargo jobs are priced by load and vehicle type rather than by passenger seat.</w:t>
      </w:r>
    </w:p>
    <w:p>
      <w:pPr>
        <w:pStyle w:val="Heading2"/>
        <w:spacing w:after="120" w:before="280"/>
      </w:pPr>
      <w:r>
        <w:t xml:space="preserve">19.1 Cargo Vehicle Categories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2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Category</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Typical Vehicle</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Typical Use Case</w:t>
            </w:r>
          </w:p>
        </w:tc>
      </w:tr>
      <w:tr>
        <w:tc>
          <w:tcPr>
            <w:tcW w:type="dxa" w:w="2200"/>
            <w:shd w:fill="F2F6F6" w:val="clear"/>
            <w:tcMar>
              <w:top w:type="dxa" w:w="80"/>
              <w:left w:type="dxa" w:w="100"/>
              <w:bottom w:type="dxa" w:w="80"/>
              <w:right w:type="dxa" w:w="100"/>
            </w:tcMar>
            <w:vAlign w:val="center"/>
          </w:tcPr>
          <w:p>
            <w:pPr>
              <w:jc w:val="left"/>
            </w:pPr>
            <w:r>
              <w:rPr>
                <w:b w:val="false"/>
                <w:bCs w:val="false"/>
                <w:sz w:val="20"/>
                <w:szCs w:val="20"/>
              </w:rPr>
              <w:t xml:space="preserve">Small pickup</w:t>
            </w:r>
          </w:p>
        </w:tc>
        <w:tc>
          <w:tcPr>
            <w:tcW w:type="dxa" w:w="3400"/>
            <w:shd w:fill="F2F6F6" w:val="clear"/>
            <w:tcMar>
              <w:top w:type="dxa" w:w="80"/>
              <w:left w:type="dxa" w:w="100"/>
              <w:bottom w:type="dxa" w:w="80"/>
              <w:right w:type="dxa" w:w="100"/>
            </w:tcMar>
            <w:vAlign w:val="center"/>
          </w:tcPr>
          <w:p>
            <w:pPr>
              <w:jc w:val="left"/>
            </w:pPr>
            <w:r>
              <w:rPr>
                <w:b w:val="false"/>
                <w:bCs w:val="false"/>
                <w:sz w:val="20"/>
                <w:szCs w:val="20"/>
              </w:rPr>
              <w:t xml:space="preserve">Pickup truck / small van</w:t>
            </w:r>
          </w:p>
        </w:tc>
        <w:tc>
          <w:tcPr>
            <w:tcW w:type="dxa" w:w="3200"/>
            <w:shd w:fill="F2F6F6" w:val="clear"/>
            <w:tcMar>
              <w:top w:type="dxa" w:w="80"/>
              <w:left w:type="dxa" w:w="100"/>
              <w:bottom w:type="dxa" w:w="80"/>
              <w:right w:type="dxa" w:w="100"/>
            </w:tcMar>
            <w:vAlign w:val="center"/>
          </w:tcPr>
          <w:p>
            <w:pPr>
              <w:jc w:val="left"/>
            </w:pPr>
            <w:r>
              <w:rPr>
                <w:b w:val="false"/>
                <w:bCs w:val="false"/>
                <w:sz w:val="20"/>
                <w:szCs w:val="20"/>
              </w:rPr>
              <w:t xml:space="preserve">Small household items, a few furniture pieces, small shop restocking</w:t>
            </w:r>
          </w:p>
        </w:tc>
      </w:tr>
      <w:tr>
        <w:tc>
          <w:tcPr>
            <w:tcW w:type="dxa" w:w="2200"/>
            <w:shd w:fill="FFFFFF" w:val="clear"/>
            <w:tcMar>
              <w:top w:type="dxa" w:w="80"/>
              <w:left w:type="dxa" w:w="100"/>
              <w:bottom w:type="dxa" w:w="80"/>
              <w:right w:type="dxa" w:w="100"/>
            </w:tcMar>
            <w:vAlign w:val="center"/>
          </w:tcPr>
          <w:p>
            <w:pPr>
              <w:jc w:val="left"/>
            </w:pPr>
            <w:r>
              <w:rPr>
                <w:b w:val="false"/>
                <w:bCs w:val="false"/>
                <w:sz w:val="20"/>
                <w:szCs w:val="20"/>
              </w:rPr>
              <w:t xml:space="preserve">Medium truck</w:t>
            </w:r>
          </w:p>
        </w:tc>
        <w:tc>
          <w:tcPr>
            <w:tcW w:type="dxa" w:w="3400"/>
            <w:shd w:fill="FFFFFF" w:val="clear"/>
            <w:tcMar>
              <w:top w:type="dxa" w:w="80"/>
              <w:left w:type="dxa" w:w="100"/>
              <w:bottom w:type="dxa" w:w="80"/>
              <w:right w:type="dxa" w:w="100"/>
            </w:tcMar>
            <w:vAlign w:val="center"/>
          </w:tcPr>
          <w:p>
            <w:pPr>
              <w:jc w:val="left"/>
            </w:pPr>
            <w:r>
              <w:rPr>
                <w:b w:val="false"/>
                <w:bCs w:val="false"/>
                <w:sz w:val="20"/>
                <w:szCs w:val="20"/>
              </w:rPr>
              <w:t xml:space="preserve">Isuzu-class truck (e.g. FSR/FVR type, locally sometimes nicknamed “Obama”)</w:t>
            </w:r>
          </w:p>
        </w:tc>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Medium household moves, construction materials, medium business deliveries</w:t>
            </w:r>
          </w:p>
        </w:tc>
      </w:tr>
      <w:tr>
        <w:tc>
          <w:tcPr>
            <w:tcW w:type="dxa" w:w="2200"/>
            <w:shd w:fill="F2F6F6" w:val="clear"/>
            <w:tcMar>
              <w:top w:type="dxa" w:w="80"/>
              <w:left w:type="dxa" w:w="100"/>
              <w:bottom w:type="dxa" w:w="80"/>
              <w:right w:type="dxa" w:w="100"/>
            </w:tcMar>
            <w:vAlign w:val="center"/>
          </w:tcPr>
          <w:p>
            <w:pPr>
              <w:jc w:val="left"/>
            </w:pPr>
            <w:r>
              <w:rPr>
                <w:b w:val="false"/>
                <w:bCs w:val="false"/>
                <w:sz w:val="20"/>
                <w:szCs w:val="20"/>
              </w:rPr>
              <w:t xml:space="preserve">Heavy truck</w:t>
            </w:r>
          </w:p>
        </w:tc>
        <w:tc>
          <w:tcPr>
            <w:tcW w:type="dxa" w:w="3400"/>
            <w:shd w:fill="F2F6F6" w:val="clear"/>
            <w:tcMar>
              <w:top w:type="dxa" w:w="80"/>
              <w:left w:type="dxa" w:w="100"/>
              <w:bottom w:type="dxa" w:w="80"/>
              <w:right w:type="dxa" w:w="100"/>
            </w:tcMar>
            <w:vAlign w:val="center"/>
          </w:tcPr>
          <w:p>
            <w:pPr>
              <w:jc w:val="left"/>
            </w:pPr>
            <w:r>
              <w:rPr>
                <w:b w:val="false"/>
                <w:bCs w:val="false"/>
                <w:sz w:val="20"/>
                <w:szCs w:val="20"/>
              </w:rPr>
              <w:t xml:space="preserve">10-wheeler (e.g. Sinotruk-class)</w:t>
            </w:r>
          </w:p>
        </w:tc>
        <w:tc>
          <w:tcPr>
            <w:tcW w:type="dxa" w:w="3200"/>
            <w:shd w:fill="F2F6F6" w:val="clear"/>
            <w:tcMar>
              <w:top w:type="dxa" w:w="80"/>
              <w:left w:type="dxa" w:w="100"/>
              <w:bottom w:type="dxa" w:w="80"/>
              <w:right w:type="dxa" w:w="100"/>
            </w:tcMar>
            <w:vAlign w:val="center"/>
          </w:tcPr>
          <w:p>
            <w:pPr>
              <w:jc w:val="left"/>
            </w:pPr>
            <w:r>
              <w:rPr>
                <w:b w:val="false"/>
                <w:bCs w:val="false"/>
                <w:sz w:val="20"/>
                <w:szCs w:val="20"/>
              </w:rPr>
              <w:t xml:space="preserve">Large construction loads, bulk goods, wholesale/business freight</w:t>
            </w:r>
          </w:p>
        </w:tc>
      </w:tr>
      <w:tr>
        <w:tc>
          <w:tcPr>
            <w:tcW w:type="dxa" w:w="2200"/>
            <w:shd w:fill="FFFFFF" w:val="clear"/>
            <w:tcMar>
              <w:top w:type="dxa" w:w="80"/>
              <w:left w:type="dxa" w:w="100"/>
              <w:bottom w:type="dxa" w:w="80"/>
              <w:right w:type="dxa" w:w="100"/>
            </w:tcMar>
            <w:vAlign w:val="center"/>
          </w:tcPr>
          <w:p>
            <w:pPr>
              <w:jc w:val="left"/>
            </w:pPr>
            <w:r>
              <w:rPr>
                <w:b w:val="false"/>
                <w:bCs w:val="false"/>
                <w:sz w:val="20"/>
                <w:szCs w:val="20"/>
              </w:rPr>
              <w:t xml:space="preserve">Other / custom (v3+)</w:t>
            </w:r>
          </w:p>
        </w:tc>
        <w:tc>
          <w:tcPr>
            <w:tcW w:type="dxa" w:w="3400"/>
            <w:shd w:fill="FFFFFF" w:val="clear"/>
            <w:tcMar>
              <w:top w:type="dxa" w:w="80"/>
              <w:left w:type="dxa" w:w="100"/>
              <w:bottom w:type="dxa" w:w="80"/>
              <w:right w:type="dxa" w:w="100"/>
            </w:tcMar>
            <w:vAlign w:val="center"/>
          </w:tcPr>
          <w:p>
            <w:pPr>
              <w:jc w:val="left"/>
            </w:pPr>
            <w:r>
              <w:rPr>
                <w:b w:val="false"/>
                <w:bCs w:val="false"/>
                <w:sz w:val="20"/>
                <w:szCs w:val="20"/>
              </w:rPr>
              <w:t xml:space="preserve">Flatbed, refrigerated, or other specialized vehicles</w:t>
            </w:r>
          </w:p>
        </w:tc>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Specialized cargo needs, added once demand is validated</w:t>
            </w:r>
          </w:p>
        </w:tc>
      </w:tr>
    </w:tbl>
    <w:p>
      <w:pPr>
        <w:spacing w:after="160" w:line="276"/>
      </w:pPr>
      <w:r>
        <w:t xml:space="preserve">Exact category names and vehicle specifications (load capacity in tons, bed dimensions) should be confirmed with local truck-owner associations during design, since naming and common vehicle classes vary by region.</w:t>
      </w:r>
    </w:p>
    <w:p>
      <w:pPr>
        <w:pStyle w:val="Heading2"/>
        <w:spacing w:after="120" w:before="280"/>
      </w:pPr>
      <w:r>
        <w:t xml:space="preserve">19.2 Cargo Request Flow</w:t>
      </w:r>
    </w:p>
    <w:p>
      <w:pPr>
        <w:pStyle w:val="ListParagraph"/>
        <w:numPr>
          <w:ilvl w:val="0"/>
          <w:numId w:val="2"/>
        </w:numPr>
        <w:spacing w:after="60"/>
      </w:pPr>
      <w:r>
        <w:t xml:space="preserve">Customer specifies pickup location, drop-off location(s) — supporting multiple drop points for a single job — and a description of the cargo (type, approximate weight/volume, photos optional).</w:t>
      </w:r>
    </w:p>
    <w:p>
      <w:pPr>
        <w:pStyle w:val="ListParagraph"/>
        <w:numPr>
          <w:ilvl w:val="0"/>
          <w:numId w:val="2"/>
        </w:numPr>
        <w:spacing w:after="60"/>
      </w:pPr>
      <w:r>
        <w:t xml:space="preserve">Customer selects a vehicle category, or uses a “recommend a vehicle for me” option based on the cargo description.</w:t>
      </w:r>
    </w:p>
    <w:p>
      <w:pPr>
        <w:pStyle w:val="ListParagraph"/>
        <w:numPr>
          <w:ilvl w:val="0"/>
          <w:numId w:val="2"/>
        </w:numPr>
        <w:spacing w:after="60"/>
      </w:pPr>
      <w:r>
        <w:t xml:space="preserve">Optional: request loading/unloading help (additional fee, subject to driver/helper availability).</w:t>
      </w:r>
    </w:p>
    <w:p>
      <w:pPr>
        <w:pStyle w:val="ListParagraph"/>
        <w:numPr>
          <w:ilvl w:val="0"/>
          <w:numId w:val="2"/>
        </w:numPr>
        <w:spacing w:after="60"/>
      </w:pPr>
      <w:r>
        <w:t xml:space="preserve">Booking types: on-demand (needed now), scheduled (e.g. “truck needed next Tuesday morning”), and recurring/subscription for businesses with regular freight needs (e.g. a shop's weekly restocking run) — this reuses the subscription model in Section 4.6, applied to freight instead of passenger corridors.</w:t>
      </w:r>
    </w:p>
    <w:p>
      <w:pPr>
        <w:pStyle w:val="Heading2"/>
        <w:spacing w:after="120" w:before="280"/>
      </w:pPr>
      <w:r>
        <w:t xml:space="preserve">19.3 Estimated Pricing</w:t>
      </w:r>
    </w:p>
    <w:p>
      <w:pPr>
        <w:spacing w:after="160" w:line="276"/>
      </w:pPr>
      <w:r>
        <w:t xml:space="preserve">Unlike a passenger fare, exact cargo pricing often cannot be fixed at request time because true weight/volume is only confirmed at pickup. Recommended approach:</w:t>
      </w:r>
    </w:p>
    <w:p>
      <w:pPr>
        <w:pStyle w:val="ListParagraph"/>
        <w:numPr>
          <w:ilvl w:val="0"/>
          <w:numId w:val="2"/>
        </w:numPr>
        <w:spacing w:after="60"/>
      </w:pPr>
      <w:r>
        <w:t xml:space="preserve">Show an estimated price range at booking time, based on distance, vehicle category, and the customer's declared load size/weight band.</w:t>
      </w:r>
    </w:p>
    <w:p>
      <w:pPr>
        <w:pStyle w:val="ListParagraph"/>
        <w:numPr>
          <w:ilvl w:val="0"/>
          <w:numId w:val="2"/>
        </w:numPr>
        <w:spacing w:after="60"/>
      </w:pPr>
      <w:r>
        <w:t xml:space="preserve">Confirm final price at pickup once the driver has assessed the actual load, with any adjustment capped (e.g. no more than a defined percentage above the original estimate) to prevent bill-shock or disputes.</w:t>
      </w:r>
    </w:p>
    <w:p>
      <w:pPr>
        <w:pStyle w:val="ListParagraph"/>
        <w:numPr>
          <w:ilvl w:val="0"/>
          <w:numId w:val="2"/>
        </w:numPr>
        <w:spacing w:after="60"/>
      </w:pPr>
      <w:r>
        <w:t xml:space="preserve">Both estimate and final confirmed price should be clearly itemized and shown to the customer before the trip starts, consistent with the fare-transparency principle already applied to passenger pricing in Section 14.</w:t>
      </w:r>
    </w:p>
    <w:p>
      <w:pPr>
        <w:pStyle w:val="Heading2"/>
        <w:spacing w:after="120" w:before="280"/>
      </w:pPr>
      <w:r>
        <w:t xml:space="preserve">19.4 Driver/Vehicle Requirements for Cargo</w:t>
      </w:r>
    </w:p>
    <w:p>
      <w:pPr>
        <w:pStyle w:val="ListParagraph"/>
        <w:numPr>
          <w:ilvl w:val="0"/>
          <w:numId w:val="2"/>
        </w:numPr>
        <w:spacing w:after="60"/>
      </w:pPr>
      <w:r>
        <w:t xml:space="preserve">Cargo drivers need the appropriate commercial/heavy-vehicle license class for their vehicle category, verified during onboarding (Section 4.1) and re-verified periodically (Section 18.5).</w:t>
      </w:r>
    </w:p>
    <w:p>
      <w:pPr>
        <w:pStyle w:val="ListParagraph"/>
        <w:numPr>
          <w:ilvl w:val="0"/>
          <w:numId w:val="2"/>
        </w:numPr>
        <w:spacing w:after="60"/>
      </w:pPr>
      <w:r>
        <w:t xml:space="preserve">Vehicle profile should capture load capacity, bed/cargo-area dimensions, and whether the vehicle is open or covered.</w:t>
      </w:r>
    </w:p>
    <w:p>
      <w:pPr>
        <w:pStyle w:val="ListParagraph"/>
        <w:numPr>
          <w:ilvl w:val="0"/>
          <w:numId w:val="2"/>
        </w:numPr>
        <w:spacing w:after="60"/>
      </w:pPr>
      <w:r>
        <w:t xml:space="preserve">Cargo-in-transit liability/insurance needs to be explicitly addressed — who is responsible if goods are damaged in transit — and should be confirmed as part of the insurance and legal review already flagged in Sections 13.2 and 13.3.</w:t>
      </w:r>
    </w:p>
    <w:p>
      <w:pPr>
        <w:pStyle w:val="Heading2"/>
        <w:spacing w:after="120" w:before="280"/>
      </w:pPr>
      <w:r>
        <w:t xml:space="preserve">19.5 Admin Considerations</w:t>
      </w:r>
    </w:p>
    <w:p>
      <w:pPr>
        <w:pStyle w:val="ListParagraph"/>
        <w:numPr>
          <w:ilvl w:val="0"/>
          <w:numId w:val="2"/>
        </w:numPr>
        <w:spacing w:after="60"/>
      </w:pPr>
      <w:r>
        <w:t xml:space="preserve">Separate pricing configuration per cargo vehicle category, distance, and load band — kept independent from passenger-tier pricing in Section 14.</w:t>
      </w:r>
    </w:p>
    <w:p>
      <w:pPr>
        <w:pStyle w:val="ListParagraph"/>
        <w:numPr>
          <w:ilvl w:val="0"/>
          <w:numId w:val="2"/>
        </w:numPr>
        <w:spacing w:after="60"/>
      </w:pPr>
      <w:r>
        <w:t xml:space="preserve">Dispute handling specific to cargo: damaged or lost goods, incorrect load description, access/loading delays at pickup.</w:t>
      </w:r>
    </w:p>
    <w:p>
      <w:pPr>
        <w:pStyle w:val="ListParagraph"/>
        <w:numPr>
          <w:ilvl w:val="0"/>
          <w:numId w:val="2"/>
        </w:numPr>
        <w:spacing w:after="60"/>
      </w:pPr>
      <w:r>
        <w:t xml:space="preserve">Reporting should track freight jobs separately from passenger trips, since this is effectively a second marketplace running on the same platform.</w:t>
      </w:r>
    </w:p>
    <w:p>
      <w:pPr>
        <w:pStyle w:val="Heading2"/>
        <w:spacing w:after="120" w:before="280"/>
      </w:pPr>
      <w:r>
        <w:t xml:space="preserve">19.6 Phasing Recommendation</w:t>
      </w:r>
    </w:p>
    <w:p>
      <w:pPr>
        <w:spacing w:after="160" w:line="276"/>
      </w:pPr>
      <w:r>
        <w:t xml:space="preserve">Freight/cargo is a meaningfully different marketplace from passenger transport — different vehicle supply, different pricing logic, and different liability considerations — so it is recommended as a later phase (v2 or v3) once the passenger-side platform (on-demand, route-pooling, subscriptions) is stable, rather than launching alongside the MVP. This keeps the initial build focused, while this SRS captures the requirements now so the data model and Admin console can be designed with this expansion in mind from the start (e.g. keeping “service type” — passenger vs. cargo — as a first-class distinction in the data model, rather than retrofitting it later).</w:t>
      </w:r>
    </w:p>
    <w:p>
      <w:pPr>
        <w:pStyle w:val="Heading1"/>
        <w:spacing w:after="160" w:before="360"/>
      </w:pPr>
      <w:r>
        <w:t xml:space="preserve">20. Feedback, Rewards, Announcements &amp; Coupons</w:t>
      </w:r>
    </w:p>
    <w:p>
      <w:pPr>
        <w:spacing w:after="160" w:line="276"/>
      </w:pPr>
      <w:r>
        <w:t xml:space="preserve">This section covers how the platform captures whether users are happy or not, and how it keeps both passengers and drivers engaged and rewarded for using the platform — beyond the core booking and payment flows already defined.</w:t>
      </w:r>
    </w:p>
    <w:p>
      <w:pPr>
        <w:pStyle w:val="Heading2"/>
        <w:spacing w:after="120" w:before="280"/>
      </w:pPr>
      <w:r>
        <w:t xml:space="preserve">20.1 Post-Trip Feedback</w:t>
      </w:r>
    </w:p>
    <w:p>
      <w:pPr>
        <w:pStyle w:val="ListParagraph"/>
        <w:numPr>
          <w:ilvl w:val="0"/>
          <w:numId w:val="2"/>
        </w:numPr>
        <w:spacing w:after="60"/>
      </w:pPr>
      <w:r>
        <w:t xml:space="preserve">Immediately after every trip, both passenger and driver are prompted for a simple satisfaction check: a happy / neutral / unhappy (or thumbs-up / thumbs-down) response, in addition to the star rating already defined in Section 4.9.</w:t>
      </w:r>
    </w:p>
    <w:p>
      <w:pPr>
        <w:pStyle w:val="ListParagraph"/>
        <w:numPr>
          <w:ilvl w:val="0"/>
          <w:numId w:val="2"/>
        </w:numPr>
        <w:spacing w:after="60"/>
      </w:pPr>
      <w:r>
        <w:t xml:space="preserve">If the response is negative, the app immediately asks a short follow-up: a pick-list of likely reasons (e.g. late pickup, unsafe driving, overcharged, rude behavior, vehicle condition, cancelled unfairly) plus an optional free-text comment — this gets negative feedback routed to Admin with a reason, not just a low star rating with no context.</w:t>
      </w:r>
    </w:p>
    <w:p>
      <w:pPr>
        <w:pStyle w:val="ListParagraph"/>
        <w:numPr>
          <w:ilvl w:val="0"/>
          <w:numId w:val="2"/>
        </w:numPr>
        <w:spacing w:after="60"/>
      </w:pPr>
      <w:r>
        <w:t xml:space="preserve">If the response is positive, the app can optionally invite the user to leave a compliment tag for the driver (e.g. “friendly,” “safe driver,” “clean car”) — this doubles as input for the driver-recognition/rewards mechanism in Section 20.3.</w:t>
      </w:r>
    </w:p>
    <w:p>
      <w:pPr>
        <w:pStyle w:val="ListParagraph"/>
        <w:numPr>
          <w:ilvl w:val="0"/>
          <w:numId w:val="2"/>
        </w:numPr>
        <w:spacing w:after="60"/>
      </w:pPr>
      <w:r>
        <w:t xml:space="preserve">A general in-app feedback/suggestion channel (not tied to a specific trip) should also be available at any time from the app menu, for feature requests, bug reports, or general complaints.</w:t>
      </w:r>
    </w:p>
    <w:p>
      <w:pPr>
        <w:pStyle w:val="ListParagraph"/>
        <w:numPr>
          <w:ilvl w:val="0"/>
          <w:numId w:val="2"/>
        </w:numPr>
        <w:spacing w:after="60"/>
      </w:pPr>
      <w:r>
        <w:t xml:space="preserve">Optional periodic satisfaction survey (e.g. a simple 1–10 “how likely are you to recommend this app” style check) sent to active users occasionally, to track sentiment over time at the platform level rather than per-trip.</w:t>
      </w:r>
    </w:p>
    <w:p>
      <w:pPr>
        <w:pStyle w:val="Heading2"/>
        <w:spacing w:after="120" w:before="280"/>
      </w:pPr>
      <w:r>
        <w:t xml:space="preserve">20.2 Passenger Rewards &amp; Loyalty Program</w:t>
      </w:r>
    </w:p>
    <w:p>
      <w:pPr>
        <w:pStyle w:val="ListParagraph"/>
        <w:numPr>
          <w:ilvl w:val="0"/>
          <w:numId w:val="2"/>
        </w:numPr>
        <w:spacing w:after="60"/>
      </w:pPr>
      <w:r>
        <w:t xml:space="preserve">Points-based system: passengers earn points per completed trip (and optionally bonus points for leaving feedback or referring a friend), redeemable for ride discounts or free rides — conceptually similar to the “Feres Miles” style program already used by a competitor, but should be designed as your own program with its own name and rules.</w:t>
      </w:r>
    </w:p>
    <w:p>
      <w:pPr>
        <w:pStyle w:val="ListParagraph"/>
        <w:numPr>
          <w:ilvl w:val="0"/>
          <w:numId w:val="2"/>
        </w:numPr>
        <w:spacing w:after="60"/>
      </w:pPr>
      <w:r>
        <w:t xml:space="preserve">Tiered status (e.g. Bronze/Silver/Gold based on trips per month) unlocking small perks — priority matching during high-demand periods, small fare discounts, or early access to holiday-season bookings (tying back to Section 15).</w:t>
      </w:r>
    </w:p>
    <w:p>
      <w:pPr>
        <w:pStyle w:val="ListParagraph"/>
        <w:numPr>
          <w:ilvl w:val="0"/>
          <w:numId w:val="2"/>
        </w:numPr>
        <w:spacing w:after="60"/>
      </w:pPr>
      <w:r>
        <w:t xml:space="preserve">Referral program: a passenger who invites a new user gets a reward (points, a discount coupon, or a free ride) once the referred user completes their first trip.</w:t>
      </w:r>
    </w:p>
    <w:p>
      <w:pPr>
        <w:pStyle w:val="Heading2"/>
        <w:spacing w:after="120" w:before="280"/>
      </w:pPr>
      <w:r>
        <w:t xml:space="preserve">20.3 Driver Rewards &amp; Incentives</w:t>
      </w:r>
    </w:p>
    <w:p>
      <w:pPr>
        <w:pStyle w:val="ListParagraph"/>
        <w:numPr>
          <w:ilvl w:val="0"/>
          <w:numId w:val="2"/>
        </w:numPr>
        <w:spacing w:after="60"/>
      </w:pPr>
      <w:r>
        <w:t xml:space="preserve">Performance-based incentives: bonuses for maintaining a high rating, completing a target number of trips in a period, or accepting a high share of requests — configurable by Admin, not hard-coded, since incentive structures typically need to be tuned over time.</w:t>
      </w:r>
    </w:p>
    <w:p>
      <w:pPr>
        <w:pStyle w:val="ListParagraph"/>
        <w:numPr>
          <w:ilvl w:val="0"/>
          <w:numId w:val="2"/>
        </w:numPr>
        <w:spacing w:after="60"/>
      </w:pPr>
      <w:r>
        <w:t xml:space="preserve">Compliment/recognition tracking: positive feedback tags from Section 20.1 feed into a visible driver recognition status (e.g. “Top Rated Driver” badge) that can be shown to passengers at booking time and used for bonus eligibility.</w:t>
      </w:r>
    </w:p>
    <w:p>
      <w:pPr>
        <w:pStyle w:val="ListParagraph"/>
        <w:numPr>
          <w:ilvl w:val="0"/>
          <w:numId w:val="2"/>
        </w:numPr>
        <w:spacing w:after="60"/>
      </w:pPr>
      <w:r>
        <w:t xml:space="preserve">Driver referral program: a driver who refers another verified, active driver receives a reward — useful specifically for the driver cold-start problem flagged in Section 9 (Risks).</w:t>
      </w:r>
    </w:p>
    <w:p>
      <w:pPr>
        <w:pStyle w:val="ListParagraph"/>
        <w:numPr>
          <w:ilvl w:val="0"/>
          <w:numId w:val="2"/>
        </w:numPr>
        <w:spacing w:after="60"/>
      </w:pPr>
      <w:r>
        <w:t xml:space="preserve">Holiday-season incentives tied to the driver-recruitment campaigns in Section 15.1, to encourage drivers to commit to high-demand corridors in advance.</w:t>
      </w:r>
    </w:p>
    <w:p>
      <w:pPr>
        <w:pStyle w:val="Heading2"/>
        <w:spacing w:after="120" w:before="280"/>
      </w:pPr>
      <w:r>
        <w:t xml:space="preserve">20.4 Coupons / Promo Codes</w:t>
      </w:r>
    </w:p>
    <w:p>
      <w:pPr>
        <w:pStyle w:val="ListParagraph"/>
        <w:numPr>
          <w:ilvl w:val="0"/>
          <w:numId w:val="2"/>
        </w:numPr>
        <w:spacing w:after="60"/>
      </w:pPr>
      <w:r>
        <w:t xml:space="preserve">Admin-generated promo/coupon codes redeemable at booking for a percentage or fixed-amount discount, with configurable rules: expiry date, usage limit per user, minimum fare, applicable vehicle tier or service type (passenger vs. freight), and applicable corridor if needed for a targeted campaign.</w:t>
      </w:r>
    </w:p>
    <w:p>
      <w:pPr>
        <w:pStyle w:val="ListParagraph"/>
        <w:numPr>
          <w:ilvl w:val="0"/>
          <w:numId w:val="2"/>
        </w:numPr>
        <w:spacing w:after="60"/>
      </w:pPr>
      <w:r>
        <w:t xml:space="preserve">Common use cases to support from launch: first-ride discount for new users, referral rewards (Section 20.2), and seasonal/holiday campaign codes tied to the holiday calendar in Section 15.1.</w:t>
      </w:r>
    </w:p>
    <w:p>
      <w:pPr>
        <w:pStyle w:val="ListParagraph"/>
        <w:numPr>
          <w:ilvl w:val="0"/>
          <w:numId w:val="2"/>
        </w:numPr>
        <w:spacing w:after="60"/>
      </w:pPr>
      <w:r>
        <w:t xml:space="preserve">Coupon usage and cost should be tracked in Admin financial reporting (Section 4.11), since discounts directly affect net revenue and need to be visible alongside commission and payout figures.</w:t>
      </w:r>
    </w:p>
    <w:p>
      <w:pPr>
        <w:pStyle w:val="Heading2"/>
        <w:spacing w:after="120" w:before="280"/>
      </w:pPr>
      <w:r>
        <w:t xml:space="preserve">20.5 Platform Announcements &amp; Campaign Broadcasts</w:t>
      </w:r>
    </w:p>
    <w:p>
      <w:pPr>
        <w:pStyle w:val="ListParagraph"/>
        <w:numPr>
          <w:ilvl w:val="0"/>
          <w:numId w:val="2"/>
        </w:numPr>
        <w:spacing w:after="60"/>
      </w:pPr>
      <w:r>
        <w:t xml:space="preserve">Admin should be able to push in-app announcements to all users, or to a filtered segment (e.g. only drivers, only passengers in a specific city zone, only subscription-pass holders), for things like new feature launches, holiday-season notices, service disruptions, or promotional campaigns.</w:t>
      </w:r>
    </w:p>
    <w:p>
      <w:pPr>
        <w:pStyle w:val="ListParagraph"/>
        <w:numPr>
          <w:ilvl w:val="0"/>
          <w:numId w:val="2"/>
        </w:numPr>
        <w:spacing w:after="60"/>
      </w:pPr>
      <w:r>
        <w:t xml:space="preserve">Announcements should support the same push-notification-with-SMS-fallback pattern already defined in Section 4.10, since important announcements (e.g. a service outage or a safety notice) need to reach users even on poor connectivity.</w:t>
      </w:r>
    </w:p>
    <w:p>
      <w:pPr>
        <w:pStyle w:val="ListParagraph"/>
        <w:numPr>
          <w:ilvl w:val="0"/>
          <w:numId w:val="2"/>
        </w:numPr>
        <w:spacing w:after="60"/>
      </w:pPr>
      <w:r>
        <w:t xml:space="preserve">An in-app “announcements/news” feed or inbox keeps a history of past announcements and offers, so time-sensitive campaigns aren't lost if a push notification is missed.</w:t>
      </w:r>
    </w:p>
    <w:p>
      <w:pPr>
        <w:pStyle w:val="Heading2"/>
        <w:spacing w:after="120" w:before="280"/>
      </w:pPr>
      <w:r>
        <w:t xml:space="preserve">20.6 Admin Tools for Feedback &amp; Campaign Management</w:t>
      </w:r>
    </w:p>
    <w:p>
      <w:pPr>
        <w:pStyle w:val="ListParagraph"/>
        <w:numPr>
          <w:ilvl w:val="0"/>
          <w:numId w:val="2"/>
        </w:numPr>
        <w:spacing w:after="60"/>
      </w:pPr>
      <w:r>
        <w:t xml:space="preserve">A feedback dashboard aggregating happy/unhappy trends over time, by driver, by corridor, and platform-wide — so recurring problems (e.g. a specific corridor consistently generating late-pickup complaints) are visible, not buried in individual trip records.</w:t>
      </w:r>
    </w:p>
    <w:p>
      <w:pPr>
        <w:pStyle w:val="ListParagraph"/>
        <w:numPr>
          <w:ilvl w:val="0"/>
          <w:numId w:val="2"/>
        </w:numPr>
        <w:spacing w:after="60"/>
      </w:pPr>
      <w:r>
        <w:t xml:space="preserve">A campaign management tool for creating and scheduling coupons, announcements, and reward-program rules without requiring a new app release for each promotion.</w:t>
      </w:r>
    </w:p>
    <w:p>
      <w:pPr>
        <w:pStyle w:val="ListParagraph"/>
        <w:numPr>
          <w:ilvl w:val="0"/>
          <w:numId w:val="2"/>
        </w:numPr>
        <w:spacing w:after="60"/>
      </w:pPr>
      <w:r>
        <w:t xml:space="preserve">This extends the Admin Console module already defined in Section 4.11, rather than being a separate system.</w:t>
      </w:r>
    </w:p>
    <w:p>
      <w:pPr>
        <w:pStyle w:val="Heading1"/>
        <w:spacing w:after="160" w:before="360"/>
      </w:pPr>
      <w:r>
        <w:t xml:space="preserve">Appendix A: Glossary</w:t>
      </w:r>
    </w:p>
    <w:p>
      <w:pPr>
        <w:spacing w:after="160" w:line="276"/>
      </w:pPr>
      <w:r>
        <w:t xml:space="preserve">See Section 1.5 for core terminology. Additional terms will be appended as the design progresses.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SRS – Route-Based Transport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56"/>
      <w:szCs w:val="56"/>
    </w:rPr>
  </w:style>
  <w:style w:type="paragraph" w:styleId="Heading1">
    <w:name w:val="Heading 1"/>
    <w:basedOn w:val="Normal"/>
    <w:next w:val="Normal"/>
    <w:qFormat/>
    <w:pPr>
      <w:pBdr>
        <w:bottom w:val="single" w:color="0E7C7B" w:sz="8" w:space="4"/>
      </w:pBd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0E7C7B"/>
      <w:sz w:val="25"/>
      <w:szCs w:val="25"/>
    </w:rPr>
  </w:style>
  <w:style w:type="paragraph" w:styleId="Heading3">
    <w:name w:val="Heading 3"/>
    <w:basedOn w:val="Normal"/>
    <w:next w:val="Normal"/>
    <w:qFormat/>
    <w:pPr>
      <w:outlineLvl w:val="2"/>
    </w:pPr>
    <w:rPr>
      <w:rFonts w:ascii="Calibri" w:cs="Calibri" w:eastAsia="Calibri" w:hAnsi="Calibri"/>
      <w:b/>
      <w:bCs/>
      <w:i w:val="false"/>
      <w:iCs w:val="false"/>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2026-08-15T18:28:35.160Z</dcterms:created>
  <dcterms:modified xsi:type="dcterms:W3CDTF">2026-08-15T18:28:35.160Z</dcterms:modified>
</cp:coreProperties>
</file>

<file path=docProps/custom.xml><?xml version="1.0" encoding="utf-8"?>
<Properties xmlns="http://schemas.openxmlformats.org/officeDocument/2006/custom-properties" xmlns:vt="http://schemas.openxmlformats.org/officeDocument/2006/docPropsVTypes"/>
</file>