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D4" w:rsidRDefault="00E204C7">
      <w:pPr>
        <w:jc w:val="center"/>
        <w:rPr>
          <w:u w:val="single"/>
        </w:rPr>
      </w:pPr>
      <w:r>
        <w:rPr>
          <w:u w:val="single"/>
        </w:rPr>
        <w:t>Tayla:</w:t>
      </w:r>
    </w:p>
    <w:p w:rsidR="000A38D4" w:rsidRDefault="000A38D4">
      <w:pPr>
        <w:jc w:val="center"/>
        <w:rPr>
          <w:u w:val="single"/>
        </w:rPr>
      </w:pPr>
      <w:bookmarkStart w:id="0" w:name="_GoBack"/>
      <w:bookmarkEnd w:id="0"/>
    </w:p>
    <w:p w:rsidR="000A38D4" w:rsidRDefault="00E204C7">
      <w:pPr>
        <w:rPr>
          <w:u w:val="single"/>
        </w:rPr>
      </w:pPr>
      <w:r>
        <w:rPr>
          <w:u w:val="single"/>
        </w:rPr>
        <w:t>Reading list:</w:t>
      </w:r>
    </w:p>
    <w:p w:rsidR="000A38D4" w:rsidRDefault="00E204C7">
      <w:pPr>
        <w:numPr>
          <w:ilvl w:val="0"/>
          <w:numId w:val="1"/>
        </w:numPr>
        <w:contextualSpacing/>
      </w:pPr>
      <w:proofErr w:type="spellStart"/>
      <w:r>
        <w:t>Maillard</w:t>
      </w:r>
      <w:proofErr w:type="spellEnd"/>
      <w:r>
        <w:t xml:space="preserve"> S., </w:t>
      </w:r>
      <w:proofErr w:type="spellStart"/>
      <w:r>
        <w:t>Roncalli</w:t>
      </w:r>
      <w:proofErr w:type="spellEnd"/>
      <w:r>
        <w:t xml:space="preserve"> T. and </w:t>
      </w:r>
      <w:proofErr w:type="spellStart"/>
      <w:r>
        <w:t>Teiletche</w:t>
      </w:r>
      <w:proofErr w:type="spellEnd"/>
      <w:r>
        <w:t xml:space="preserve"> J. (2010), The Properties of Equally Weighted Risk Contributions Portfolios, Journal of Portfolio Management, 36(4), pp.60-70. </w:t>
      </w:r>
    </w:p>
    <w:p w:rsidR="00A474DA" w:rsidRDefault="00E204C7" w:rsidP="00A474DA">
      <w:pPr>
        <w:numPr>
          <w:ilvl w:val="0"/>
          <w:numId w:val="1"/>
        </w:numPr>
        <w:contextualSpacing/>
      </w:pPr>
      <w:proofErr w:type="spellStart"/>
      <w:r>
        <w:t>Choueifaty</w:t>
      </w:r>
      <w:proofErr w:type="spellEnd"/>
      <w:r>
        <w:t xml:space="preserve"> Y. and </w:t>
      </w:r>
      <w:proofErr w:type="spellStart"/>
      <w:r>
        <w:t>Coignard</w:t>
      </w:r>
      <w:proofErr w:type="spellEnd"/>
      <w:r>
        <w:t xml:space="preserve"> Y. (2008), Toward Maximum Diversification, Journal of Portfolio Management, 35(1), pp. 40-51. </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Artzner</w:t>
      </w:r>
      <w:proofErr w:type="spellEnd"/>
      <w:r w:rsidRPr="00A474DA">
        <w:rPr>
          <w:rFonts w:ascii="Palatino-Roman" w:hAnsi="Palatino-Roman" w:cs="Palatino-Roman"/>
          <w:sz w:val="20"/>
          <w:szCs w:val="20"/>
        </w:rPr>
        <w:t xml:space="preserve">, P., F. </w:t>
      </w:r>
      <w:proofErr w:type="spellStart"/>
      <w:r w:rsidRPr="00A474DA">
        <w:rPr>
          <w:rFonts w:ascii="Palatino-Roman" w:hAnsi="Palatino-Roman" w:cs="Palatino-Roman"/>
          <w:sz w:val="20"/>
          <w:szCs w:val="20"/>
        </w:rPr>
        <w:t>Delbaen</w:t>
      </w:r>
      <w:proofErr w:type="spellEnd"/>
      <w:r w:rsidRPr="00A474DA">
        <w:rPr>
          <w:rFonts w:ascii="Palatino-Roman" w:hAnsi="Palatino-Roman" w:cs="Palatino-Roman"/>
          <w:sz w:val="20"/>
          <w:szCs w:val="20"/>
        </w:rPr>
        <w:t>, J.-M. Eber, and D. Heath, 1</w:t>
      </w:r>
      <w:r w:rsidRPr="00A474DA">
        <w:rPr>
          <w:rFonts w:ascii="Palatino-Roman" w:hAnsi="Palatino-Roman" w:cs="Palatino-Roman"/>
          <w:sz w:val="20"/>
          <w:szCs w:val="20"/>
        </w:rPr>
        <w:t>999, Coherent Measures of Risk,</w:t>
      </w:r>
      <w:r>
        <w:rPr>
          <w:rFonts w:ascii="Palatino-Roman" w:hAnsi="Palatino-Roman" w:cs="Palatino-Roman"/>
          <w:sz w:val="20"/>
          <w:szCs w:val="20"/>
        </w:rPr>
        <w:t xml:space="preserve"> </w:t>
      </w:r>
      <w:r w:rsidRPr="00A474DA">
        <w:rPr>
          <w:rFonts w:ascii="Palatino-Italic" w:hAnsi="Palatino-Italic" w:cs="Palatino-Italic"/>
          <w:i/>
          <w:iCs/>
          <w:sz w:val="20"/>
          <w:szCs w:val="20"/>
        </w:rPr>
        <w:t>Mathematical Finance</w:t>
      </w:r>
      <w:r w:rsidRPr="00A474DA">
        <w:rPr>
          <w:rFonts w:ascii="Palatino-Roman" w:hAnsi="Palatino-Roman" w:cs="Palatino-Roman"/>
          <w:sz w:val="20"/>
          <w:szCs w:val="20"/>
        </w:rPr>
        <w:t>, 9: 203-228.</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Acerbi</w:t>
      </w:r>
      <w:proofErr w:type="spellEnd"/>
      <w:r w:rsidRPr="00A474DA">
        <w:rPr>
          <w:rFonts w:ascii="Palatino-Roman" w:hAnsi="Palatino-Roman" w:cs="Palatino-Roman"/>
          <w:sz w:val="20"/>
          <w:szCs w:val="20"/>
        </w:rPr>
        <w:t xml:space="preserve">, C., 2004, Coherent Representations of Subjective Risk Aversion, in: G. </w:t>
      </w:r>
      <w:proofErr w:type="spellStart"/>
      <w:r w:rsidRPr="00A474DA">
        <w:rPr>
          <w:rFonts w:ascii="Palatino-Roman" w:hAnsi="Palatino-Roman" w:cs="Palatino-Roman"/>
          <w:sz w:val="20"/>
          <w:szCs w:val="20"/>
        </w:rPr>
        <w:t>Szeg</w:t>
      </w:r>
      <w:proofErr w:type="spellEnd"/>
      <w:r w:rsidRPr="00A474DA">
        <w:rPr>
          <w:rFonts w:ascii="Palatino-Roman" w:hAnsi="Palatino-Roman" w:cs="Palatino-Roman"/>
          <w:sz w:val="20"/>
          <w:szCs w:val="20"/>
        </w:rPr>
        <w:t xml:space="preserve">¨ </w:t>
      </w:r>
      <w:proofErr w:type="spellStart"/>
      <w:r w:rsidRPr="00A474DA">
        <w:rPr>
          <w:rFonts w:ascii="Palatino-Roman" w:hAnsi="Palatino-Roman" w:cs="Palatino-Roman"/>
          <w:sz w:val="20"/>
          <w:szCs w:val="20"/>
        </w:rPr>
        <w:t>o</w:t>
      </w:r>
      <w:proofErr w:type="gramStart"/>
      <w:r w:rsidRPr="00A474DA">
        <w:rPr>
          <w:rFonts w:ascii="Palatino-Roman" w:hAnsi="Palatino-Roman" w:cs="Palatino-Roman"/>
          <w:sz w:val="20"/>
          <w:szCs w:val="20"/>
        </w:rPr>
        <w:t>,ed</w:t>
      </w:r>
      <w:proofErr w:type="spellEnd"/>
      <w:proofErr w:type="gramEnd"/>
      <w:r w:rsidRPr="00A474DA">
        <w:rPr>
          <w:rFonts w:ascii="Palatino-Roman" w:hAnsi="Palatino-Roman" w:cs="Palatino-Roman"/>
          <w:sz w:val="20"/>
          <w:szCs w:val="20"/>
        </w:rPr>
        <w:t xml:space="preserve">., </w:t>
      </w:r>
      <w:r w:rsidRPr="00A474DA">
        <w:rPr>
          <w:rFonts w:ascii="Palatino-Italic" w:hAnsi="Palatino-Italic" w:cs="Palatino-Italic"/>
          <w:i/>
          <w:iCs/>
          <w:sz w:val="20"/>
          <w:szCs w:val="20"/>
        </w:rPr>
        <w:t xml:space="preserve">Risk Measures for the 21st Century </w:t>
      </w:r>
      <w:r w:rsidRPr="00A474DA">
        <w:rPr>
          <w:rFonts w:ascii="Palatino-Roman" w:hAnsi="Palatino-Roman" w:cs="Palatino-Roman"/>
          <w:sz w:val="20"/>
          <w:szCs w:val="20"/>
        </w:rPr>
        <w:t xml:space="preserve">(New </w:t>
      </w:r>
      <w:proofErr w:type="spellStart"/>
      <w:r w:rsidRPr="00A474DA">
        <w:rPr>
          <w:rFonts w:ascii="Palatino-Roman" w:hAnsi="Palatino-Roman" w:cs="Palatino-Roman"/>
          <w:sz w:val="20"/>
          <w:szCs w:val="20"/>
        </w:rPr>
        <w:t>York:Wiley</w:t>
      </w:r>
      <w:proofErr w:type="spellEnd"/>
      <w:r w:rsidRPr="00A474DA">
        <w:rPr>
          <w:rFonts w:ascii="Palatino-Roman" w:hAnsi="Palatino-Roman" w:cs="Palatino-Roman"/>
          <w:sz w:val="20"/>
          <w:szCs w:val="20"/>
        </w:rPr>
        <w:t>), 147-207.</w:t>
      </w:r>
    </w:p>
    <w:p w:rsidR="00A474DA" w:rsidRDefault="00A474DA" w:rsidP="00A474DA">
      <w:pPr>
        <w:numPr>
          <w:ilvl w:val="0"/>
          <w:numId w:val="1"/>
        </w:numPr>
        <w:contextualSpacing/>
      </w:pPr>
      <w:proofErr w:type="spellStart"/>
      <w:r w:rsidRPr="00A474DA">
        <w:rPr>
          <w:rFonts w:ascii="Palatino-Roman" w:hAnsi="Palatino-Roman" w:cs="Palatino-Roman"/>
          <w:sz w:val="20"/>
          <w:szCs w:val="20"/>
        </w:rPr>
        <w:t>Kusuoka</w:t>
      </w:r>
      <w:proofErr w:type="spellEnd"/>
      <w:r w:rsidRPr="00A474DA">
        <w:rPr>
          <w:rFonts w:ascii="Palatino-Roman" w:hAnsi="Palatino-Roman" w:cs="Palatino-Roman"/>
          <w:sz w:val="20"/>
          <w:szCs w:val="20"/>
        </w:rPr>
        <w:t xml:space="preserve">, S., 2001, On Law Invariant Coherent Risk Measures, </w:t>
      </w:r>
      <w:r w:rsidRPr="00A474DA">
        <w:rPr>
          <w:rFonts w:ascii="Palatino-Italic" w:hAnsi="Palatino-Italic" w:cs="Palatino-Italic"/>
          <w:i/>
          <w:iCs/>
          <w:sz w:val="20"/>
          <w:szCs w:val="20"/>
        </w:rPr>
        <w:t>Advances in Mathematical</w:t>
      </w:r>
      <w:r>
        <w:t xml:space="preserve"> </w:t>
      </w:r>
      <w:r w:rsidRPr="00A474DA">
        <w:rPr>
          <w:rFonts w:ascii="Palatino-Italic" w:hAnsi="Palatino-Italic" w:cs="Palatino-Italic"/>
          <w:i/>
          <w:iCs/>
          <w:sz w:val="20"/>
          <w:szCs w:val="20"/>
        </w:rPr>
        <w:t>Economics</w:t>
      </w:r>
      <w:r w:rsidRPr="00A474DA">
        <w:rPr>
          <w:rFonts w:ascii="Palatino-Roman" w:hAnsi="Palatino-Roman" w:cs="Palatino-Roman"/>
          <w:sz w:val="20"/>
          <w:szCs w:val="20"/>
        </w:rPr>
        <w:t>, 3: 83-95.</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Bawa</w:t>
      </w:r>
      <w:proofErr w:type="spellEnd"/>
      <w:r w:rsidRPr="00A474DA">
        <w:rPr>
          <w:rFonts w:ascii="Palatino-Roman" w:hAnsi="Palatino-Roman" w:cs="Palatino-Roman"/>
          <w:sz w:val="20"/>
          <w:szCs w:val="20"/>
        </w:rPr>
        <w:t xml:space="preserve">, V. S., 1975, Optimal Rules for Ordering Uncertain Prospects, </w:t>
      </w:r>
      <w:r w:rsidRPr="00A474DA">
        <w:rPr>
          <w:rFonts w:ascii="Palatino-Italic" w:hAnsi="Palatino-Italic" w:cs="Palatino-Italic"/>
          <w:i/>
          <w:iCs/>
          <w:sz w:val="20"/>
          <w:szCs w:val="20"/>
        </w:rPr>
        <w:t>Journal of Financial</w:t>
      </w:r>
      <w:r>
        <w:t xml:space="preserve"> </w:t>
      </w:r>
      <w:r w:rsidRPr="00A474DA">
        <w:rPr>
          <w:rFonts w:ascii="Palatino-Italic" w:hAnsi="Palatino-Italic" w:cs="Palatino-Italic"/>
          <w:i/>
          <w:iCs/>
          <w:sz w:val="20"/>
          <w:szCs w:val="20"/>
        </w:rPr>
        <w:t>Economics</w:t>
      </w:r>
      <w:r w:rsidRPr="00A474DA">
        <w:rPr>
          <w:rFonts w:ascii="Palatino-Roman" w:hAnsi="Palatino-Roman" w:cs="Palatino-Roman"/>
          <w:sz w:val="20"/>
          <w:szCs w:val="20"/>
        </w:rPr>
        <w:t>, 2: 95-121.</w:t>
      </w:r>
    </w:p>
    <w:p w:rsidR="000A38D4" w:rsidRDefault="00A474DA" w:rsidP="00A474DA">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A474DA">
        <w:rPr>
          <w:rFonts w:ascii="Palatino-Roman" w:hAnsi="Palatino-Roman" w:cs="Palatino-Roman"/>
          <w:sz w:val="20"/>
          <w:szCs w:val="20"/>
        </w:rPr>
        <w:t>Fishburn</w:t>
      </w:r>
      <w:proofErr w:type="spellEnd"/>
      <w:r w:rsidRPr="00A474DA">
        <w:rPr>
          <w:rFonts w:ascii="Palatino-Roman" w:hAnsi="Palatino-Roman" w:cs="Palatino-Roman"/>
          <w:sz w:val="20"/>
          <w:szCs w:val="20"/>
        </w:rPr>
        <w:t>, P. C., 1977, Mean-Risk Analysis With Risk Associated With Below-Target</w:t>
      </w:r>
      <w:r>
        <w:rPr>
          <w:rFonts w:ascii="Palatino-Roman" w:hAnsi="Palatino-Roman" w:cs="Palatino-Roman"/>
          <w:sz w:val="20"/>
          <w:szCs w:val="20"/>
        </w:rPr>
        <w:t xml:space="preserve"> </w:t>
      </w:r>
      <w:r w:rsidRPr="00A474DA">
        <w:rPr>
          <w:rFonts w:ascii="Palatino-Roman" w:hAnsi="Palatino-Roman" w:cs="Palatino-Roman"/>
          <w:sz w:val="20"/>
          <w:szCs w:val="20"/>
        </w:rPr>
        <w:t xml:space="preserve">Returns, </w:t>
      </w:r>
      <w:r w:rsidRPr="00A474DA">
        <w:rPr>
          <w:rFonts w:ascii="Palatino-Italic" w:hAnsi="Palatino-Italic" w:cs="Palatino-Italic"/>
          <w:i/>
          <w:iCs/>
          <w:sz w:val="20"/>
          <w:szCs w:val="20"/>
        </w:rPr>
        <w:t>American Economic Review</w:t>
      </w:r>
      <w:r w:rsidRPr="00A474DA">
        <w:rPr>
          <w:rFonts w:ascii="Palatino-Roman" w:hAnsi="Palatino-Roman" w:cs="Palatino-Roman"/>
          <w:sz w:val="20"/>
          <w:szCs w:val="20"/>
        </w:rPr>
        <w:t>, 67: 116-126.</w:t>
      </w:r>
    </w:p>
    <w:p w:rsidR="00063609" w:rsidRDefault="00063609" w:rsidP="000636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063609">
        <w:rPr>
          <w:rFonts w:ascii="Palatino-Roman" w:hAnsi="Palatino-Roman" w:cs="Palatino-Roman"/>
          <w:sz w:val="20"/>
          <w:szCs w:val="20"/>
        </w:rPr>
        <w:t>Wang, S. S., 2000, A Class of Distortion Operators for Pricing Financial and Insurance</w:t>
      </w:r>
      <w:r>
        <w:rPr>
          <w:rFonts w:ascii="Palatino-Roman" w:hAnsi="Palatino-Roman" w:cs="Palatino-Roman"/>
          <w:sz w:val="20"/>
          <w:szCs w:val="20"/>
        </w:rPr>
        <w:t xml:space="preserve"> </w:t>
      </w:r>
      <w:r w:rsidRPr="00063609">
        <w:rPr>
          <w:rFonts w:ascii="Palatino-Roman" w:hAnsi="Palatino-Roman" w:cs="Palatino-Roman"/>
          <w:sz w:val="20"/>
          <w:szCs w:val="20"/>
        </w:rPr>
        <w:t xml:space="preserve">Risks, </w:t>
      </w:r>
      <w:r w:rsidRPr="00063609">
        <w:rPr>
          <w:rFonts w:ascii="Palatino-Italic" w:hAnsi="Palatino-Italic" w:cs="Palatino-Italic"/>
          <w:i/>
          <w:iCs/>
          <w:sz w:val="20"/>
          <w:szCs w:val="20"/>
        </w:rPr>
        <w:t>Journal of Risk and Insurance</w:t>
      </w:r>
      <w:r w:rsidRPr="00063609">
        <w:rPr>
          <w:rFonts w:ascii="Palatino-Roman" w:hAnsi="Palatino-Roman" w:cs="Palatino-Roman"/>
          <w:sz w:val="20"/>
          <w:szCs w:val="20"/>
        </w:rPr>
        <w:t>, 67: 15-36.</w:t>
      </w:r>
    </w:p>
    <w:p w:rsidR="00E204C7" w:rsidRPr="00E204C7" w:rsidRDefault="00E204C7" w:rsidP="00E204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E204C7">
        <w:rPr>
          <w:rFonts w:ascii="Palatino-Roman" w:hAnsi="Palatino-Roman" w:cs="Palatino-Roman"/>
          <w:sz w:val="20"/>
          <w:szCs w:val="20"/>
        </w:rPr>
        <w:t xml:space="preserve">Dowd, K., 2000, Assessing </w:t>
      </w:r>
      <w:proofErr w:type="spellStart"/>
      <w:r w:rsidRPr="00E204C7">
        <w:rPr>
          <w:rFonts w:ascii="Palatino-Roman" w:hAnsi="Palatino-Roman" w:cs="Palatino-Roman"/>
          <w:sz w:val="20"/>
          <w:szCs w:val="20"/>
        </w:rPr>
        <w:t>VaR</w:t>
      </w:r>
      <w:proofErr w:type="spellEnd"/>
      <w:r w:rsidRPr="00E204C7">
        <w:rPr>
          <w:rFonts w:ascii="Palatino-Roman" w:hAnsi="Palatino-Roman" w:cs="Palatino-Roman"/>
          <w:sz w:val="20"/>
          <w:szCs w:val="20"/>
        </w:rPr>
        <w:t xml:space="preserve"> Accuracy, </w:t>
      </w:r>
      <w:r w:rsidRPr="00E204C7">
        <w:rPr>
          <w:rFonts w:ascii="Palatino-Italic" w:hAnsi="Palatino-Italic" w:cs="Palatino-Italic"/>
          <w:i/>
          <w:iCs/>
          <w:sz w:val="20"/>
          <w:szCs w:val="20"/>
        </w:rPr>
        <w:t>Derivatives Quarterly</w:t>
      </w:r>
      <w:r w:rsidRPr="00E204C7">
        <w:rPr>
          <w:rFonts w:ascii="Palatino-Roman" w:hAnsi="Palatino-Roman" w:cs="Palatino-Roman"/>
          <w:sz w:val="20"/>
          <w:szCs w:val="20"/>
        </w:rPr>
        <w:t>, 6 (3): 61-63.</w:t>
      </w:r>
    </w:p>
    <w:p w:rsidR="00E204C7" w:rsidRDefault="00E204C7" w:rsidP="00E204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E204C7">
        <w:rPr>
          <w:rFonts w:ascii="Palatino-Roman" w:hAnsi="Palatino-Roman" w:cs="Palatino-Roman"/>
          <w:sz w:val="20"/>
          <w:szCs w:val="20"/>
        </w:rPr>
        <w:t xml:space="preserve">Dowd, K., 2005a, </w:t>
      </w:r>
      <w:r w:rsidRPr="00E204C7">
        <w:rPr>
          <w:rFonts w:ascii="Palatino-Italic" w:hAnsi="Palatino-Italic" w:cs="Palatino-Italic"/>
          <w:i/>
          <w:iCs/>
          <w:sz w:val="20"/>
          <w:szCs w:val="20"/>
        </w:rPr>
        <w:t>Measuring Market Risk</w:t>
      </w:r>
      <w:r w:rsidRPr="00E204C7">
        <w:rPr>
          <w:rFonts w:ascii="Palatino-Roman" w:hAnsi="Palatino-Roman" w:cs="Palatino-Roman"/>
          <w:sz w:val="20"/>
          <w:szCs w:val="20"/>
        </w:rPr>
        <w:t xml:space="preserve">, 2nd edition (Chichester: </w:t>
      </w:r>
      <w:proofErr w:type="spellStart"/>
      <w:r w:rsidRPr="00E204C7">
        <w:rPr>
          <w:rFonts w:ascii="Palatino-Roman" w:hAnsi="Palatino-Roman" w:cs="Palatino-Roman"/>
          <w:sz w:val="20"/>
          <w:szCs w:val="20"/>
        </w:rPr>
        <w:t>JohnWiley</w:t>
      </w:r>
      <w:proofErr w:type="spellEnd"/>
      <w:r w:rsidRPr="00E204C7">
        <w:rPr>
          <w:rFonts w:ascii="Palatino-Roman" w:hAnsi="Palatino-Roman" w:cs="Palatino-Roman"/>
          <w:sz w:val="20"/>
          <w:szCs w:val="20"/>
        </w:rPr>
        <w:t>).</w:t>
      </w:r>
    </w:p>
    <w:p w:rsidR="00E204C7" w:rsidRDefault="00E204C7" w:rsidP="00E204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E204C7">
        <w:rPr>
          <w:rFonts w:ascii="Palatino-Roman" w:hAnsi="Palatino-Roman" w:cs="Palatino-Roman"/>
          <w:sz w:val="20"/>
          <w:szCs w:val="20"/>
        </w:rPr>
        <w:t>Siu, T. K., H. Tong, and H. Yang, 2001b, On Bayesian Value at Risk: From Linear to</w:t>
      </w:r>
      <w:r>
        <w:rPr>
          <w:rFonts w:ascii="Palatino-Roman" w:hAnsi="Palatino-Roman" w:cs="Palatino-Roman"/>
          <w:sz w:val="20"/>
          <w:szCs w:val="20"/>
        </w:rPr>
        <w:t xml:space="preserve"> </w:t>
      </w:r>
      <w:r w:rsidRPr="00E204C7">
        <w:rPr>
          <w:rFonts w:ascii="Palatino-Roman" w:hAnsi="Palatino-Roman" w:cs="Palatino-Roman"/>
          <w:sz w:val="20"/>
          <w:szCs w:val="20"/>
        </w:rPr>
        <w:t xml:space="preserve">Non-Linear Portfolios, Mimeo, </w:t>
      </w:r>
      <w:proofErr w:type="gramStart"/>
      <w:r w:rsidRPr="00E204C7">
        <w:rPr>
          <w:rFonts w:ascii="Palatino-Roman" w:hAnsi="Palatino-Roman" w:cs="Palatino-Roman"/>
          <w:sz w:val="20"/>
          <w:szCs w:val="20"/>
        </w:rPr>
        <w:t>National</w:t>
      </w:r>
      <w:proofErr w:type="gramEnd"/>
      <w:r w:rsidRPr="00E204C7">
        <w:rPr>
          <w:rFonts w:ascii="Palatino-Roman" w:hAnsi="Palatino-Roman" w:cs="Palatino-Roman"/>
          <w:sz w:val="20"/>
          <w:szCs w:val="20"/>
        </w:rPr>
        <w:t xml:space="preserve"> University of Singapore.</w:t>
      </w:r>
    </w:p>
    <w:p w:rsidR="00E204C7" w:rsidRPr="00E204C7" w:rsidRDefault="00E204C7" w:rsidP="00E204C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063609"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u w:val="single"/>
        </w:rPr>
      </w:pPr>
      <w:r>
        <w:rPr>
          <w:rFonts w:ascii="Palatino-Roman" w:hAnsi="Palatino-Roman" w:cs="Palatino-Roman"/>
          <w:sz w:val="20"/>
          <w:szCs w:val="20"/>
          <w:u w:val="single"/>
        </w:rPr>
        <w:t>Potential other risk measures:</w:t>
      </w:r>
    </w:p>
    <w:p w:rsidR="00063609" w:rsidRP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u w:val="single"/>
        </w:rPr>
      </w:pPr>
      <w:r w:rsidRPr="00063609">
        <w:rPr>
          <w:rFonts w:ascii="Palatino-Roman" w:hAnsi="Palatino-Roman" w:cs="Palatino-Roman"/>
          <w:sz w:val="20"/>
          <w:szCs w:val="20"/>
        </w:rPr>
        <w:t xml:space="preserve">Heath, D., 2001, Back to the Future, Plenary Lecture at the </w:t>
      </w:r>
      <w:proofErr w:type="spellStart"/>
      <w:r w:rsidRPr="00063609">
        <w:rPr>
          <w:rFonts w:ascii="Palatino-Roman" w:hAnsi="Palatino-Roman" w:cs="Palatino-Roman"/>
          <w:sz w:val="20"/>
          <w:szCs w:val="20"/>
        </w:rPr>
        <w:t>FirstWorld</w:t>
      </w:r>
      <w:proofErr w:type="spellEnd"/>
      <w:r w:rsidRPr="00063609">
        <w:rPr>
          <w:rFonts w:ascii="Palatino-Roman" w:hAnsi="Palatino-Roman" w:cs="Palatino-Roman"/>
          <w:sz w:val="20"/>
          <w:szCs w:val="20"/>
        </w:rPr>
        <w:t xml:space="preserve"> Congress of the</w:t>
      </w:r>
      <w:r>
        <w:rPr>
          <w:rFonts w:ascii="Palatino-Roman" w:hAnsi="Palatino-Roman" w:cs="Palatino-Roman"/>
          <w:sz w:val="20"/>
          <w:szCs w:val="20"/>
        </w:rPr>
        <w:t xml:space="preserve"> </w:t>
      </w:r>
      <w:proofErr w:type="spellStart"/>
      <w:r w:rsidRPr="00063609">
        <w:rPr>
          <w:rFonts w:ascii="Palatino-Roman" w:hAnsi="Palatino-Roman" w:cs="Palatino-Roman"/>
          <w:sz w:val="20"/>
          <w:szCs w:val="20"/>
        </w:rPr>
        <w:t>Bachelier</w:t>
      </w:r>
      <w:proofErr w:type="spellEnd"/>
      <w:r w:rsidRPr="00063609">
        <w:rPr>
          <w:rFonts w:ascii="Palatino-Roman" w:hAnsi="Palatino-Roman" w:cs="Palatino-Roman"/>
          <w:sz w:val="20"/>
          <w:szCs w:val="20"/>
        </w:rPr>
        <w:t xml:space="preserve"> Society, June, </w:t>
      </w:r>
      <w:proofErr w:type="spellStart"/>
      <w:r w:rsidRPr="00063609">
        <w:rPr>
          <w:rFonts w:ascii="Palatino-Roman" w:hAnsi="Palatino-Roman" w:cs="Palatino-Roman"/>
          <w:sz w:val="20"/>
          <w:szCs w:val="20"/>
        </w:rPr>
        <w:t>Paris.</w:t>
      </w:r>
      <w:proofErr w:type="spellEnd"/>
    </w:p>
    <w:p w:rsidR="00063609" w:rsidRP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u w:val="single"/>
        </w:rPr>
      </w:pPr>
      <w:proofErr w:type="spellStart"/>
      <w:r w:rsidRPr="00063609">
        <w:rPr>
          <w:rFonts w:ascii="Palatino-Roman" w:hAnsi="Palatino-Roman" w:cs="Palatino-Roman"/>
          <w:sz w:val="20"/>
          <w:szCs w:val="20"/>
        </w:rPr>
        <w:t>Fritelli</w:t>
      </w:r>
      <w:proofErr w:type="spellEnd"/>
      <w:r w:rsidRPr="00063609">
        <w:rPr>
          <w:rFonts w:ascii="Palatino-Roman" w:hAnsi="Palatino-Roman" w:cs="Palatino-Roman"/>
          <w:sz w:val="20"/>
          <w:szCs w:val="20"/>
        </w:rPr>
        <w:t xml:space="preserve">, M., and E. R. </w:t>
      </w:r>
      <w:proofErr w:type="spellStart"/>
      <w:r w:rsidRPr="00063609">
        <w:rPr>
          <w:rFonts w:ascii="Palatino-Roman" w:hAnsi="Palatino-Roman" w:cs="Palatino-Roman"/>
          <w:sz w:val="20"/>
          <w:szCs w:val="20"/>
        </w:rPr>
        <w:t>Gianin</w:t>
      </w:r>
      <w:proofErr w:type="spellEnd"/>
      <w:r w:rsidRPr="00063609">
        <w:rPr>
          <w:rFonts w:ascii="Palatino-Roman" w:hAnsi="Palatino-Roman" w:cs="Palatino-Roman"/>
          <w:sz w:val="20"/>
          <w:szCs w:val="20"/>
        </w:rPr>
        <w:t xml:space="preserve">, 2002, Putting Order in Risk Measures, </w:t>
      </w:r>
      <w:r w:rsidRPr="00063609">
        <w:rPr>
          <w:rFonts w:ascii="Palatino-Italic" w:hAnsi="Palatino-Italic" w:cs="Palatino-Italic"/>
          <w:i/>
          <w:iCs/>
          <w:sz w:val="20"/>
          <w:szCs w:val="20"/>
        </w:rPr>
        <w:t>Journal of Banking</w:t>
      </w:r>
      <w:r>
        <w:rPr>
          <w:rFonts w:ascii="Palatino-Italic" w:hAnsi="Palatino-Italic" w:cs="Palatino-Italic"/>
          <w:i/>
          <w:iCs/>
          <w:sz w:val="20"/>
          <w:szCs w:val="20"/>
        </w:rPr>
        <w:t xml:space="preserve"> </w:t>
      </w:r>
      <w:r w:rsidRPr="00063609">
        <w:rPr>
          <w:rFonts w:ascii="Palatino-Italic" w:hAnsi="Palatino-Italic" w:cs="Palatino-Italic"/>
          <w:i/>
          <w:iCs/>
          <w:sz w:val="20"/>
          <w:szCs w:val="20"/>
        </w:rPr>
        <w:t>and Finance</w:t>
      </w:r>
      <w:r w:rsidRPr="00063609">
        <w:rPr>
          <w:rFonts w:ascii="Palatino-Roman" w:hAnsi="Palatino-Roman" w:cs="Palatino-Roman"/>
          <w:sz w:val="20"/>
          <w:szCs w:val="20"/>
        </w:rPr>
        <w:t>, 26: 1473-1486.</w:t>
      </w:r>
    </w:p>
    <w:p w:rsid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063609">
        <w:rPr>
          <w:rFonts w:ascii="Palatino-Roman" w:hAnsi="Palatino-Roman" w:cs="Palatino-Roman"/>
          <w:sz w:val="20"/>
          <w:szCs w:val="20"/>
        </w:rPr>
        <w:t>Wang, T., 1999, A Class of Dynamic Risk Measures, Mimeo, Faculty of Commerce and</w:t>
      </w:r>
      <w:r>
        <w:rPr>
          <w:rFonts w:ascii="Palatino-Roman" w:hAnsi="Palatino-Roman" w:cs="Palatino-Roman"/>
          <w:sz w:val="20"/>
          <w:szCs w:val="20"/>
        </w:rPr>
        <w:t xml:space="preserve"> </w:t>
      </w:r>
      <w:r w:rsidRPr="00063609">
        <w:rPr>
          <w:rFonts w:ascii="Palatino-Roman" w:hAnsi="Palatino-Roman" w:cs="Palatino-Roman"/>
          <w:sz w:val="20"/>
          <w:szCs w:val="20"/>
        </w:rPr>
        <w:t>Business Administration, University of British Columbia.</w:t>
      </w:r>
    </w:p>
    <w:p w:rsid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63609">
        <w:rPr>
          <w:rFonts w:ascii="Palatino-Roman" w:hAnsi="Palatino-Roman" w:cs="Palatino-Roman"/>
          <w:sz w:val="20"/>
          <w:szCs w:val="20"/>
        </w:rPr>
        <w:t>Pflug</w:t>
      </w:r>
      <w:proofErr w:type="spellEnd"/>
      <w:r w:rsidRPr="00063609">
        <w:rPr>
          <w:rFonts w:ascii="Palatino-Roman" w:hAnsi="Palatino-Roman" w:cs="Palatino-Roman"/>
          <w:sz w:val="20"/>
          <w:szCs w:val="20"/>
        </w:rPr>
        <w:t xml:space="preserve">, G. C., and A. </w:t>
      </w:r>
      <w:proofErr w:type="spellStart"/>
      <w:r w:rsidRPr="00063609">
        <w:rPr>
          <w:rFonts w:ascii="Palatino-Roman" w:hAnsi="Palatino-Roman" w:cs="Palatino-Roman"/>
          <w:sz w:val="20"/>
          <w:szCs w:val="20"/>
        </w:rPr>
        <w:t>Ruszczy</w:t>
      </w:r>
      <w:proofErr w:type="spellEnd"/>
      <w:r w:rsidRPr="00063609">
        <w:rPr>
          <w:rFonts w:ascii="Palatino-Roman" w:hAnsi="Palatino-Roman" w:cs="Palatino-Roman"/>
          <w:sz w:val="20"/>
          <w:szCs w:val="20"/>
        </w:rPr>
        <w:t xml:space="preserve">´ </w:t>
      </w:r>
      <w:proofErr w:type="spellStart"/>
      <w:r w:rsidRPr="00063609">
        <w:rPr>
          <w:rFonts w:ascii="Palatino-Roman" w:hAnsi="Palatino-Roman" w:cs="Palatino-Roman"/>
          <w:sz w:val="20"/>
          <w:szCs w:val="20"/>
        </w:rPr>
        <w:t>nski</w:t>
      </w:r>
      <w:proofErr w:type="spellEnd"/>
      <w:r w:rsidRPr="00063609">
        <w:rPr>
          <w:rFonts w:ascii="Palatino-Roman" w:hAnsi="Palatino-Roman" w:cs="Palatino-Roman"/>
          <w:sz w:val="20"/>
          <w:szCs w:val="20"/>
        </w:rPr>
        <w:t>, 2004, A Risk Measure for Income Processes, in: G.</w:t>
      </w:r>
      <w:r>
        <w:rPr>
          <w:rFonts w:ascii="Palatino-Roman" w:hAnsi="Palatino-Roman" w:cs="Palatino-Roman"/>
          <w:sz w:val="20"/>
          <w:szCs w:val="20"/>
        </w:rPr>
        <w:t xml:space="preserve"> </w:t>
      </w:r>
      <w:proofErr w:type="spellStart"/>
      <w:r w:rsidRPr="00063609">
        <w:rPr>
          <w:rFonts w:ascii="Palatino-Roman" w:hAnsi="Palatino-Roman" w:cs="Palatino-Roman"/>
          <w:sz w:val="20"/>
          <w:szCs w:val="20"/>
        </w:rPr>
        <w:t>Szeg</w:t>
      </w:r>
      <w:proofErr w:type="spellEnd"/>
      <w:r w:rsidRPr="00063609">
        <w:rPr>
          <w:rFonts w:ascii="Palatino-Roman" w:hAnsi="Palatino-Roman" w:cs="Palatino-Roman"/>
          <w:sz w:val="20"/>
          <w:szCs w:val="20"/>
        </w:rPr>
        <w:t xml:space="preserve">¨ o, ed., </w:t>
      </w:r>
      <w:r w:rsidRPr="00063609">
        <w:rPr>
          <w:rFonts w:ascii="Palatino-Italic" w:hAnsi="Palatino-Italic" w:cs="Palatino-Italic"/>
          <w:i/>
          <w:iCs/>
          <w:sz w:val="20"/>
          <w:szCs w:val="20"/>
        </w:rPr>
        <w:t>Risk Measures for the 21</w:t>
      </w:r>
      <w:r w:rsidRPr="00063609">
        <w:rPr>
          <w:rFonts w:ascii="Palatino-Italic" w:hAnsi="Palatino-Italic" w:cs="Palatino-Italic"/>
          <w:i/>
          <w:iCs/>
          <w:sz w:val="14"/>
          <w:szCs w:val="14"/>
        </w:rPr>
        <w:t xml:space="preserve">st </w:t>
      </w:r>
      <w:r w:rsidRPr="00063609">
        <w:rPr>
          <w:rFonts w:ascii="Palatino-Italic" w:hAnsi="Palatino-Italic" w:cs="Palatino-Italic"/>
          <w:i/>
          <w:iCs/>
          <w:sz w:val="20"/>
          <w:szCs w:val="20"/>
        </w:rPr>
        <w:t xml:space="preserve">Century </w:t>
      </w:r>
      <w:r w:rsidRPr="00063609">
        <w:rPr>
          <w:rFonts w:ascii="Palatino-Roman" w:hAnsi="Palatino-Roman" w:cs="Palatino-Roman"/>
          <w:sz w:val="20"/>
          <w:szCs w:val="20"/>
        </w:rPr>
        <w:t>(New York: Wiley), 249-269.</w:t>
      </w:r>
    </w:p>
    <w:p w:rsidR="00063609" w:rsidRP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63609">
        <w:rPr>
          <w:rFonts w:ascii="Palatino-Roman" w:hAnsi="Palatino-Roman" w:cs="Palatino-Roman"/>
          <w:sz w:val="20"/>
          <w:szCs w:val="20"/>
        </w:rPr>
        <w:t>Dhaene</w:t>
      </w:r>
      <w:proofErr w:type="spellEnd"/>
      <w:r w:rsidRPr="00063609">
        <w:rPr>
          <w:rFonts w:ascii="Palatino-Roman" w:hAnsi="Palatino-Roman" w:cs="Palatino-Roman"/>
          <w:sz w:val="20"/>
          <w:szCs w:val="20"/>
        </w:rPr>
        <w:t xml:space="preserve">, J., M. </w:t>
      </w:r>
      <w:proofErr w:type="spellStart"/>
      <w:r w:rsidRPr="00063609">
        <w:rPr>
          <w:rFonts w:ascii="Palatino-Roman" w:hAnsi="Palatino-Roman" w:cs="Palatino-Roman"/>
          <w:sz w:val="20"/>
          <w:szCs w:val="20"/>
        </w:rPr>
        <w:t>Denuit</w:t>
      </w:r>
      <w:proofErr w:type="spellEnd"/>
      <w:r w:rsidRPr="00063609">
        <w:rPr>
          <w:rFonts w:ascii="Palatino-Roman" w:hAnsi="Palatino-Roman" w:cs="Palatino-Roman"/>
          <w:sz w:val="20"/>
          <w:szCs w:val="20"/>
        </w:rPr>
        <w:t xml:space="preserve">, M. J. </w:t>
      </w:r>
      <w:proofErr w:type="spellStart"/>
      <w:r w:rsidRPr="00063609">
        <w:rPr>
          <w:rFonts w:ascii="Palatino-Roman" w:hAnsi="Palatino-Roman" w:cs="Palatino-Roman"/>
          <w:sz w:val="20"/>
          <w:szCs w:val="20"/>
        </w:rPr>
        <w:t>Goovaerts</w:t>
      </w:r>
      <w:proofErr w:type="spellEnd"/>
      <w:r w:rsidRPr="00063609">
        <w:rPr>
          <w:rFonts w:ascii="Palatino-Roman" w:hAnsi="Palatino-Roman" w:cs="Palatino-Roman"/>
          <w:sz w:val="20"/>
          <w:szCs w:val="20"/>
        </w:rPr>
        <w:t xml:space="preserve">, R. </w:t>
      </w:r>
      <w:proofErr w:type="spellStart"/>
      <w:r w:rsidRPr="00063609">
        <w:rPr>
          <w:rFonts w:ascii="Palatino-Roman" w:hAnsi="Palatino-Roman" w:cs="Palatino-Roman"/>
          <w:sz w:val="20"/>
          <w:szCs w:val="20"/>
        </w:rPr>
        <w:t>Kaas</w:t>
      </w:r>
      <w:proofErr w:type="spellEnd"/>
      <w:r w:rsidRPr="00063609">
        <w:rPr>
          <w:rFonts w:ascii="Palatino-Roman" w:hAnsi="Palatino-Roman" w:cs="Palatino-Roman"/>
          <w:sz w:val="20"/>
          <w:szCs w:val="20"/>
        </w:rPr>
        <w:t xml:space="preserve">, and D. </w:t>
      </w:r>
      <w:proofErr w:type="spellStart"/>
      <w:r w:rsidRPr="00063609">
        <w:rPr>
          <w:rFonts w:ascii="Palatino-Roman" w:hAnsi="Palatino-Roman" w:cs="Palatino-Roman"/>
          <w:sz w:val="20"/>
          <w:szCs w:val="20"/>
        </w:rPr>
        <w:t>Vynke</w:t>
      </w:r>
      <w:proofErr w:type="spellEnd"/>
      <w:r w:rsidRPr="00063609">
        <w:rPr>
          <w:rFonts w:ascii="Palatino-Roman" w:hAnsi="Palatino-Roman" w:cs="Palatino-Roman"/>
          <w:sz w:val="20"/>
          <w:szCs w:val="20"/>
        </w:rPr>
        <w:t xml:space="preserve">, 2003a, </w:t>
      </w:r>
      <w:proofErr w:type="gramStart"/>
      <w:r w:rsidRPr="00063609">
        <w:rPr>
          <w:rFonts w:ascii="Palatino-Roman" w:hAnsi="Palatino-Roman" w:cs="Palatino-Roman"/>
          <w:sz w:val="20"/>
          <w:szCs w:val="20"/>
        </w:rPr>
        <w:t>The</w:t>
      </w:r>
      <w:proofErr w:type="gramEnd"/>
      <w:r w:rsidRPr="00063609">
        <w:rPr>
          <w:rFonts w:ascii="Palatino-Roman" w:hAnsi="Palatino-Roman" w:cs="Palatino-Roman"/>
          <w:sz w:val="20"/>
          <w:szCs w:val="20"/>
        </w:rPr>
        <w:t xml:space="preserve"> Concept of</w:t>
      </w:r>
      <w:r>
        <w:rPr>
          <w:rFonts w:ascii="Palatino-Roman" w:hAnsi="Palatino-Roman" w:cs="Palatino-Roman"/>
          <w:sz w:val="20"/>
          <w:szCs w:val="20"/>
        </w:rPr>
        <w:t xml:space="preserve"> </w:t>
      </w:r>
      <w:proofErr w:type="spellStart"/>
      <w:r w:rsidRPr="00063609">
        <w:rPr>
          <w:rFonts w:ascii="Palatino-Roman" w:hAnsi="Palatino-Roman" w:cs="Palatino-Roman"/>
          <w:sz w:val="20"/>
          <w:szCs w:val="20"/>
        </w:rPr>
        <w:t>Comonotonicity</w:t>
      </w:r>
      <w:proofErr w:type="spellEnd"/>
      <w:r w:rsidRPr="00063609">
        <w:rPr>
          <w:rFonts w:ascii="Palatino-Roman" w:hAnsi="Palatino-Roman" w:cs="Palatino-Roman"/>
          <w:sz w:val="20"/>
          <w:szCs w:val="20"/>
        </w:rPr>
        <w:t xml:space="preserve"> in Actuarial Science and Finance: Theory, </w:t>
      </w:r>
      <w:r w:rsidRPr="00063609">
        <w:rPr>
          <w:rFonts w:ascii="Palatino-Italic" w:hAnsi="Palatino-Italic" w:cs="Palatino-Italic"/>
          <w:i/>
          <w:iCs/>
          <w:sz w:val="20"/>
          <w:szCs w:val="20"/>
        </w:rPr>
        <w:t>Insurance: Mathematics</w:t>
      </w:r>
      <w:r>
        <w:rPr>
          <w:rFonts w:ascii="Palatino-Italic" w:hAnsi="Palatino-Italic" w:cs="Palatino-Italic"/>
          <w:i/>
          <w:iCs/>
          <w:sz w:val="20"/>
          <w:szCs w:val="20"/>
        </w:rPr>
        <w:t xml:space="preserve"> </w:t>
      </w:r>
      <w:r w:rsidRPr="00063609">
        <w:rPr>
          <w:rFonts w:ascii="Palatino-Italic" w:hAnsi="Palatino-Italic" w:cs="Palatino-Italic"/>
          <w:i/>
          <w:iCs/>
          <w:sz w:val="20"/>
          <w:szCs w:val="20"/>
        </w:rPr>
        <w:t>and Economics</w:t>
      </w:r>
      <w:r w:rsidRPr="00063609">
        <w:rPr>
          <w:rFonts w:ascii="Palatino-Roman" w:hAnsi="Palatino-Roman" w:cs="Palatino-Roman"/>
          <w:sz w:val="20"/>
          <w:szCs w:val="20"/>
        </w:rPr>
        <w:t>, 31: 3-33.</w:t>
      </w:r>
    </w:p>
    <w:p w:rsid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63609">
        <w:rPr>
          <w:rFonts w:ascii="Palatino-Roman" w:hAnsi="Palatino-Roman" w:cs="Palatino-Roman"/>
          <w:sz w:val="20"/>
          <w:szCs w:val="20"/>
        </w:rPr>
        <w:t>Dhaene</w:t>
      </w:r>
      <w:proofErr w:type="spellEnd"/>
      <w:r w:rsidRPr="00063609">
        <w:rPr>
          <w:rFonts w:ascii="Palatino-Roman" w:hAnsi="Palatino-Roman" w:cs="Palatino-Roman"/>
          <w:sz w:val="20"/>
          <w:szCs w:val="20"/>
        </w:rPr>
        <w:t xml:space="preserve">, J., M. </w:t>
      </w:r>
      <w:proofErr w:type="spellStart"/>
      <w:r w:rsidRPr="00063609">
        <w:rPr>
          <w:rFonts w:ascii="Palatino-Roman" w:hAnsi="Palatino-Roman" w:cs="Palatino-Roman"/>
          <w:sz w:val="20"/>
          <w:szCs w:val="20"/>
        </w:rPr>
        <w:t>Denuit</w:t>
      </w:r>
      <w:proofErr w:type="spellEnd"/>
      <w:r w:rsidRPr="00063609">
        <w:rPr>
          <w:rFonts w:ascii="Palatino-Roman" w:hAnsi="Palatino-Roman" w:cs="Palatino-Roman"/>
          <w:sz w:val="20"/>
          <w:szCs w:val="20"/>
        </w:rPr>
        <w:t xml:space="preserve">, M. J. </w:t>
      </w:r>
      <w:proofErr w:type="spellStart"/>
      <w:r w:rsidRPr="00063609">
        <w:rPr>
          <w:rFonts w:ascii="Palatino-Roman" w:hAnsi="Palatino-Roman" w:cs="Palatino-Roman"/>
          <w:sz w:val="20"/>
          <w:szCs w:val="20"/>
        </w:rPr>
        <w:t>Goovaerts</w:t>
      </w:r>
      <w:proofErr w:type="spellEnd"/>
      <w:r w:rsidRPr="00063609">
        <w:rPr>
          <w:rFonts w:ascii="Palatino-Roman" w:hAnsi="Palatino-Roman" w:cs="Palatino-Roman"/>
          <w:sz w:val="20"/>
          <w:szCs w:val="20"/>
        </w:rPr>
        <w:t xml:space="preserve">, R. </w:t>
      </w:r>
      <w:proofErr w:type="spellStart"/>
      <w:r w:rsidRPr="00063609">
        <w:rPr>
          <w:rFonts w:ascii="Palatino-Roman" w:hAnsi="Palatino-Roman" w:cs="Palatino-Roman"/>
          <w:sz w:val="20"/>
          <w:szCs w:val="20"/>
        </w:rPr>
        <w:t>Kaas</w:t>
      </w:r>
      <w:proofErr w:type="spellEnd"/>
      <w:r w:rsidRPr="00063609">
        <w:rPr>
          <w:rFonts w:ascii="Palatino-Roman" w:hAnsi="Palatino-Roman" w:cs="Palatino-Roman"/>
          <w:sz w:val="20"/>
          <w:szCs w:val="20"/>
        </w:rPr>
        <w:t xml:space="preserve">, and D. </w:t>
      </w:r>
      <w:proofErr w:type="spellStart"/>
      <w:r w:rsidRPr="00063609">
        <w:rPr>
          <w:rFonts w:ascii="Palatino-Roman" w:hAnsi="Palatino-Roman" w:cs="Palatino-Roman"/>
          <w:sz w:val="20"/>
          <w:szCs w:val="20"/>
        </w:rPr>
        <w:t>Vynke</w:t>
      </w:r>
      <w:proofErr w:type="spellEnd"/>
      <w:r w:rsidRPr="00063609">
        <w:rPr>
          <w:rFonts w:ascii="Palatino-Roman" w:hAnsi="Palatino-Roman" w:cs="Palatino-Roman"/>
          <w:sz w:val="20"/>
          <w:szCs w:val="20"/>
        </w:rPr>
        <w:t xml:space="preserve">, 2003b, </w:t>
      </w:r>
      <w:proofErr w:type="gramStart"/>
      <w:r w:rsidRPr="00063609">
        <w:rPr>
          <w:rFonts w:ascii="Palatino-Roman" w:hAnsi="Palatino-Roman" w:cs="Palatino-Roman"/>
          <w:sz w:val="20"/>
          <w:szCs w:val="20"/>
        </w:rPr>
        <w:t>The</w:t>
      </w:r>
      <w:proofErr w:type="gramEnd"/>
      <w:r w:rsidRPr="00063609">
        <w:rPr>
          <w:rFonts w:ascii="Palatino-Roman" w:hAnsi="Palatino-Roman" w:cs="Palatino-Roman"/>
          <w:sz w:val="20"/>
          <w:szCs w:val="20"/>
        </w:rPr>
        <w:t xml:space="preserve"> Concept of</w:t>
      </w:r>
      <w:r>
        <w:rPr>
          <w:rFonts w:ascii="Palatino-Roman" w:hAnsi="Palatino-Roman" w:cs="Palatino-Roman"/>
          <w:sz w:val="20"/>
          <w:szCs w:val="20"/>
        </w:rPr>
        <w:t xml:space="preserve"> </w:t>
      </w:r>
      <w:proofErr w:type="spellStart"/>
      <w:r w:rsidRPr="00063609">
        <w:rPr>
          <w:rFonts w:ascii="Palatino-Roman" w:hAnsi="Palatino-Roman" w:cs="Palatino-Roman"/>
          <w:sz w:val="20"/>
          <w:szCs w:val="20"/>
        </w:rPr>
        <w:t>Comonotonicity</w:t>
      </w:r>
      <w:proofErr w:type="spellEnd"/>
      <w:r w:rsidRPr="00063609">
        <w:rPr>
          <w:rFonts w:ascii="Palatino-Roman" w:hAnsi="Palatino-Roman" w:cs="Palatino-Roman"/>
          <w:sz w:val="20"/>
          <w:szCs w:val="20"/>
        </w:rPr>
        <w:t xml:space="preserve"> in Actuarial Science and Finance: Applications, </w:t>
      </w:r>
      <w:r w:rsidRPr="00063609">
        <w:rPr>
          <w:rFonts w:ascii="Palatino-Italic" w:hAnsi="Palatino-Italic" w:cs="Palatino-Italic"/>
          <w:i/>
          <w:iCs/>
          <w:sz w:val="20"/>
          <w:szCs w:val="20"/>
        </w:rPr>
        <w:t>Insurance: Mathematics</w:t>
      </w:r>
      <w:r>
        <w:rPr>
          <w:rFonts w:ascii="Palatino-Italic" w:hAnsi="Palatino-Italic" w:cs="Palatino-Italic"/>
          <w:i/>
          <w:iCs/>
          <w:sz w:val="20"/>
          <w:szCs w:val="20"/>
        </w:rPr>
        <w:t xml:space="preserve"> </w:t>
      </w:r>
      <w:r w:rsidRPr="00063609">
        <w:rPr>
          <w:rFonts w:ascii="Palatino-Italic" w:hAnsi="Palatino-Italic" w:cs="Palatino-Italic"/>
          <w:i/>
          <w:iCs/>
          <w:sz w:val="20"/>
          <w:szCs w:val="20"/>
        </w:rPr>
        <w:t>and Economics</w:t>
      </w:r>
      <w:r w:rsidRPr="00063609">
        <w:rPr>
          <w:rFonts w:ascii="Palatino-Roman" w:hAnsi="Palatino-Roman" w:cs="Palatino-Roman"/>
          <w:sz w:val="20"/>
          <w:szCs w:val="20"/>
        </w:rPr>
        <w:t>, 31: 133-161.</w:t>
      </w:r>
    </w:p>
    <w:p w:rsidR="00063609" w:rsidRDefault="00063609" w:rsidP="000636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63609">
        <w:rPr>
          <w:rFonts w:ascii="Palatino-Roman" w:hAnsi="Palatino-Roman" w:cs="Palatino-Roman"/>
          <w:sz w:val="20"/>
          <w:szCs w:val="20"/>
        </w:rPr>
        <w:t>Goovaerts</w:t>
      </w:r>
      <w:proofErr w:type="spellEnd"/>
      <w:r w:rsidRPr="00063609">
        <w:rPr>
          <w:rFonts w:ascii="Palatino-Roman" w:hAnsi="Palatino-Roman" w:cs="Palatino-Roman"/>
          <w:sz w:val="20"/>
          <w:szCs w:val="20"/>
        </w:rPr>
        <w:t xml:space="preserve">, M. J., R. </w:t>
      </w:r>
      <w:proofErr w:type="spellStart"/>
      <w:r w:rsidRPr="00063609">
        <w:rPr>
          <w:rFonts w:ascii="Palatino-Roman" w:hAnsi="Palatino-Roman" w:cs="Palatino-Roman"/>
          <w:sz w:val="20"/>
          <w:szCs w:val="20"/>
        </w:rPr>
        <w:t>Kaas</w:t>
      </w:r>
      <w:proofErr w:type="spellEnd"/>
      <w:r w:rsidRPr="00063609">
        <w:rPr>
          <w:rFonts w:ascii="Palatino-Roman" w:hAnsi="Palatino-Roman" w:cs="Palatino-Roman"/>
          <w:sz w:val="20"/>
          <w:szCs w:val="20"/>
        </w:rPr>
        <w:t xml:space="preserve">, J. </w:t>
      </w:r>
      <w:proofErr w:type="spellStart"/>
      <w:r w:rsidRPr="00063609">
        <w:rPr>
          <w:rFonts w:ascii="Palatino-Roman" w:hAnsi="Palatino-Roman" w:cs="Palatino-Roman"/>
          <w:sz w:val="20"/>
          <w:szCs w:val="20"/>
        </w:rPr>
        <w:t>Dhaene</w:t>
      </w:r>
      <w:proofErr w:type="spellEnd"/>
      <w:r w:rsidRPr="00063609">
        <w:rPr>
          <w:rFonts w:ascii="Palatino-Roman" w:hAnsi="Palatino-Roman" w:cs="Palatino-Roman"/>
          <w:sz w:val="20"/>
          <w:szCs w:val="20"/>
        </w:rPr>
        <w:t>, and Q. Tang, 2003b, A Unified Approach to</w:t>
      </w:r>
      <w:r>
        <w:rPr>
          <w:rFonts w:ascii="Palatino-Roman" w:hAnsi="Palatino-Roman" w:cs="Palatino-Roman"/>
          <w:sz w:val="20"/>
          <w:szCs w:val="20"/>
        </w:rPr>
        <w:t xml:space="preserve"> </w:t>
      </w:r>
      <w:r w:rsidRPr="00063609">
        <w:rPr>
          <w:rFonts w:ascii="Palatino-Roman" w:hAnsi="Palatino-Roman" w:cs="Palatino-Roman"/>
          <w:sz w:val="20"/>
          <w:szCs w:val="20"/>
        </w:rPr>
        <w:t>Generate Risk Measures, Mimeo. K. U. Leuven.</w:t>
      </w:r>
    </w:p>
    <w:p w:rsidR="00063609" w:rsidRDefault="00351726" w:rsidP="0035172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351726">
        <w:rPr>
          <w:rFonts w:ascii="Palatino-Roman" w:hAnsi="Palatino-Roman" w:cs="Palatino-Roman"/>
          <w:sz w:val="20"/>
          <w:szCs w:val="20"/>
        </w:rPr>
        <w:t>Goovaerts</w:t>
      </w:r>
      <w:proofErr w:type="spellEnd"/>
      <w:r w:rsidRPr="00351726">
        <w:rPr>
          <w:rFonts w:ascii="Palatino-Roman" w:hAnsi="Palatino-Roman" w:cs="Palatino-Roman"/>
          <w:sz w:val="20"/>
          <w:szCs w:val="20"/>
        </w:rPr>
        <w:t xml:space="preserve">, M. J., R. </w:t>
      </w:r>
      <w:proofErr w:type="spellStart"/>
      <w:r w:rsidRPr="00351726">
        <w:rPr>
          <w:rFonts w:ascii="Palatino-Roman" w:hAnsi="Palatino-Roman" w:cs="Palatino-Roman"/>
          <w:sz w:val="20"/>
          <w:szCs w:val="20"/>
        </w:rPr>
        <w:t>Kaas</w:t>
      </w:r>
      <w:proofErr w:type="spellEnd"/>
      <w:r w:rsidRPr="00351726">
        <w:rPr>
          <w:rFonts w:ascii="Palatino-Roman" w:hAnsi="Palatino-Roman" w:cs="Palatino-Roman"/>
          <w:sz w:val="20"/>
          <w:szCs w:val="20"/>
        </w:rPr>
        <w:t xml:space="preserve">, and J. </w:t>
      </w:r>
      <w:proofErr w:type="spellStart"/>
      <w:r w:rsidRPr="00351726">
        <w:rPr>
          <w:rFonts w:ascii="Palatino-Roman" w:hAnsi="Palatino-Roman" w:cs="Palatino-Roman"/>
          <w:sz w:val="20"/>
          <w:szCs w:val="20"/>
        </w:rPr>
        <w:t>Dhaene</w:t>
      </w:r>
      <w:proofErr w:type="spellEnd"/>
      <w:r w:rsidRPr="00351726">
        <w:rPr>
          <w:rFonts w:ascii="Palatino-Roman" w:hAnsi="Palatino-Roman" w:cs="Palatino-Roman"/>
          <w:sz w:val="20"/>
          <w:szCs w:val="20"/>
        </w:rPr>
        <w:t>, 2003a, Economic Capital Allocation Derived</w:t>
      </w:r>
      <w:r>
        <w:rPr>
          <w:rFonts w:ascii="Palatino-Roman" w:hAnsi="Palatino-Roman" w:cs="Palatino-Roman"/>
          <w:sz w:val="20"/>
          <w:szCs w:val="20"/>
        </w:rPr>
        <w:t xml:space="preserve"> </w:t>
      </w:r>
      <w:r w:rsidRPr="00351726">
        <w:rPr>
          <w:rFonts w:ascii="Palatino-Roman" w:hAnsi="Palatino-Roman" w:cs="Palatino-Roman"/>
          <w:sz w:val="20"/>
          <w:szCs w:val="20"/>
        </w:rPr>
        <w:t>From Risk Measures, Mimeo, K. U. Leuven.</w:t>
      </w:r>
    </w:p>
    <w:p w:rsidR="00351726" w:rsidRPr="00351726" w:rsidRDefault="00351726" w:rsidP="003517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063609" w:rsidRPr="00063609" w:rsidRDefault="00063609" w:rsidP="0006360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u w:val="single"/>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P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0A38D4" w:rsidRDefault="000A38D4">
      <w:pPr>
        <w:rPr>
          <w:u w:val="single"/>
        </w:rPr>
      </w:pPr>
    </w:p>
    <w:p w:rsidR="000A38D4" w:rsidRDefault="00E204C7">
      <w:pPr>
        <w:rPr>
          <w:u w:val="single"/>
        </w:rPr>
      </w:pPr>
      <w:r>
        <w:rPr>
          <w:u w:val="single"/>
        </w:rPr>
        <w:t>Less useful readings:</w:t>
      </w:r>
    </w:p>
    <w:p w:rsidR="000A38D4" w:rsidRDefault="00E204C7">
      <w:pPr>
        <w:numPr>
          <w:ilvl w:val="0"/>
          <w:numId w:val="2"/>
        </w:numPr>
        <w:contextualSpacing/>
      </w:pPr>
      <w:proofErr w:type="spellStart"/>
      <w:r>
        <w:t>Bruder</w:t>
      </w:r>
      <w:proofErr w:type="spellEnd"/>
      <w:r>
        <w:t xml:space="preserve"> B., </w:t>
      </w:r>
      <w:proofErr w:type="spellStart"/>
      <w:r>
        <w:t>Hereil</w:t>
      </w:r>
      <w:proofErr w:type="spellEnd"/>
      <w:r>
        <w:t xml:space="preserve"> P. and </w:t>
      </w:r>
      <w:proofErr w:type="spellStart"/>
      <w:r>
        <w:t>Roncalli</w:t>
      </w:r>
      <w:proofErr w:type="spellEnd"/>
      <w:r>
        <w:t xml:space="preserve"> T. (2011), Managing Sovereign Credit Risk, Journal of Indexes Europe, 1(4),</w:t>
      </w:r>
      <w:r>
        <w:t xml:space="preserve"> pp. 20-27. OR </w:t>
      </w:r>
      <w:proofErr w:type="spellStart"/>
      <w:r>
        <w:t>Bruder</w:t>
      </w:r>
      <w:proofErr w:type="spellEnd"/>
      <w:r>
        <w:t xml:space="preserve"> B., </w:t>
      </w:r>
      <w:proofErr w:type="spellStart"/>
      <w:r>
        <w:t>Hereil</w:t>
      </w:r>
      <w:proofErr w:type="spellEnd"/>
      <w:r>
        <w:t xml:space="preserve"> P. and </w:t>
      </w:r>
      <w:proofErr w:type="spellStart"/>
      <w:r>
        <w:t>Roncalli</w:t>
      </w:r>
      <w:proofErr w:type="spellEnd"/>
      <w:r>
        <w:t xml:space="preserve"> T. (2011), Managing Sovereign Credit Risk in Bond Portfolios, Working Paper, </w:t>
      </w:r>
      <w:hyperlink r:id="rId5">
        <w:r>
          <w:rPr>
            <w:color w:val="1155CC"/>
            <w:u w:val="single"/>
          </w:rPr>
          <w:t>www.ssrn.com/abstract=1957050</w:t>
        </w:r>
      </w:hyperlink>
      <w:r>
        <w:t>.    ****</w:t>
      </w:r>
    </w:p>
    <w:p w:rsidR="000A38D4" w:rsidRDefault="00E204C7">
      <w:pPr>
        <w:numPr>
          <w:ilvl w:val="0"/>
          <w:numId w:val="2"/>
        </w:numPr>
        <w:contextualSpacing/>
      </w:pPr>
      <w:proofErr w:type="spellStart"/>
      <w:r>
        <w:lastRenderedPageBreak/>
        <w:t>Rahl</w:t>
      </w:r>
      <w:proofErr w:type="spellEnd"/>
      <w:r>
        <w:t xml:space="preserve"> L. (ed.) (2000), Risk Budgetin</w:t>
      </w:r>
      <w:r>
        <w:t xml:space="preserve">g: A New Approach to Investing, Risk Books. </w:t>
      </w:r>
    </w:p>
    <w:p w:rsidR="000A38D4" w:rsidRDefault="00E204C7">
      <w:pPr>
        <w:numPr>
          <w:ilvl w:val="0"/>
          <w:numId w:val="2"/>
        </w:numPr>
        <w:contextualSpacing/>
      </w:pPr>
      <w:proofErr w:type="spellStart"/>
      <w:r>
        <w:t>Grinold</w:t>
      </w:r>
      <w:proofErr w:type="spellEnd"/>
      <w:r>
        <w:t xml:space="preserve"> R.C. and Kahn R.N. (2000), Active Portfolio Management: A Quantitative Approach for Providing Superior Returns and Controlling Risk, second edition, McGraw-Hill. </w:t>
      </w:r>
    </w:p>
    <w:p w:rsidR="000A38D4" w:rsidRDefault="00E204C7">
      <w:pPr>
        <w:numPr>
          <w:ilvl w:val="0"/>
          <w:numId w:val="2"/>
        </w:numPr>
        <w:contextualSpacing/>
      </w:pPr>
      <w:proofErr w:type="spellStart"/>
      <w:r>
        <w:t>Meucci</w:t>
      </w:r>
      <w:proofErr w:type="spellEnd"/>
      <w:r>
        <w:t xml:space="preserve"> A. (2005), Risk and Asset Allocat</w:t>
      </w:r>
      <w:r>
        <w:t xml:space="preserve">ion, Springer. </w:t>
      </w:r>
    </w:p>
    <w:p w:rsidR="000A38D4" w:rsidRDefault="00E204C7">
      <w:pPr>
        <w:numPr>
          <w:ilvl w:val="0"/>
          <w:numId w:val="2"/>
        </w:numPr>
        <w:contextualSpacing/>
      </w:pPr>
      <w:r>
        <w:t xml:space="preserve">Scherer B. (2007), Portfolio Construction &amp; Risk Budgeting, third edition, Risk Books. </w:t>
      </w:r>
    </w:p>
    <w:p w:rsidR="000A38D4" w:rsidRDefault="00E204C7">
      <w:pPr>
        <w:numPr>
          <w:ilvl w:val="0"/>
          <w:numId w:val="2"/>
        </w:numPr>
        <w:contextualSpacing/>
      </w:pPr>
      <w:proofErr w:type="spellStart"/>
      <w:r>
        <w:t>Tütüncü</w:t>
      </w:r>
      <w:proofErr w:type="spellEnd"/>
      <w:r>
        <w:t xml:space="preserve"> R.H and Koenig M. (2004), Robust Asset Allocation, Annals of Operations Research, 132, pp. 132-157. </w:t>
      </w:r>
    </w:p>
    <w:p w:rsidR="000A38D4" w:rsidRDefault="00E204C7">
      <w:pPr>
        <w:numPr>
          <w:ilvl w:val="0"/>
          <w:numId w:val="2"/>
        </w:numPr>
        <w:contextualSpacing/>
      </w:pPr>
      <w:proofErr w:type="spellStart"/>
      <w:r>
        <w:t>Hyvärinen</w:t>
      </w:r>
      <w:proofErr w:type="spellEnd"/>
      <w:r>
        <w:t xml:space="preserve"> A. and </w:t>
      </w:r>
      <w:proofErr w:type="spellStart"/>
      <w:r>
        <w:t>Oja</w:t>
      </w:r>
      <w:proofErr w:type="spellEnd"/>
      <w:r>
        <w:t xml:space="preserve"> E. (2000), Independent</w:t>
      </w:r>
      <w:r>
        <w:t xml:space="preserve"> Component Analysis: Algorithms and Applications, Neural Networks, 13(4-5), pp. 411-430. </w:t>
      </w:r>
    </w:p>
    <w:p w:rsidR="000A38D4" w:rsidRDefault="00E204C7">
      <w:pPr>
        <w:numPr>
          <w:ilvl w:val="0"/>
          <w:numId w:val="2"/>
        </w:numPr>
        <w:contextualSpacing/>
      </w:pPr>
      <w:proofErr w:type="spellStart"/>
      <w:r>
        <w:t>Ledoit</w:t>
      </w:r>
      <w:proofErr w:type="spellEnd"/>
      <w:r>
        <w:t>, O. and Wolf, M. (2003), Improved Estimation of the Covariance Matrix of Stock Returns With an Application to Portfolio Selection, Journal of Empirical Finance</w:t>
      </w:r>
      <w:r>
        <w:t xml:space="preserve">, 10(5), pp. 603-621. </w:t>
      </w:r>
    </w:p>
    <w:p w:rsidR="000A38D4" w:rsidRDefault="00E204C7">
      <w:pPr>
        <w:numPr>
          <w:ilvl w:val="0"/>
          <w:numId w:val="2"/>
        </w:numPr>
        <w:contextualSpacing/>
      </w:pPr>
      <w:proofErr w:type="spellStart"/>
      <w:r>
        <w:t>Laloux</w:t>
      </w:r>
      <w:proofErr w:type="spellEnd"/>
      <w:r>
        <w:t xml:space="preserve"> L., </w:t>
      </w:r>
      <w:proofErr w:type="spellStart"/>
      <w:r>
        <w:t>Cizeau</w:t>
      </w:r>
      <w:proofErr w:type="spellEnd"/>
      <w:r>
        <w:t xml:space="preserve"> P., </w:t>
      </w:r>
      <w:proofErr w:type="spellStart"/>
      <w:r>
        <w:t>Bouchaud</w:t>
      </w:r>
      <w:proofErr w:type="spellEnd"/>
      <w:r>
        <w:t xml:space="preserve"> J-P. </w:t>
      </w:r>
      <w:proofErr w:type="gramStart"/>
      <w:r>
        <w:t>and</w:t>
      </w:r>
      <w:proofErr w:type="gramEnd"/>
      <w:r>
        <w:t xml:space="preserve"> Potters M. (1999), Noise Dressing of Financial Correlation Matrices, Physical Review Letters, 83(7), pp. 1467-1470.</w:t>
      </w:r>
    </w:p>
    <w:p w:rsidR="000A38D4" w:rsidRDefault="00E204C7">
      <w:pPr>
        <w:numPr>
          <w:ilvl w:val="0"/>
          <w:numId w:val="2"/>
        </w:numPr>
        <w:contextualSpacing/>
      </w:pPr>
      <w:proofErr w:type="spellStart"/>
      <w:r>
        <w:t>Jagannathan</w:t>
      </w:r>
      <w:proofErr w:type="spellEnd"/>
      <w:r>
        <w:t xml:space="preserve"> J. and Ma T. (2003), Reduction in Large Portfolios: Why Imposing </w:t>
      </w:r>
      <w:r>
        <w:t xml:space="preserve">the Wrong Constraints Helps, Journal of Finance, 58(4), pp. 1651-1683. </w:t>
      </w:r>
    </w:p>
    <w:p w:rsidR="00B4053C" w:rsidRDefault="00E204C7" w:rsidP="00B4053C">
      <w:pPr>
        <w:numPr>
          <w:ilvl w:val="0"/>
          <w:numId w:val="2"/>
        </w:numPr>
        <w:contextualSpacing/>
      </w:pPr>
      <w:proofErr w:type="spellStart"/>
      <w:r>
        <w:t>Eychenne</w:t>
      </w:r>
      <w:proofErr w:type="spellEnd"/>
      <w:r>
        <w:t xml:space="preserve"> K., </w:t>
      </w:r>
      <w:proofErr w:type="spellStart"/>
      <w:r>
        <w:t>Martinetti</w:t>
      </w:r>
      <w:proofErr w:type="spellEnd"/>
      <w:r>
        <w:t xml:space="preserve"> S. and </w:t>
      </w:r>
      <w:proofErr w:type="spellStart"/>
      <w:r>
        <w:t>Roncalli</w:t>
      </w:r>
      <w:proofErr w:type="spellEnd"/>
      <w:r>
        <w:t xml:space="preserve"> T. (2011), Strategic Asset Allocation, </w:t>
      </w:r>
      <w:proofErr w:type="spellStart"/>
      <w:r>
        <w:t>Lyxor</w:t>
      </w:r>
      <w:proofErr w:type="spellEnd"/>
      <w:r>
        <w:t xml:space="preserve"> White Paper Series, 6, </w:t>
      </w:r>
      <w:hyperlink r:id="rId6">
        <w:r>
          <w:rPr>
            <w:color w:val="1155CC"/>
            <w:u w:val="single"/>
          </w:rPr>
          <w:t>www.lyxor.com</w:t>
        </w:r>
      </w:hyperlink>
      <w:r>
        <w:t xml:space="preserve">. OR </w:t>
      </w:r>
      <w:proofErr w:type="spellStart"/>
      <w:r>
        <w:t>Eychenne</w:t>
      </w:r>
      <w:proofErr w:type="spellEnd"/>
      <w:r>
        <w:t xml:space="preserve"> K. and </w:t>
      </w:r>
      <w:proofErr w:type="spellStart"/>
      <w:r>
        <w:t>Ro</w:t>
      </w:r>
      <w:r>
        <w:t>ncalli</w:t>
      </w:r>
      <w:proofErr w:type="spellEnd"/>
      <w:r>
        <w:t xml:space="preserve"> T. (2011), Strategic Asset Allocation – An Update following the Sovereign Debt Crisis, </w:t>
      </w:r>
      <w:proofErr w:type="spellStart"/>
      <w:r>
        <w:t>Lyxor</w:t>
      </w:r>
      <w:proofErr w:type="spellEnd"/>
      <w:r>
        <w:t xml:space="preserve"> Short Paper, November, </w:t>
      </w:r>
      <w:hyperlink r:id="rId7">
        <w:r>
          <w:rPr>
            <w:color w:val="1155CC"/>
            <w:u w:val="single"/>
          </w:rPr>
          <w:t>www.lyxor.com</w:t>
        </w:r>
      </w:hyperlink>
      <w:r>
        <w:rPr>
          <w:rFonts w:ascii="Arial Unicode MS" w:eastAsia="Arial Unicode MS" w:hAnsi="Arial Unicode MS" w:cs="Arial Unicode MS"/>
        </w:rPr>
        <w:t xml:space="preserve">.   → takes you to a website… doesn’t look v academic </w:t>
      </w:r>
    </w:p>
    <w:p w:rsidR="00A474DA" w:rsidRDefault="00B4053C" w:rsidP="00A474DA">
      <w:pPr>
        <w:numPr>
          <w:ilvl w:val="0"/>
          <w:numId w:val="2"/>
        </w:numPr>
        <w:contextualSpacing/>
      </w:pPr>
      <w:proofErr w:type="spellStart"/>
      <w:r w:rsidRPr="00B4053C">
        <w:rPr>
          <w:rFonts w:ascii="Palatino-Roman" w:hAnsi="Palatino-Roman" w:cs="Palatino-Roman"/>
          <w:sz w:val="20"/>
          <w:szCs w:val="20"/>
        </w:rPr>
        <w:t>Denuit</w:t>
      </w:r>
      <w:proofErr w:type="spellEnd"/>
      <w:r w:rsidRPr="00B4053C">
        <w:rPr>
          <w:rFonts w:ascii="Palatino-Roman" w:hAnsi="Palatino-Roman" w:cs="Palatino-Roman"/>
          <w:sz w:val="20"/>
          <w:szCs w:val="20"/>
        </w:rPr>
        <w:t xml:space="preserve">, M., J. </w:t>
      </w:r>
      <w:proofErr w:type="spellStart"/>
      <w:r w:rsidRPr="00B4053C">
        <w:rPr>
          <w:rFonts w:ascii="Palatino-Roman" w:hAnsi="Palatino-Roman" w:cs="Palatino-Roman"/>
          <w:sz w:val="20"/>
          <w:szCs w:val="20"/>
        </w:rPr>
        <w:t>Dhaene</w:t>
      </w:r>
      <w:proofErr w:type="spellEnd"/>
      <w:r w:rsidRPr="00B4053C">
        <w:rPr>
          <w:rFonts w:ascii="Palatino-Roman" w:hAnsi="Palatino-Roman" w:cs="Palatino-Roman"/>
          <w:sz w:val="20"/>
          <w:szCs w:val="20"/>
        </w:rPr>
        <w:t xml:space="preserve">, M. </w:t>
      </w:r>
      <w:proofErr w:type="spellStart"/>
      <w:r w:rsidRPr="00B4053C">
        <w:rPr>
          <w:rFonts w:ascii="Palatino-Roman" w:hAnsi="Palatino-Roman" w:cs="Palatino-Roman"/>
          <w:sz w:val="20"/>
          <w:szCs w:val="20"/>
        </w:rPr>
        <w:t>Goovaerts</w:t>
      </w:r>
      <w:proofErr w:type="spellEnd"/>
      <w:r w:rsidRPr="00B4053C">
        <w:rPr>
          <w:rFonts w:ascii="Palatino-Roman" w:hAnsi="Palatino-Roman" w:cs="Palatino-Roman"/>
          <w:sz w:val="20"/>
          <w:szCs w:val="20"/>
        </w:rPr>
        <w:t xml:space="preserve">, and R. </w:t>
      </w:r>
      <w:proofErr w:type="spellStart"/>
      <w:r w:rsidRPr="00B4053C">
        <w:rPr>
          <w:rFonts w:ascii="Palatino-Roman" w:hAnsi="Palatino-Roman" w:cs="Palatino-Roman"/>
          <w:sz w:val="20"/>
          <w:szCs w:val="20"/>
        </w:rPr>
        <w:t>Kaas</w:t>
      </w:r>
      <w:proofErr w:type="spellEnd"/>
      <w:r w:rsidRPr="00B4053C">
        <w:rPr>
          <w:rFonts w:ascii="Palatino-Roman" w:hAnsi="Palatino-Roman" w:cs="Palatino-Roman"/>
          <w:sz w:val="20"/>
          <w:szCs w:val="20"/>
        </w:rPr>
        <w:t xml:space="preserve">, 2005, </w:t>
      </w:r>
      <w:r w:rsidRPr="00B4053C">
        <w:rPr>
          <w:rFonts w:ascii="Palatino-Italic" w:hAnsi="Palatino-Italic" w:cs="Palatino-Italic"/>
          <w:i/>
          <w:iCs/>
          <w:sz w:val="20"/>
          <w:szCs w:val="20"/>
        </w:rPr>
        <w:t xml:space="preserve">Actuarial Theory for Dependent </w:t>
      </w:r>
      <w:r w:rsidRPr="00B4053C">
        <w:rPr>
          <w:rFonts w:ascii="Palatino-Italic" w:hAnsi="Palatino-Italic" w:cs="Palatino-Italic"/>
          <w:i/>
          <w:iCs/>
          <w:sz w:val="20"/>
          <w:szCs w:val="20"/>
        </w:rPr>
        <w:t xml:space="preserve">Risks: Measures, Orders and Models </w:t>
      </w:r>
      <w:r w:rsidRPr="00B4053C">
        <w:rPr>
          <w:rFonts w:ascii="Palatino-Roman" w:hAnsi="Palatino-Roman" w:cs="Palatino-Roman"/>
          <w:sz w:val="20"/>
          <w:szCs w:val="20"/>
        </w:rPr>
        <w:t xml:space="preserve">(Chichester: </w:t>
      </w:r>
      <w:proofErr w:type="spellStart"/>
      <w:r w:rsidRPr="00B4053C">
        <w:rPr>
          <w:rFonts w:ascii="Palatino-Roman" w:hAnsi="Palatino-Roman" w:cs="Palatino-Roman"/>
          <w:sz w:val="20"/>
          <w:szCs w:val="20"/>
        </w:rPr>
        <w:t>JohnWiley</w:t>
      </w:r>
      <w:proofErr w:type="spellEnd"/>
      <w:r w:rsidRPr="00B4053C">
        <w:rPr>
          <w:rFonts w:ascii="Palatino-Roman" w:hAnsi="Palatino-Roman" w:cs="Palatino-Roman"/>
          <w:sz w:val="20"/>
          <w:szCs w:val="20"/>
        </w:rPr>
        <w:t>).</w:t>
      </w:r>
      <w:r w:rsidR="00351726">
        <w:rPr>
          <w:rFonts w:ascii="Palatino-Roman" w:hAnsi="Palatino-Roman" w:cs="Palatino-Roman"/>
          <w:sz w:val="20"/>
          <w:szCs w:val="20"/>
        </w:rPr>
        <w:t xml:space="preserve"> </w:t>
      </w:r>
      <w:r w:rsidR="00351726" w:rsidRPr="00351726">
        <w:rPr>
          <w:rFonts w:ascii="Palatino-Roman" w:hAnsi="Palatino-Roman" w:cs="Palatino-Roman"/>
          <w:sz w:val="20"/>
          <w:szCs w:val="20"/>
        </w:rPr>
        <w:sym w:font="Wingdings" w:char="F0E0"/>
      </w:r>
      <w:r w:rsidR="00351726">
        <w:rPr>
          <w:rFonts w:ascii="Palatino-Roman" w:hAnsi="Palatino-Roman" w:cs="Palatino-Roman"/>
          <w:sz w:val="20"/>
          <w:szCs w:val="20"/>
        </w:rPr>
        <w:t xml:space="preserve"> has summary of distortion measures</w:t>
      </w:r>
    </w:p>
    <w:p w:rsidR="00A474DA" w:rsidRDefault="00A474DA" w:rsidP="00A474DA">
      <w:pPr>
        <w:numPr>
          <w:ilvl w:val="0"/>
          <w:numId w:val="2"/>
        </w:numPr>
        <w:contextualSpacing/>
      </w:pPr>
      <w:proofErr w:type="spellStart"/>
      <w:r w:rsidRPr="00A474DA">
        <w:rPr>
          <w:rFonts w:ascii="Palatino-Roman" w:hAnsi="Palatino-Roman" w:cs="Palatino-Roman"/>
          <w:sz w:val="20"/>
          <w:szCs w:val="20"/>
        </w:rPr>
        <w:t>Goovaerts</w:t>
      </w:r>
      <w:proofErr w:type="spellEnd"/>
      <w:r w:rsidRPr="00A474DA">
        <w:rPr>
          <w:rFonts w:ascii="Palatino-Roman" w:hAnsi="Palatino-Roman" w:cs="Palatino-Roman"/>
          <w:sz w:val="20"/>
          <w:szCs w:val="20"/>
        </w:rPr>
        <w:t xml:space="preserve">, M. J., R. </w:t>
      </w:r>
      <w:proofErr w:type="spellStart"/>
      <w:r w:rsidRPr="00A474DA">
        <w:rPr>
          <w:rFonts w:ascii="Palatino-Roman" w:hAnsi="Palatino-Roman" w:cs="Palatino-Roman"/>
          <w:sz w:val="20"/>
          <w:szCs w:val="20"/>
        </w:rPr>
        <w:t>Kaas</w:t>
      </w:r>
      <w:proofErr w:type="spellEnd"/>
      <w:r w:rsidRPr="00A474DA">
        <w:rPr>
          <w:rFonts w:ascii="Palatino-Roman" w:hAnsi="Palatino-Roman" w:cs="Palatino-Roman"/>
          <w:sz w:val="20"/>
          <w:szCs w:val="20"/>
        </w:rPr>
        <w:t xml:space="preserve">, and J. </w:t>
      </w:r>
      <w:proofErr w:type="spellStart"/>
      <w:r w:rsidRPr="00A474DA">
        <w:rPr>
          <w:rFonts w:ascii="Palatino-Roman" w:hAnsi="Palatino-Roman" w:cs="Palatino-Roman"/>
          <w:sz w:val="20"/>
          <w:szCs w:val="20"/>
        </w:rPr>
        <w:t>Dhaene</w:t>
      </w:r>
      <w:proofErr w:type="spellEnd"/>
      <w:r w:rsidRPr="00A474DA">
        <w:rPr>
          <w:rFonts w:ascii="Palatino-Roman" w:hAnsi="Palatino-Roman" w:cs="Palatino-Roman"/>
          <w:sz w:val="20"/>
          <w:szCs w:val="20"/>
        </w:rPr>
        <w:t>, 2003a, Economic Capital Allocation Derived</w:t>
      </w:r>
      <w:r>
        <w:t xml:space="preserve"> </w:t>
      </w:r>
      <w:r w:rsidRPr="00A474DA">
        <w:rPr>
          <w:rFonts w:ascii="Palatino-Roman" w:hAnsi="Palatino-Roman" w:cs="Palatino-Roman"/>
          <w:sz w:val="20"/>
          <w:szCs w:val="20"/>
        </w:rPr>
        <w:t xml:space="preserve">From Risk Measures, Mimeo, K. U. </w:t>
      </w:r>
      <w:proofErr w:type="spellStart"/>
      <w:r w:rsidRPr="00A474DA">
        <w:rPr>
          <w:rFonts w:ascii="Palatino-Roman" w:hAnsi="Palatino-Roman" w:cs="Palatino-Roman"/>
          <w:sz w:val="20"/>
          <w:szCs w:val="20"/>
        </w:rPr>
        <w:t>Leuven.</w:t>
      </w:r>
      <w:proofErr w:type="spellEnd"/>
    </w:p>
    <w:p w:rsidR="00A474DA" w:rsidRPr="00A474DA" w:rsidRDefault="00A474DA" w:rsidP="00A474DA">
      <w:pPr>
        <w:numPr>
          <w:ilvl w:val="0"/>
          <w:numId w:val="2"/>
        </w:numPr>
        <w:contextualSpacing/>
      </w:pPr>
      <w:proofErr w:type="spellStart"/>
      <w:r w:rsidRPr="00A474DA">
        <w:rPr>
          <w:rFonts w:ascii="Palatino-Roman" w:hAnsi="Palatino-Roman" w:cs="Palatino-Roman"/>
          <w:sz w:val="20"/>
          <w:szCs w:val="20"/>
        </w:rPr>
        <w:t>Rockafellar</w:t>
      </w:r>
      <w:proofErr w:type="spellEnd"/>
      <w:r w:rsidRPr="00A474DA">
        <w:rPr>
          <w:rFonts w:ascii="Palatino-Roman" w:hAnsi="Palatino-Roman" w:cs="Palatino-Roman"/>
          <w:sz w:val="20"/>
          <w:szCs w:val="20"/>
        </w:rPr>
        <w:t xml:space="preserve">, R. T., and S. </w:t>
      </w:r>
      <w:proofErr w:type="spellStart"/>
      <w:r w:rsidRPr="00A474DA">
        <w:rPr>
          <w:rFonts w:ascii="Palatino-Roman" w:hAnsi="Palatino-Roman" w:cs="Palatino-Roman"/>
          <w:sz w:val="20"/>
          <w:szCs w:val="20"/>
        </w:rPr>
        <w:t>Uryasev</w:t>
      </w:r>
      <w:proofErr w:type="spellEnd"/>
      <w:r w:rsidRPr="00A474DA">
        <w:rPr>
          <w:rFonts w:ascii="Palatino-Roman" w:hAnsi="Palatino-Roman" w:cs="Palatino-Roman"/>
          <w:sz w:val="20"/>
          <w:szCs w:val="20"/>
        </w:rPr>
        <w:t>, 2002, Conditional Value-At-Risk for General Loss</w:t>
      </w:r>
      <w:r>
        <w:t xml:space="preserve"> </w:t>
      </w:r>
      <w:r w:rsidRPr="00A474DA">
        <w:rPr>
          <w:rFonts w:ascii="Palatino-Roman" w:hAnsi="Palatino-Roman" w:cs="Palatino-Roman"/>
          <w:sz w:val="20"/>
          <w:szCs w:val="20"/>
        </w:rPr>
        <w:t xml:space="preserve">Distributions, </w:t>
      </w:r>
      <w:r w:rsidRPr="00A474DA">
        <w:rPr>
          <w:rFonts w:ascii="Palatino-Italic" w:hAnsi="Palatino-Italic" w:cs="Palatino-Italic"/>
          <w:i/>
          <w:iCs/>
          <w:sz w:val="20"/>
          <w:szCs w:val="20"/>
        </w:rPr>
        <w:t>Journal of Banking and Finance</w:t>
      </w:r>
      <w:r w:rsidRPr="00A474DA">
        <w:rPr>
          <w:rFonts w:ascii="Palatino-Roman" w:hAnsi="Palatino-Roman" w:cs="Palatino-Roman"/>
          <w:sz w:val="20"/>
          <w:szCs w:val="20"/>
        </w:rPr>
        <w:t>, 26: 1443-1471.</w:t>
      </w:r>
    </w:p>
    <w:p w:rsidR="000A38D4" w:rsidRPr="00A474DA" w:rsidRDefault="00A474DA" w:rsidP="00A474DA">
      <w:pPr>
        <w:numPr>
          <w:ilvl w:val="0"/>
          <w:numId w:val="2"/>
        </w:numPr>
        <w:contextualSpacing/>
      </w:pPr>
      <w:proofErr w:type="spellStart"/>
      <w:r w:rsidRPr="00A474DA">
        <w:rPr>
          <w:rFonts w:ascii="Palatino-Roman" w:hAnsi="Palatino-Roman" w:cs="Palatino-Roman"/>
          <w:sz w:val="20"/>
          <w:szCs w:val="20"/>
        </w:rPr>
        <w:t>Acerbi</w:t>
      </w:r>
      <w:proofErr w:type="spellEnd"/>
      <w:r w:rsidRPr="00A474DA">
        <w:rPr>
          <w:rFonts w:ascii="Palatino-Roman" w:hAnsi="Palatino-Roman" w:cs="Palatino-Roman"/>
          <w:sz w:val="20"/>
          <w:szCs w:val="20"/>
        </w:rPr>
        <w:t xml:space="preserve">, C., 2002, Spectral Measures of Risk: A Coherent </w:t>
      </w:r>
      <w:r w:rsidRPr="00A474DA">
        <w:rPr>
          <w:rFonts w:ascii="Palatino-Roman" w:hAnsi="Palatino-Roman" w:cs="Palatino-Roman"/>
          <w:sz w:val="20"/>
          <w:szCs w:val="20"/>
        </w:rPr>
        <w:t xml:space="preserve">Representation of </w:t>
      </w:r>
      <w:proofErr w:type="spellStart"/>
      <w:r w:rsidRPr="00A474DA">
        <w:rPr>
          <w:rFonts w:ascii="Palatino-Roman" w:hAnsi="Palatino-Roman" w:cs="Palatino-Roman"/>
          <w:sz w:val="20"/>
          <w:szCs w:val="20"/>
        </w:rPr>
        <w:t>Subjective</w:t>
      </w:r>
      <w:r w:rsidRPr="00A474DA">
        <w:rPr>
          <w:rFonts w:ascii="Palatino-Roman" w:hAnsi="Palatino-Roman" w:cs="Palatino-Roman"/>
          <w:sz w:val="20"/>
          <w:szCs w:val="20"/>
        </w:rPr>
        <w:t>Risk</w:t>
      </w:r>
      <w:proofErr w:type="spellEnd"/>
      <w:r w:rsidRPr="00A474DA">
        <w:rPr>
          <w:rFonts w:ascii="Palatino-Roman" w:hAnsi="Palatino-Roman" w:cs="Palatino-Roman"/>
          <w:sz w:val="20"/>
          <w:szCs w:val="20"/>
        </w:rPr>
        <w:t xml:space="preserve"> Aversion, </w:t>
      </w:r>
      <w:r w:rsidRPr="00A474DA">
        <w:rPr>
          <w:rFonts w:ascii="Palatino-Italic" w:hAnsi="Palatino-Italic" w:cs="Palatino-Italic"/>
          <w:i/>
          <w:iCs/>
          <w:sz w:val="20"/>
          <w:szCs w:val="20"/>
        </w:rPr>
        <w:t>Journal of Banking and Finance</w:t>
      </w:r>
      <w:r w:rsidRPr="00A474DA">
        <w:rPr>
          <w:rFonts w:ascii="Palatino-Roman" w:hAnsi="Palatino-Roman" w:cs="Palatino-Roman"/>
          <w:sz w:val="20"/>
          <w:szCs w:val="20"/>
        </w:rPr>
        <w:t>, 26: 1505-1518.</w:t>
      </w:r>
      <w:r>
        <w:rPr>
          <w:rFonts w:ascii="Palatino-Roman" w:hAnsi="Palatino-Roman" w:cs="Palatino-Roman"/>
          <w:sz w:val="20"/>
          <w:szCs w:val="20"/>
        </w:rPr>
        <w:t xml:space="preserve">  </w:t>
      </w:r>
      <w:r w:rsidRPr="00A474DA">
        <w:rPr>
          <w:rFonts w:ascii="Palatino-Roman" w:hAnsi="Palatino-Roman" w:cs="Palatino-Roman"/>
          <w:sz w:val="20"/>
          <w:szCs w:val="20"/>
        </w:rPr>
        <w:sym w:font="Wingdings" w:char="F0E0"/>
      </w:r>
      <w:r>
        <w:rPr>
          <w:rFonts w:ascii="Palatino-Roman" w:hAnsi="Palatino-Roman" w:cs="Palatino-Roman"/>
          <w:sz w:val="20"/>
          <w:szCs w:val="20"/>
        </w:rPr>
        <w:t xml:space="preserve"> have + read through</w:t>
      </w:r>
    </w:p>
    <w:p w:rsidR="00001884" w:rsidRDefault="00001884" w:rsidP="00001884">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01884">
        <w:rPr>
          <w:rFonts w:ascii="Palatino-Roman" w:hAnsi="Palatino-Roman" w:cs="Palatino-Roman"/>
          <w:sz w:val="20"/>
          <w:szCs w:val="20"/>
        </w:rPr>
        <w:t>Grootveld</w:t>
      </w:r>
      <w:proofErr w:type="spellEnd"/>
      <w:r w:rsidRPr="00001884">
        <w:rPr>
          <w:rFonts w:ascii="Palatino-Roman" w:hAnsi="Palatino-Roman" w:cs="Palatino-Roman"/>
          <w:sz w:val="20"/>
          <w:szCs w:val="20"/>
        </w:rPr>
        <w:t xml:space="preserve">, H., </w:t>
      </w:r>
      <w:proofErr w:type="spellStart"/>
      <w:r w:rsidRPr="00001884">
        <w:rPr>
          <w:rFonts w:ascii="Palatino-Roman" w:hAnsi="Palatino-Roman" w:cs="Palatino-Roman"/>
          <w:sz w:val="20"/>
          <w:szCs w:val="20"/>
        </w:rPr>
        <w:t>andW</w:t>
      </w:r>
      <w:proofErr w:type="spellEnd"/>
      <w:r w:rsidRPr="00001884">
        <w:rPr>
          <w:rFonts w:ascii="Palatino-Roman" w:hAnsi="Palatino-Roman" w:cs="Palatino-Roman"/>
          <w:sz w:val="20"/>
          <w:szCs w:val="20"/>
        </w:rPr>
        <w:t xml:space="preserve">. G. </w:t>
      </w:r>
      <w:proofErr w:type="spellStart"/>
      <w:r w:rsidRPr="00001884">
        <w:rPr>
          <w:rFonts w:ascii="Palatino-Roman" w:hAnsi="Palatino-Roman" w:cs="Palatino-Roman"/>
          <w:sz w:val="20"/>
          <w:szCs w:val="20"/>
        </w:rPr>
        <w:t>Hallerbach</w:t>
      </w:r>
      <w:proofErr w:type="spellEnd"/>
      <w:r w:rsidRPr="00001884">
        <w:rPr>
          <w:rFonts w:ascii="Palatino-Roman" w:hAnsi="Palatino-Roman" w:cs="Palatino-Roman"/>
          <w:sz w:val="20"/>
          <w:szCs w:val="20"/>
        </w:rPr>
        <w:t xml:space="preserve">, 2004, </w:t>
      </w:r>
      <w:proofErr w:type="spellStart"/>
      <w:r w:rsidRPr="00001884">
        <w:rPr>
          <w:rFonts w:ascii="Palatino-Roman" w:hAnsi="Palatino-Roman" w:cs="Palatino-Roman"/>
          <w:sz w:val="20"/>
          <w:szCs w:val="20"/>
        </w:rPr>
        <w:t>UpgradingValue</w:t>
      </w:r>
      <w:proofErr w:type="spellEnd"/>
      <w:r w:rsidRPr="00001884">
        <w:rPr>
          <w:rFonts w:ascii="Palatino-Roman" w:hAnsi="Palatino-Roman" w:cs="Palatino-Roman"/>
          <w:sz w:val="20"/>
          <w:szCs w:val="20"/>
        </w:rPr>
        <w:t xml:space="preserve">-At-Risk </w:t>
      </w:r>
      <w:proofErr w:type="spellStart"/>
      <w:r w:rsidRPr="00001884">
        <w:rPr>
          <w:rFonts w:ascii="Palatino-Roman" w:hAnsi="Palatino-Roman" w:cs="Palatino-Roman"/>
          <w:sz w:val="20"/>
          <w:szCs w:val="20"/>
        </w:rPr>
        <w:t>FromDiagnostic</w:t>
      </w:r>
      <w:proofErr w:type="spellEnd"/>
      <w:r>
        <w:rPr>
          <w:rFonts w:ascii="Palatino-Roman" w:hAnsi="Palatino-Roman" w:cs="Palatino-Roman"/>
          <w:sz w:val="20"/>
          <w:szCs w:val="20"/>
        </w:rPr>
        <w:t xml:space="preserve"> </w:t>
      </w:r>
      <w:r w:rsidRPr="00001884">
        <w:rPr>
          <w:rFonts w:ascii="Palatino-Roman" w:hAnsi="Palatino-Roman" w:cs="Palatino-Roman"/>
          <w:sz w:val="20"/>
          <w:szCs w:val="20"/>
        </w:rPr>
        <w:t xml:space="preserve">Metric to Decision Variable: </w:t>
      </w:r>
      <w:proofErr w:type="spellStart"/>
      <w:r w:rsidRPr="00001884">
        <w:rPr>
          <w:rFonts w:ascii="Palatino-Roman" w:hAnsi="Palatino-Roman" w:cs="Palatino-Roman"/>
          <w:sz w:val="20"/>
          <w:szCs w:val="20"/>
        </w:rPr>
        <w:t>AWise</w:t>
      </w:r>
      <w:proofErr w:type="spellEnd"/>
      <w:r w:rsidRPr="00001884">
        <w:rPr>
          <w:rFonts w:ascii="Palatino-Roman" w:hAnsi="Palatino-Roman" w:cs="Palatino-Roman"/>
          <w:sz w:val="20"/>
          <w:szCs w:val="20"/>
        </w:rPr>
        <w:t xml:space="preserve"> Thing to Do? </w:t>
      </w:r>
      <w:proofErr w:type="gramStart"/>
      <w:r w:rsidRPr="00001884">
        <w:rPr>
          <w:rFonts w:ascii="Palatino-Roman" w:hAnsi="Palatino-Roman" w:cs="Palatino-Roman"/>
          <w:sz w:val="20"/>
          <w:szCs w:val="20"/>
        </w:rPr>
        <w:t>in</w:t>
      </w:r>
      <w:proofErr w:type="gramEnd"/>
      <w:r w:rsidRPr="00001884">
        <w:rPr>
          <w:rFonts w:ascii="Palatino-Roman" w:hAnsi="Palatino-Roman" w:cs="Palatino-Roman"/>
          <w:sz w:val="20"/>
          <w:szCs w:val="20"/>
        </w:rPr>
        <w:t xml:space="preserve">: G. </w:t>
      </w:r>
      <w:proofErr w:type="spellStart"/>
      <w:r w:rsidRPr="00001884">
        <w:rPr>
          <w:rFonts w:ascii="Palatino-Roman" w:hAnsi="Palatino-Roman" w:cs="Palatino-Roman"/>
          <w:sz w:val="20"/>
          <w:szCs w:val="20"/>
        </w:rPr>
        <w:t>Szeg</w:t>
      </w:r>
      <w:proofErr w:type="spellEnd"/>
      <w:r w:rsidRPr="00001884">
        <w:rPr>
          <w:rFonts w:ascii="Palatino-Roman" w:hAnsi="Palatino-Roman" w:cs="Palatino-Roman"/>
          <w:sz w:val="20"/>
          <w:szCs w:val="20"/>
        </w:rPr>
        <w:t xml:space="preserve">¨ o, ed., </w:t>
      </w:r>
      <w:r w:rsidRPr="00001884">
        <w:rPr>
          <w:rFonts w:ascii="Palatino-Italic" w:hAnsi="Palatino-Italic" w:cs="Palatino-Italic"/>
          <w:i/>
          <w:iCs/>
          <w:sz w:val="20"/>
          <w:szCs w:val="20"/>
        </w:rPr>
        <w:t>Risk Measures for</w:t>
      </w:r>
      <w:r w:rsidRPr="00001884">
        <w:rPr>
          <w:rFonts w:ascii="Palatino-Italic" w:hAnsi="Palatino-Italic" w:cs="Palatino-Italic"/>
          <w:i/>
          <w:iCs/>
          <w:sz w:val="20"/>
          <w:szCs w:val="20"/>
        </w:rPr>
        <w:t xml:space="preserve"> </w:t>
      </w:r>
      <w:r w:rsidRPr="00001884">
        <w:rPr>
          <w:rFonts w:ascii="Palatino-Italic" w:hAnsi="Palatino-Italic" w:cs="Palatino-Italic"/>
          <w:i/>
          <w:iCs/>
          <w:sz w:val="20"/>
          <w:szCs w:val="20"/>
        </w:rPr>
        <w:t>the 21</w:t>
      </w:r>
      <w:r w:rsidRPr="00001884">
        <w:rPr>
          <w:rFonts w:ascii="Palatino-Italic" w:hAnsi="Palatino-Italic" w:cs="Palatino-Italic"/>
          <w:i/>
          <w:iCs/>
          <w:sz w:val="14"/>
          <w:szCs w:val="14"/>
        </w:rPr>
        <w:t xml:space="preserve">st </w:t>
      </w:r>
      <w:r w:rsidRPr="00001884">
        <w:rPr>
          <w:rFonts w:ascii="Palatino-Italic" w:hAnsi="Palatino-Italic" w:cs="Palatino-Italic"/>
          <w:i/>
          <w:iCs/>
          <w:sz w:val="20"/>
          <w:szCs w:val="20"/>
        </w:rPr>
        <w:t xml:space="preserve">Century </w:t>
      </w:r>
      <w:r w:rsidRPr="00001884">
        <w:rPr>
          <w:rFonts w:ascii="Palatino-Roman" w:hAnsi="Palatino-Roman" w:cs="Palatino-Roman"/>
          <w:sz w:val="20"/>
          <w:szCs w:val="20"/>
        </w:rPr>
        <w:t>(New York: Wiley), 33-50.</w:t>
      </w:r>
    </w:p>
    <w:p w:rsidR="00001884" w:rsidRDefault="00001884" w:rsidP="00001884">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01884">
        <w:rPr>
          <w:rFonts w:ascii="Palatino-Roman" w:hAnsi="Palatino-Roman" w:cs="Palatino-Roman"/>
          <w:sz w:val="20"/>
          <w:szCs w:val="20"/>
        </w:rPr>
        <w:t>Yaari</w:t>
      </w:r>
      <w:proofErr w:type="spellEnd"/>
      <w:r w:rsidRPr="00001884">
        <w:rPr>
          <w:rFonts w:ascii="Palatino-Roman" w:hAnsi="Palatino-Roman" w:cs="Palatino-Roman"/>
          <w:sz w:val="20"/>
          <w:szCs w:val="20"/>
        </w:rPr>
        <w:t xml:space="preserve">, M. E., 1987, </w:t>
      </w:r>
      <w:proofErr w:type="gramStart"/>
      <w:r w:rsidRPr="00001884">
        <w:rPr>
          <w:rFonts w:ascii="Palatino-Roman" w:hAnsi="Palatino-Roman" w:cs="Palatino-Roman"/>
          <w:sz w:val="20"/>
          <w:szCs w:val="20"/>
        </w:rPr>
        <w:t>The</w:t>
      </w:r>
      <w:proofErr w:type="gramEnd"/>
      <w:r w:rsidRPr="00001884">
        <w:rPr>
          <w:rFonts w:ascii="Palatino-Roman" w:hAnsi="Palatino-Roman" w:cs="Palatino-Roman"/>
          <w:sz w:val="20"/>
          <w:szCs w:val="20"/>
        </w:rPr>
        <w:t xml:space="preserve"> Dual Theory of Choice Under Risk, </w:t>
      </w:r>
      <w:proofErr w:type="spellStart"/>
      <w:r w:rsidRPr="00001884">
        <w:rPr>
          <w:rFonts w:ascii="Palatino-Italic" w:hAnsi="Palatino-Italic" w:cs="Palatino-Italic"/>
          <w:i/>
          <w:iCs/>
          <w:sz w:val="20"/>
          <w:szCs w:val="20"/>
        </w:rPr>
        <w:t>Econometrica</w:t>
      </w:r>
      <w:proofErr w:type="spellEnd"/>
      <w:r w:rsidRPr="00001884">
        <w:rPr>
          <w:rFonts w:ascii="Palatino-Roman" w:hAnsi="Palatino-Roman" w:cs="Palatino-Roman"/>
          <w:sz w:val="20"/>
          <w:szCs w:val="20"/>
        </w:rPr>
        <w:t>, 55: 95-115.</w:t>
      </w:r>
    </w:p>
    <w:p w:rsidR="002A1136" w:rsidRPr="002A1136" w:rsidRDefault="002A1136" w:rsidP="002A113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highlight w:val="yellow"/>
        </w:rPr>
      </w:pPr>
      <w:proofErr w:type="spellStart"/>
      <w:r w:rsidRPr="002A1136">
        <w:rPr>
          <w:rFonts w:ascii="Palatino-Roman" w:hAnsi="Palatino-Roman" w:cs="Palatino-Roman"/>
          <w:sz w:val="20"/>
          <w:szCs w:val="20"/>
          <w:highlight w:val="yellow"/>
        </w:rPr>
        <w:t>B¨uhlmann</w:t>
      </w:r>
      <w:proofErr w:type="spellEnd"/>
      <w:r w:rsidRPr="002A1136">
        <w:rPr>
          <w:rFonts w:ascii="Palatino-Roman" w:hAnsi="Palatino-Roman" w:cs="Palatino-Roman"/>
          <w:sz w:val="20"/>
          <w:szCs w:val="20"/>
          <w:highlight w:val="yellow"/>
        </w:rPr>
        <w:t xml:space="preserve">, H., 1970, </w:t>
      </w:r>
      <w:r w:rsidRPr="002A1136">
        <w:rPr>
          <w:rFonts w:ascii="Palatino-Italic" w:hAnsi="Palatino-Italic" w:cs="Palatino-Italic"/>
          <w:i/>
          <w:iCs/>
          <w:sz w:val="20"/>
          <w:szCs w:val="20"/>
          <w:highlight w:val="yellow"/>
        </w:rPr>
        <w:t xml:space="preserve">Mathematical Methods in Risk Theory </w:t>
      </w:r>
      <w:r w:rsidRPr="002A1136">
        <w:rPr>
          <w:rFonts w:ascii="Palatino-Roman" w:hAnsi="Palatino-Roman" w:cs="Palatino-Roman"/>
          <w:sz w:val="20"/>
          <w:szCs w:val="20"/>
          <w:highlight w:val="yellow"/>
        </w:rPr>
        <w:t>(New York: Springer-</w:t>
      </w:r>
      <w:proofErr w:type="spellStart"/>
      <w:r w:rsidRPr="002A1136">
        <w:rPr>
          <w:rFonts w:ascii="Palatino-Roman" w:hAnsi="Palatino-Roman" w:cs="Palatino-Roman"/>
          <w:sz w:val="20"/>
          <w:szCs w:val="20"/>
          <w:highlight w:val="yellow"/>
        </w:rPr>
        <w:t>Verlag</w:t>
      </w:r>
      <w:proofErr w:type="spellEnd"/>
      <w:r w:rsidRPr="002A1136">
        <w:rPr>
          <w:rFonts w:ascii="Palatino-Roman" w:hAnsi="Palatino-Roman" w:cs="Palatino-Roman"/>
          <w:sz w:val="20"/>
          <w:szCs w:val="20"/>
          <w:highlight w:val="yellow"/>
        </w:rPr>
        <w:t>).</w:t>
      </w:r>
      <w:r w:rsidRPr="002A1136">
        <w:rPr>
          <w:rFonts w:ascii="Palatino-Roman" w:hAnsi="Palatino-Roman" w:cs="Palatino-Roman"/>
          <w:sz w:val="20"/>
          <w:szCs w:val="20"/>
          <w:highlight w:val="yellow"/>
        </w:rPr>
        <w:t xml:space="preserve"> </w:t>
      </w:r>
    </w:p>
    <w:p w:rsidR="002A1136" w:rsidRPr="002A1136" w:rsidRDefault="002A1136" w:rsidP="002A113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highlight w:val="yellow"/>
        </w:rPr>
      </w:pPr>
      <w:r w:rsidRPr="002A1136">
        <w:rPr>
          <w:rFonts w:ascii="Palatino-Roman" w:hAnsi="Palatino-Roman" w:cs="Palatino-Roman"/>
          <w:sz w:val="20"/>
          <w:szCs w:val="20"/>
          <w:highlight w:val="yellow"/>
        </w:rPr>
        <w:t xml:space="preserve">Gerber, H. U., 1974, On Additive Premium Calculation Principles. </w:t>
      </w:r>
      <w:r w:rsidRPr="002A1136">
        <w:rPr>
          <w:rFonts w:ascii="Palatino-Italic" w:hAnsi="Palatino-Italic" w:cs="Palatino-Italic"/>
          <w:i/>
          <w:iCs/>
          <w:sz w:val="20"/>
          <w:szCs w:val="20"/>
          <w:highlight w:val="yellow"/>
        </w:rPr>
        <w:t>ASTIN Bulletin</w:t>
      </w:r>
      <w:r w:rsidRPr="002A1136">
        <w:rPr>
          <w:rFonts w:ascii="Palatino-Roman" w:hAnsi="Palatino-Roman" w:cs="Palatino-Roman"/>
          <w:sz w:val="20"/>
          <w:szCs w:val="20"/>
          <w:highlight w:val="yellow"/>
        </w:rPr>
        <w:t>, 7,215-222.</w:t>
      </w:r>
    </w:p>
    <w:p w:rsidR="002A1136" w:rsidRDefault="002A1136" w:rsidP="002A113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highlight w:val="yellow"/>
        </w:rPr>
      </w:pPr>
      <w:r w:rsidRPr="002A1136">
        <w:rPr>
          <w:rFonts w:ascii="Palatino-Roman" w:hAnsi="Palatino-Roman" w:cs="Palatino-Roman"/>
          <w:sz w:val="20"/>
          <w:szCs w:val="20"/>
          <w:highlight w:val="yellow"/>
        </w:rPr>
        <w:t xml:space="preserve">Gerber, H. U., and M. J. </w:t>
      </w:r>
      <w:proofErr w:type="spellStart"/>
      <w:r w:rsidRPr="002A1136">
        <w:rPr>
          <w:rFonts w:ascii="Palatino-Roman" w:hAnsi="Palatino-Roman" w:cs="Palatino-Roman"/>
          <w:sz w:val="20"/>
          <w:szCs w:val="20"/>
          <w:highlight w:val="yellow"/>
        </w:rPr>
        <w:t>Goovaerts</w:t>
      </w:r>
      <w:proofErr w:type="spellEnd"/>
      <w:r w:rsidRPr="002A1136">
        <w:rPr>
          <w:rFonts w:ascii="Palatino-Roman" w:hAnsi="Palatino-Roman" w:cs="Palatino-Roman"/>
          <w:sz w:val="20"/>
          <w:szCs w:val="20"/>
          <w:highlight w:val="yellow"/>
        </w:rPr>
        <w:t>, 1981, On the Representation of Additive Principles</w:t>
      </w:r>
      <w:r w:rsidRPr="002A1136">
        <w:rPr>
          <w:rFonts w:ascii="Palatino-Roman" w:hAnsi="Palatino-Roman" w:cs="Palatino-Roman"/>
          <w:sz w:val="20"/>
          <w:szCs w:val="20"/>
          <w:highlight w:val="yellow"/>
        </w:rPr>
        <w:t xml:space="preserve"> </w:t>
      </w:r>
      <w:r w:rsidRPr="002A1136">
        <w:rPr>
          <w:rFonts w:ascii="Palatino-Roman" w:hAnsi="Palatino-Roman" w:cs="Palatino-Roman"/>
          <w:sz w:val="20"/>
          <w:szCs w:val="20"/>
          <w:highlight w:val="yellow"/>
        </w:rPr>
        <w:t xml:space="preserve">of Premium Calculation. </w:t>
      </w:r>
      <w:r w:rsidRPr="002A1136">
        <w:rPr>
          <w:rFonts w:ascii="Palatino-Italic" w:hAnsi="Palatino-Italic" w:cs="Palatino-Italic"/>
          <w:i/>
          <w:iCs/>
          <w:sz w:val="20"/>
          <w:szCs w:val="20"/>
          <w:highlight w:val="yellow"/>
        </w:rPr>
        <w:t>Scandinavian Actuarial Journal</w:t>
      </w:r>
      <w:r w:rsidRPr="002A1136">
        <w:rPr>
          <w:rFonts w:ascii="Palatino-Roman" w:hAnsi="Palatino-Roman" w:cs="Palatino-Roman"/>
          <w:sz w:val="20"/>
          <w:szCs w:val="20"/>
          <w:highlight w:val="yellow"/>
        </w:rPr>
        <w:t>, 4, 221-227.</w:t>
      </w:r>
    </w:p>
    <w:p w:rsidR="002A1136" w:rsidRDefault="002A1136" w:rsidP="002A113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highlight w:val="yellow"/>
        </w:rPr>
      </w:pPr>
      <w:proofErr w:type="spellStart"/>
      <w:r w:rsidRPr="002A1136">
        <w:rPr>
          <w:rFonts w:ascii="Palatino-Roman" w:hAnsi="Palatino-Roman" w:cs="Palatino-Roman"/>
          <w:sz w:val="20"/>
          <w:szCs w:val="20"/>
          <w:highlight w:val="yellow"/>
        </w:rPr>
        <w:t>Goovaerts</w:t>
      </w:r>
      <w:proofErr w:type="spellEnd"/>
      <w:r w:rsidRPr="002A1136">
        <w:rPr>
          <w:rFonts w:ascii="Palatino-Roman" w:hAnsi="Palatino-Roman" w:cs="Palatino-Roman"/>
          <w:sz w:val="20"/>
          <w:szCs w:val="20"/>
          <w:highlight w:val="yellow"/>
        </w:rPr>
        <w:t xml:space="preserve">, M. J., F. De </w:t>
      </w:r>
      <w:proofErr w:type="spellStart"/>
      <w:r w:rsidRPr="002A1136">
        <w:rPr>
          <w:rFonts w:ascii="Palatino-Roman" w:hAnsi="Palatino-Roman" w:cs="Palatino-Roman"/>
          <w:sz w:val="20"/>
          <w:szCs w:val="20"/>
          <w:highlight w:val="yellow"/>
        </w:rPr>
        <w:t>Vijlder</w:t>
      </w:r>
      <w:proofErr w:type="spellEnd"/>
      <w:r w:rsidRPr="002A1136">
        <w:rPr>
          <w:rFonts w:ascii="Palatino-Roman" w:hAnsi="Palatino-Roman" w:cs="Palatino-Roman"/>
          <w:sz w:val="20"/>
          <w:szCs w:val="20"/>
          <w:highlight w:val="yellow"/>
        </w:rPr>
        <w:t xml:space="preserve">, and J. </w:t>
      </w:r>
      <w:proofErr w:type="spellStart"/>
      <w:r w:rsidRPr="002A1136">
        <w:rPr>
          <w:rFonts w:ascii="Palatino-Roman" w:hAnsi="Palatino-Roman" w:cs="Palatino-Roman"/>
          <w:sz w:val="20"/>
          <w:szCs w:val="20"/>
          <w:highlight w:val="yellow"/>
        </w:rPr>
        <w:t>Haezondonck</w:t>
      </w:r>
      <w:proofErr w:type="spellEnd"/>
      <w:r w:rsidRPr="002A1136">
        <w:rPr>
          <w:rFonts w:ascii="Palatino-Roman" w:hAnsi="Palatino-Roman" w:cs="Palatino-Roman"/>
          <w:sz w:val="20"/>
          <w:szCs w:val="20"/>
          <w:highlight w:val="yellow"/>
        </w:rPr>
        <w:t xml:space="preserve">, 1984, </w:t>
      </w:r>
      <w:r w:rsidRPr="002A1136">
        <w:rPr>
          <w:rFonts w:ascii="Palatino-Italic" w:hAnsi="Palatino-Italic" w:cs="Palatino-Italic"/>
          <w:i/>
          <w:iCs/>
          <w:sz w:val="20"/>
          <w:szCs w:val="20"/>
          <w:highlight w:val="yellow"/>
        </w:rPr>
        <w:t>Insurance Premiums</w:t>
      </w:r>
      <w:r w:rsidRPr="002A1136">
        <w:rPr>
          <w:rFonts w:ascii="Palatino-Roman" w:hAnsi="Palatino-Roman" w:cs="Palatino-Roman"/>
          <w:sz w:val="20"/>
          <w:szCs w:val="20"/>
          <w:highlight w:val="yellow"/>
        </w:rPr>
        <w:t>. Amsterdam:</w:t>
      </w:r>
      <w:r w:rsidRPr="002A1136">
        <w:rPr>
          <w:rFonts w:ascii="Palatino-Roman" w:hAnsi="Palatino-Roman" w:cs="Palatino-Roman"/>
          <w:sz w:val="20"/>
          <w:szCs w:val="20"/>
          <w:highlight w:val="yellow"/>
        </w:rPr>
        <w:t xml:space="preserve"> </w:t>
      </w:r>
      <w:r w:rsidRPr="002A1136">
        <w:rPr>
          <w:rFonts w:ascii="Palatino-Roman" w:hAnsi="Palatino-Roman" w:cs="Palatino-Roman"/>
          <w:sz w:val="20"/>
          <w:szCs w:val="20"/>
          <w:highlight w:val="yellow"/>
        </w:rPr>
        <w:t>North Holland Publishing.</w:t>
      </w:r>
    </w:p>
    <w:p w:rsidR="002A1136" w:rsidRDefault="006C6189" w:rsidP="006C618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r w:rsidRPr="006C6189">
        <w:rPr>
          <w:rFonts w:ascii="Palatino-Roman" w:hAnsi="Palatino-Roman" w:cs="Palatino-Roman"/>
          <w:sz w:val="20"/>
          <w:szCs w:val="20"/>
        </w:rPr>
        <w:t xml:space="preserve">Fischer, T., 2003, Risk Capital Allocation by Coherent Risk Measures Based on One-Sided Moments, </w:t>
      </w:r>
      <w:r w:rsidRPr="006C6189">
        <w:rPr>
          <w:rFonts w:ascii="Palatino-Italic" w:hAnsi="Palatino-Italic" w:cs="Palatino-Italic"/>
          <w:i/>
          <w:iCs/>
          <w:sz w:val="20"/>
          <w:szCs w:val="20"/>
        </w:rPr>
        <w:t>Insurance: Mathematics and Economics</w:t>
      </w:r>
      <w:r w:rsidRPr="006C6189">
        <w:rPr>
          <w:rFonts w:ascii="Palatino-Roman" w:hAnsi="Palatino-Roman" w:cs="Palatino-Roman"/>
          <w:sz w:val="20"/>
          <w:szCs w:val="20"/>
        </w:rPr>
        <w:t>, 32: 135-146.</w:t>
      </w:r>
    </w:p>
    <w:p w:rsidR="006C6189" w:rsidRPr="006C6189" w:rsidRDefault="006C6189" w:rsidP="006C618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2A1136" w:rsidRPr="002A1136" w:rsidRDefault="002A1136" w:rsidP="002A11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highlight w:val="yellow"/>
        </w:rPr>
      </w:pPr>
    </w:p>
    <w:p w:rsidR="002A1136" w:rsidRPr="002A1136" w:rsidRDefault="002A1136" w:rsidP="002A11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Pr="00A474DA" w:rsidRDefault="00A474DA" w:rsidP="00A474DA">
      <w:pPr>
        <w:contextualSpacing/>
      </w:pPr>
    </w:p>
    <w:p w:rsidR="000A38D4" w:rsidRDefault="00E204C7">
      <w:pPr>
        <w:jc w:val="center"/>
        <w:rPr>
          <w:u w:val="single"/>
        </w:rPr>
      </w:pPr>
      <w:r>
        <w:rPr>
          <w:u w:val="single"/>
        </w:rPr>
        <w:t xml:space="preserve">Managing Risk Exposures </w:t>
      </w:r>
      <w:r>
        <w:rPr>
          <w:u w:val="single"/>
        </w:rPr>
        <w:t>using the Risk Budgeting Approach:</w:t>
      </w:r>
    </w:p>
    <w:p w:rsidR="000A38D4" w:rsidRDefault="00E204C7">
      <w:pPr>
        <w:numPr>
          <w:ilvl w:val="0"/>
          <w:numId w:val="3"/>
        </w:numPr>
        <w:contextualSpacing/>
      </w:pPr>
      <w:r>
        <w:t>“The ongoing economic crisis has profoundly changed the industry of asset management by putting risk management at the heart of most investment processes. This new risk-based investment style does not rely on return forec</w:t>
      </w:r>
      <w:r>
        <w:t>asts and is therefore assumed to be more robust.”</w:t>
      </w:r>
    </w:p>
    <w:p w:rsidR="000A38D4" w:rsidRDefault="00E204C7">
      <w:pPr>
        <w:numPr>
          <w:ilvl w:val="0"/>
          <w:numId w:val="3"/>
        </w:numPr>
        <w:contextualSpacing/>
      </w:pPr>
      <w:r>
        <w:t>“</w:t>
      </w:r>
      <w:proofErr w:type="gramStart"/>
      <w:r>
        <w:t>risk</w:t>
      </w:r>
      <w:proofErr w:type="gramEnd"/>
      <w:r>
        <w:t xml:space="preserve"> budgeting approach”: “minimum variance, ERC or risk parity strategies.”</w:t>
      </w:r>
    </w:p>
    <w:p w:rsidR="000A38D4" w:rsidRDefault="00E204C7">
      <w:pPr>
        <w:numPr>
          <w:ilvl w:val="0"/>
          <w:numId w:val="3"/>
        </w:numPr>
        <w:contextualSpacing/>
      </w:pPr>
      <w:r>
        <w:t>“Mean-variance optimization, however, generally leads to portfolios concentrated in terms of weights. Slight differences in inpu</w:t>
      </w:r>
      <w:r>
        <w:t>ts can lead to dramatic changes in allocations and create portfolios heavily invested on very few assets. There is also confusion between optimizing the volatility and optimizing the risk diversification that could be naively described by the general “don’</w:t>
      </w:r>
      <w:r>
        <w:t>t put all your eggs in one basket” concept.”</w:t>
      </w:r>
    </w:p>
    <w:p w:rsidR="000A38D4" w:rsidRDefault="00E204C7">
      <w:pPr>
        <w:numPr>
          <w:ilvl w:val="0"/>
          <w:numId w:val="3"/>
        </w:numPr>
        <w:contextualSpacing/>
      </w:pPr>
      <w:r>
        <w:t xml:space="preserve">“Like the ERC portfolio, the risk budgeting approach is </w:t>
      </w:r>
      <w:proofErr w:type="gramStart"/>
      <w:r>
        <w:t>an</w:t>
      </w:r>
      <w:proofErr w:type="gramEnd"/>
      <w:r>
        <w:t xml:space="preserve"> heuristic asset allocation method.”</w:t>
      </w:r>
    </w:p>
    <w:p w:rsidR="000A38D4" w:rsidRDefault="00E204C7">
      <w:pPr>
        <w:numPr>
          <w:ilvl w:val="0"/>
          <w:numId w:val="3"/>
        </w:numPr>
        <w:contextualSpacing/>
      </w:pPr>
      <w:r>
        <w:t>“</w:t>
      </w:r>
      <w:proofErr w:type="gramStart"/>
      <w:r>
        <w:t>a</w:t>
      </w:r>
      <w:proofErr w:type="gramEnd"/>
      <w:r>
        <w:t xml:space="preserve"> dynamic strategy based on MVO portfolios will generate a higher turnover than a dynamic strategy based on RB portfolios.”</w:t>
      </w:r>
    </w:p>
    <w:p w:rsidR="000A38D4" w:rsidRDefault="00E204C7">
      <w:pPr>
        <w:numPr>
          <w:ilvl w:val="0"/>
          <w:numId w:val="3"/>
        </w:numPr>
        <w:contextualSpacing/>
      </w:pPr>
      <w:r>
        <w:t>This paper: “present four main applications of the risk budgeting approach. They concern risk parity funds, strategic asset allocat</w:t>
      </w:r>
      <w:r>
        <w:t>ion, equity indexes and sovereign bonds benchmarks.”</w:t>
      </w:r>
    </w:p>
    <w:p w:rsidR="00B4053C" w:rsidRDefault="00B4053C" w:rsidP="00B4053C">
      <w:pPr>
        <w:contextualSpacing/>
      </w:pPr>
    </w:p>
    <w:p w:rsidR="00B4053C" w:rsidRPr="00B4053C" w:rsidRDefault="00B4053C" w:rsidP="00B4053C">
      <w:pPr>
        <w:contextualSpacing/>
        <w:jc w:val="center"/>
        <w:rPr>
          <w:u w:val="single"/>
        </w:rPr>
      </w:pPr>
      <w:r w:rsidRPr="00B4053C">
        <w:rPr>
          <w:u w:val="single"/>
        </w:rPr>
        <w:t>AFTER VAR: THE THEORY, ESTIMATION,</w:t>
      </w:r>
    </w:p>
    <w:p w:rsidR="00B4053C" w:rsidRPr="00B4053C" w:rsidRDefault="00B4053C" w:rsidP="00B4053C">
      <w:pPr>
        <w:contextualSpacing/>
        <w:jc w:val="center"/>
        <w:rPr>
          <w:u w:val="single"/>
        </w:rPr>
      </w:pPr>
      <w:r w:rsidRPr="00B4053C">
        <w:rPr>
          <w:u w:val="single"/>
        </w:rPr>
        <w:t>AND INSURANCE APPLICATIONS OF QUANTILE-BASED</w:t>
      </w:r>
    </w:p>
    <w:p w:rsidR="00B4053C" w:rsidRDefault="00B4053C" w:rsidP="00B4053C">
      <w:pPr>
        <w:contextualSpacing/>
        <w:jc w:val="center"/>
        <w:rPr>
          <w:u w:val="single"/>
        </w:rPr>
      </w:pPr>
      <w:r w:rsidRPr="00B4053C">
        <w:rPr>
          <w:u w:val="single"/>
        </w:rPr>
        <w:t>RISK MEASURES</w:t>
      </w:r>
      <w:r>
        <w:rPr>
          <w:u w:val="single"/>
        </w:rPr>
        <w:t>:</w:t>
      </w:r>
    </w:p>
    <w:p w:rsidR="00B4053C" w:rsidRDefault="00B4053C" w:rsidP="00B4053C">
      <w:pPr>
        <w:pStyle w:val="ListParagraph"/>
        <w:numPr>
          <w:ilvl w:val="0"/>
          <w:numId w:val="4"/>
        </w:numPr>
      </w:pPr>
      <w:r>
        <w:t>“</w:t>
      </w:r>
      <w:proofErr w:type="gramStart"/>
      <w:r w:rsidRPr="00B4053C">
        <w:t>the</w:t>
      </w:r>
      <w:proofErr w:type="gramEnd"/>
      <w:r w:rsidRPr="00B4053C">
        <w:t xml:space="preserve"> </w:t>
      </w:r>
      <w:proofErr w:type="spellStart"/>
      <w:r w:rsidRPr="00B4053C">
        <w:t>VaR</w:t>
      </w:r>
      <w:proofErr w:type="spellEnd"/>
      <w:r w:rsidRPr="00B4053C">
        <w:t xml:space="preserve"> is seriously flawed.</w:t>
      </w:r>
      <w:r>
        <w:t>”</w:t>
      </w:r>
    </w:p>
    <w:p w:rsidR="00B4053C" w:rsidRDefault="00B4053C" w:rsidP="00B4053C">
      <w:pPr>
        <w:pStyle w:val="ListParagraph"/>
        <w:numPr>
          <w:ilvl w:val="0"/>
          <w:numId w:val="4"/>
        </w:numPr>
      </w:pPr>
      <w:r>
        <w:t>“</w:t>
      </w:r>
      <w:r>
        <w:t>(1) There are many QBRMs that have respectable properties and are demon-</w:t>
      </w:r>
      <w:proofErr w:type="spellStart"/>
      <w:r>
        <w:t>strably</w:t>
      </w:r>
      <w:proofErr w:type="spellEnd"/>
      <w:r>
        <w:t xml:space="preserve"> superior to the </w:t>
      </w:r>
      <w:proofErr w:type="spellStart"/>
      <w:r>
        <w:t>VaR</w:t>
      </w:r>
      <w:proofErr w:type="spellEnd"/>
      <w:r>
        <w:t>, but the choice of “best” risk measure(s) is a subjective one</w:t>
      </w:r>
      <w:r>
        <w:t xml:space="preserve"> </w:t>
      </w:r>
      <w:r>
        <w:t>that can also depend on the context. (2)</w:t>
      </w:r>
      <w:r>
        <w:t>”</w:t>
      </w:r>
    </w:p>
    <w:p w:rsidR="00B4053C" w:rsidRDefault="00B4053C" w:rsidP="00B4053C">
      <w:pPr>
        <w:pStyle w:val="ListParagraph"/>
        <w:numPr>
          <w:ilvl w:val="0"/>
          <w:numId w:val="4"/>
        </w:numPr>
      </w:pPr>
      <w:r>
        <w:t>“</w:t>
      </w:r>
      <w:proofErr w:type="gramStart"/>
      <w:r>
        <w:t>that</w:t>
      </w:r>
      <w:proofErr w:type="gramEnd"/>
      <w:r>
        <w:t xml:space="preserve"> it should be relatively straightforward for institutions to upgrade from</w:t>
      </w:r>
      <w:r>
        <w:t xml:space="preserve"> </w:t>
      </w:r>
      <w:proofErr w:type="spellStart"/>
      <w:r>
        <w:t>VaR</w:t>
      </w:r>
      <w:proofErr w:type="spellEnd"/>
      <w:r>
        <w:t xml:space="preserve"> to more sophisticated risk measures.</w:t>
      </w:r>
      <w:r>
        <w:t>”</w:t>
      </w:r>
    </w:p>
    <w:p w:rsidR="00B4053C" w:rsidRDefault="00B4053C" w:rsidP="00B4053C">
      <w:pPr>
        <w:pStyle w:val="ListParagraph"/>
        <w:numPr>
          <w:ilvl w:val="0"/>
          <w:numId w:val="4"/>
        </w:numPr>
      </w:pPr>
      <w:r>
        <w:t>“</w:t>
      </w:r>
      <w:r>
        <w:t>A good case in point here is the slowness with which axiomatic theories</w:t>
      </w:r>
      <w:r>
        <w:t xml:space="preserve"> </w:t>
      </w:r>
      <w:r>
        <w:t>of financial risk measurement—of which the theory of coherent risk measures is the most</w:t>
      </w:r>
      <w:r>
        <w:t xml:space="preserve"> </w:t>
      </w:r>
      <w:r>
        <w:t>notable example—have been accepted across the FRM community, despite highly persuasive</w:t>
      </w:r>
      <w:r>
        <w:t xml:space="preserve"> </w:t>
      </w:r>
      <w:r>
        <w:t xml:space="preserve">arguments that coherent measures are superior to the </w:t>
      </w:r>
      <w:proofErr w:type="spellStart"/>
      <w:r>
        <w:t>VaR.</w:t>
      </w:r>
      <w:proofErr w:type="spellEnd"/>
      <w:r>
        <w:t>”</w:t>
      </w:r>
    </w:p>
    <w:p w:rsidR="00B4053C" w:rsidRDefault="00B4053C" w:rsidP="00B4053C">
      <w:pPr>
        <w:pStyle w:val="ListParagraph"/>
        <w:numPr>
          <w:ilvl w:val="0"/>
          <w:numId w:val="4"/>
        </w:numPr>
      </w:pPr>
      <w:r>
        <w:t>”</w:t>
      </w:r>
      <w:r w:rsidRPr="00B4053C">
        <w:t xml:space="preserve"> </w:t>
      </w:r>
      <w:r>
        <w:t xml:space="preserve">The </w:t>
      </w:r>
      <w:proofErr w:type="spellStart"/>
      <w:r>
        <w:t>VaR</w:t>
      </w:r>
      <w:proofErr w:type="spellEnd"/>
      <w:r>
        <w:t xml:space="preserve"> provides a common measure of risk across different positions and risk</w:t>
      </w:r>
      <w:r>
        <w:t xml:space="preserve"> </w:t>
      </w:r>
      <w:r>
        <w:t>factors. It can be applied to any type of portfolio, and enables us to compare the</w:t>
      </w:r>
      <w:r>
        <w:t xml:space="preserve"> </w:t>
      </w:r>
      <w:r>
        <w:t>risks across different (e.g., fixed-income and equity) portfolios. Traditional methods</w:t>
      </w:r>
      <w:r>
        <w:t xml:space="preserve"> </w:t>
      </w:r>
      <w:r>
        <w:t>are more limited: duration measures apply only to fixed-income positions, Greek</w:t>
      </w:r>
      <w:r>
        <w:t xml:space="preserve"> </w:t>
      </w:r>
      <w:r>
        <w:t xml:space="preserve">measures apply only to derivatives positions, </w:t>
      </w:r>
      <w:proofErr w:type="gramStart"/>
      <w:r>
        <w:t>portfolio</w:t>
      </w:r>
      <w:proofErr w:type="gramEnd"/>
      <w:r>
        <w:t>-theory measures apply only</w:t>
      </w:r>
      <w:r>
        <w:t xml:space="preserve"> </w:t>
      </w:r>
      <w:r>
        <w:t>to equity and similar (e.g., commodity) positions, and so forth.</w:t>
      </w:r>
      <w:r>
        <w:t>”</w:t>
      </w:r>
    </w:p>
    <w:p w:rsidR="00B4053C" w:rsidRDefault="00B4053C" w:rsidP="00B4053C">
      <w:pPr>
        <w:pStyle w:val="ListParagraph"/>
        <w:numPr>
          <w:ilvl w:val="0"/>
          <w:numId w:val="4"/>
        </w:numPr>
      </w:pPr>
      <w:r>
        <w:t>“</w:t>
      </w:r>
      <w:proofErr w:type="spellStart"/>
      <w:r>
        <w:t>VaR</w:t>
      </w:r>
      <w:proofErr w:type="spellEnd"/>
      <w:r>
        <w:t xml:space="preserve"> enables us to </w:t>
      </w:r>
      <w:proofErr w:type="spellStart"/>
      <w:r>
        <w:t>aggregatethe</w:t>
      </w:r>
      <w:proofErr w:type="spellEnd"/>
      <w:r>
        <w:t xml:space="preserve"> risks of positions tak</w:t>
      </w:r>
      <w:r>
        <w:t xml:space="preserve">ing account of the ways in which </w:t>
      </w:r>
      <w:r>
        <w:t>risk factors correlate with each other, whereas most traditional risk measures do</w:t>
      </w:r>
      <w:r>
        <w:t xml:space="preserve"> </w:t>
      </w:r>
      <w:r>
        <w:t>not allow for the “sensible” aggregation of component risks.</w:t>
      </w:r>
      <w:r>
        <w:t>”</w:t>
      </w:r>
    </w:p>
    <w:p w:rsidR="00B4053C" w:rsidRDefault="00B4053C" w:rsidP="00B4053C">
      <w:pPr>
        <w:pStyle w:val="ListParagraph"/>
        <w:numPr>
          <w:ilvl w:val="0"/>
          <w:numId w:val="4"/>
        </w:numPr>
      </w:pPr>
      <w:r>
        <w:t>“</w:t>
      </w:r>
      <w:r>
        <w:t xml:space="preserve">  </w:t>
      </w:r>
      <w:proofErr w:type="spellStart"/>
      <w:r>
        <w:t>VaR</w:t>
      </w:r>
      <w:proofErr w:type="spellEnd"/>
      <w:r>
        <w:t xml:space="preserve"> is holistic in that it takes full account of all driving risk factors, whereas many</w:t>
      </w:r>
      <w:r>
        <w:t xml:space="preserve"> </w:t>
      </w:r>
      <w:r>
        <w:t>traditional measures only look at risk factors one at a time (e.g., Greek measures) or</w:t>
      </w:r>
      <w:r>
        <w:t xml:space="preserve"> </w:t>
      </w:r>
      <w:r>
        <w:lastRenderedPageBreak/>
        <w:t>resort to simplifications that collapse multiple risk f</w:t>
      </w:r>
      <w:r>
        <w:t>actors into one (e.g., duration-</w:t>
      </w:r>
      <w:r>
        <w:t>convexity and CAPM (Capital Asset Pricing Model) measures).</w:t>
      </w:r>
      <w:r>
        <w:t>”</w:t>
      </w:r>
    </w:p>
    <w:p w:rsidR="00B4053C" w:rsidRDefault="00B4053C" w:rsidP="00B4053C">
      <w:pPr>
        <w:pStyle w:val="ListParagraph"/>
        <w:numPr>
          <w:ilvl w:val="0"/>
          <w:numId w:val="4"/>
        </w:numPr>
      </w:pPr>
      <w:r>
        <w:t>“</w:t>
      </w:r>
      <w:proofErr w:type="spellStart"/>
      <w:r>
        <w:t>VaR</w:t>
      </w:r>
      <w:proofErr w:type="spellEnd"/>
      <w:r>
        <w:t xml:space="preserve"> is also holistic</w:t>
      </w:r>
      <w:r>
        <w:t xml:space="preserve"> </w:t>
      </w:r>
      <w:r>
        <w:t>in that it focuses assessment on a complete portfolio, and not just on individual</w:t>
      </w:r>
      <w:r>
        <w:t xml:space="preserve"> </w:t>
      </w:r>
      <w:r>
        <w:t>positions in it.</w:t>
      </w:r>
      <w:r>
        <w:t>”</w:t>
      </w:r>
    </w:p>
    <w:p w:rsidR="00B4053C" w:rsidRDefault="00B4053C" w:rsidP="00B4053C">
      <w:pPr>
        <w:pStyle w:val="ListParagraph"/>
        <w:numPr>
          <w:ilvl w:val="0"/>
          <w:numId w:val="4"/>
        </w:numPr>
      </w:pPr>
      <w:proofErr w:type="gramStart"/>
      <w:r>
        <w:t xml:space="preserve">“ </w:t>
      </w:r>
      <w:proofErr w:type="spellStart"/>
      <w:r>
        <w:t>VaR</w:t>
      </w:r>
      <w:proofErr w:type="spellEnd"/>
      <w:proofErr w:type="gramEnd"/>
      <w:r>
        <w:t xml:space="preserve"> is probabilistic, and gives a risk manager useful information on the probabilities</w:t>
      </w:r>
      <w:r>
        <w:t xml:space="preserve"> </w:t>
      </w:r>
      <w:r>
        <w:t>associated with specified loss amounts. Many traditional measures (e.</w:t>
      </w:r>
      <w:r>
        <w:t xml:space="preserve">g., duration, </w:t>
      </w:r>
      <w:r>
        <w:t xml:space="preserve">Greeks, etc.) only give answers to “what if?” questions and do not give an </w:t>
      </w:r>
      <w:r>
        <w:t xml:space="preserve">indication </w:t>
      </w:r>
      <w:r>
        <w:t>of loss likelihoods.</w:t>
      </w:r>
      <w:r>
        <w:t>”</w:t>
      </w:r>
    </w:p>
    <w:p w:rsidR="00B4053C" w:rsidRDefault="00B4053C" w:rsidP="00B4053C">
      <w:pPr>
        <w:pStyle w:val="ListParagraph"/>
        <w:numPr>
          <w:ilvl w:val="0"/>
          <w:numId w:val="4"/>
        </w:numPr>
      </w:pPr>
      <w:r>
        <w:t xml:space="preserve"> “</w:t>
      </w:r>
      <w:proofErr w:type="spellStart"/>
      <w:r>
        <w:t>VaR</w:t>
      </w:r>
      <w:proofErr w:type="spellEnd"/>
      <w:r>
        <w:t xml:space="preserve"> is expressed in the simplest and most easily understood unit of measure, namely,</w:t>
      </w:r>
      <w:r>
        <w:t xml:space="preserve"> </w:t>
      </w:r>
      <w:r>
        <w:t>“lost money.” Many other measures are expressed in less transparent units (e.g.,</w:t>
      </w:r>
      <w:r>
        <w:t xml:space="preserve"> </w:t>
      </w:r>
      <w:r>
        <w:t xml:space="preserve">average period to </w:t>
      </w:r>
      <w:proofErr w:type="spellStart"/>
      <w:r>
        <w:t>cashflow</w:t>
      </w:r>
      <w:proofErr w:type="spellEnd"/>
      <w:r>
        <w:t>, etc.).</w:t>
      </w:r>
      <w:r>
        <w:t>”</w:t>
      </w:r>
    </w:p>
    <w:p w:rsidR="00B4053C" w:rsidRDefault="0037433F" w:rsidP="0037433F">
      <w:pPr>
        <w:pStyle w:val="ListParagraph"/>
        <w:numPr>
          <w:ilvl w:val="0"/>
          <w:numId w:val="4"/>
        </w:numPr>
      </w:pPr>
      <w:r>
        <w:t>“</w:t>
      </w:r>
      <w:proofErr w:type="spellStart"/>
      <w:r w:rsidRPr="0037433F">
        <w:t>VaR</w:t>
      </w:r>
      <w:proofErr w:type="spellEnd"/>
      <w:r w:rsidRPr="0037433F">
        <w:t xml:space="preserve"> also suffers from some serious limitations.</w:t>
      </w:r>
      <w:r>
        <w:t>”</w:t>
      </w:r>
    </w:p>
    <w:p w:rsidR="0037433F" w:rsidRDefault="0037433F" w:rsidP="0037433F">
      <w:pPr>
        <w:pStyle w:val="ListParagraph"/>
        <w:numPr>
          <w:ilvl w:val="0"/>
          <w:numId w:val="4"/>
        </w:numPr>
      </w:pPr>
      <w:r>
        <w:t>“</w:t>
      </w:r>
      <w:r>
        <w:t>One limitation is that the</w:t>
      </w:r>
      <w:r>
        <w:t xml:space="preserve"> </w:t>
      </w:r>
      <w:proofErr w:type="spellStart"/>
      <w:r>
        <w:t>VaR</w:t>
      </w:r>
      <w:proofErr w:type="spellEnd"/>
      <w:r>
        <w:t xml:space="preserve"> only tells us the most we can lose in good states where a tail event does not occur;</w:t>
      </w:r>
      <w:r>
        <w:t xml:space="preserve"> </w:t>
      </w:r>
      <w:r>
        <w:t>it tells us nothing about what we can lose in “bad” states where a tail event does occur</w:t>
      </w:r>
      <w:r>
        <w:t xml:space="preserve"> </w:t>
      </w:r>
      <w:r>
        <w:t xml:space="preserve">(i.e., where we make a loss in excess of the </w:t>
      </w:r>
      <w:proofErr w:type="spellStart"/>
      <w:r>
        <w:t>VaR</w:t>
      </w:r>
      <w:proofErr w:type="spellEnd"/>
      <w:r>
        <w:t xml:space="preserve">). </w:t>
      </w:r>
      <w:proofErr w:type="spellStart"/>
      <w:r>
        <w:t>VaR’s</w:t>
      </w:r>
      <w:proofErr w:type="spellEnd"/>
      <w:r>
        <w:t xml:space="preserve"> failure to consider tail losses can</w:t>
      </w:r>
      <w:r>
        <w:t xml:space="preserve"> </w:t>
      </w:r>
      <w:r>
        <w:t>then create some perverse outcomes. For instance, if a prospective investment has a</w:t>
      </w:r>
      <w:r>
        <w:t xml:space="preserve"> </w:t>
      </w:r>
      <w:r>
        <w:t xml:space="preserve">high expected return but also involves the possibility of a very high loss, a </w:t>
      </w:r>
      <w:proofErr w:type="spellStart"/>
      <w:r>
        <w:t>VaR</w:t>
      </w:r>
      <w:proofErr w:type="spellEnd"/>
      <w:r>
        <w:t>-based</w:t>
      </w:r>
      <w:r>
        <w:t xml:space="preserve"> </w:t>
      </w:r>
      <w:r>
        <w:t>decision calculus might suggest that the investor should go ahead with the investment</w:t>
      </w:r>
      <w:r>
        <w:t xml:space="preserve"> </w:t>
      </w:r>
      <w:r>
        <w:t xml:space="preserve">if the higher loss does not affect the </w:t>
      </w:r>
      <w:proofErr w:type="spellStart"/>
      <w:r>
        <w:t>VaR</w:t>
      </w:r>
      <w:proofErr w:type="spellEnd"/>
      <w:r>
        <w:t xml:space="preserve">, regardless of </w:t>
      </w:r>
      <w:r>
        <w:t xml:space="preserve">the sizes of the higher expected </w:t>
      </w:r>
      <w:r>
        <w:t>return and possible higher losses. This undermines “sensible” risk-return analysis,</w:t>
      </w:r>
      <w:r>
        <w:t xml:space="preserve"> </w:t>
      </w:r>
      <w:r>
        <w:t>and can leave the investor exposed to very high losses.</w:t>
      </w:r>
      <w:r>
        <w:t>”</w:t>
      </w:r>
    </w:p>
    <w:p w:rsidR="0037433F" w:rsidRDefault="0037433F" w:rsidP="0037433F">
      <w:pPr>
        <w:pStyle w:val="ListParagraph"/>
        <w:numPr>
          <w:ilvl w:val="0"/>
          <w:numId w:val="4"/>
        </w:numPr>
      </w:pPr>
      <w:r>
        <w:t>“</w:t>
      </w:r>
      <w:r>
        <w:t xml:space="preserve">The </w:t>
      </w:r>
      <w:proofErr w:type="spellStart"/>
      <w:r>
        <w:t>VaR</w:t>
      </w:r>
      <w:proofErr w:type="spellEnd"/>
      <w:r>
        <w:t xml:space="preserve"> can also create moral hazard problems when traders or asset managers</w:t>
      </w:r>
      <w:r>
        <w:t xml:space="preserve"> </w:t>
      </w:r>
      <w:r>
        <w:t xml:space="preserve">work to </w:t>
      </w:r>
      <w:proofErr w:type="spellStart"/>
      <w:r>
        <w:t>VaR</w:t>
      </w:r>
      <w:proofErr w:type="spellEnd"/>
      <w:r>
        <w:t xml:space="preserve">-defined risk targets or remuneration packages. Traders who face a </w:t>
      </w:r>
      <w:proofErr w:type="spellStart"/>
      <w:r>
        <w:t>VaR</w:t>
      </w:r>
      <w:proofErr w:type="spellEnd"/>
      <w:r>
        <w:t>-</w:t>
      </w:r>
      <w:r>
        <w:t xml:space="preserve"> </w:t>
      </w:r>
      <w:r>
        <w:t>defined risk target might have an incentive to sell out-of-the-money options that lead</w:t>
      </w:r>
      <w:r>
        <w:t xml:space="preserve"> </w:t>
      </w:r>
      <w:r>
        <w:t>to higher income in most states of the world and the occasional large hit when the firm</w:t>
      </w:r>
      <w:r>
        <w:t xml:space="preserve"> </w:t>
      </w:r>
      <w:r>
        <w:t>is unlucky. If the options are suitably chosen, the bad outcomes will have probabilities</w:t>
      </w:r>
      <w:r>
        <w:t xml:space="preserve"> </w:t>
      </w:r>
      <w:r>
        <w:t xml:space="preserve">low enough to ensure that there is no effect on the </w:t>
      </w:r>
      <w:proofErr w:type="spellStart"/>
      <w:r>
        <w:t>VaR</w:t>
      </w:r>
      <w:proofErr w:type="spellEnd"/>
      <w:r>
        <w:t>, and the trader will benefit</w:t>
      </w:r>
      <w:r>
        <w:t xml:space="preserve"> </w:t>
      </w:r>
      <w:r>
        <w:t>from the higher income (and hence higher bonuses) earned in “normal” times when</w:t>
      </w:r>
      <w:r>
        <w:t xml:space="preserve"> </w:t>
      </w:r>
      <w:r>
        <w:t xml:space="preserve">the options expire out of the money. The fact that </w:t>
      </w:r>
      <w:proofErr w:type="spellStart"/>
      <w:r>
        <w:t>V</w:t>
      </w:r>
      <w:r>
        <w:t>aR</w:t>
      </w:r>
      <w:proofErr w:type="spellEnd"/>
      <w:r>
        <w:t xml:space="preserve"> does not take account of what </w:t>
      </w:r>
      <w:r>
        <w:t xml:space="preserve">happens in “bad” states can distort incentives and encourage traders to “game” a </w:t>
      </w:r>
      <w:proofErr w:type="spellStart"/>
      <w:r>
        <w:t>VaR</w:t>
      </w:r>
      <w:proofErr w:type="spellEnd"/>
      <w:r>
        <w:t xml:space="preserve"> </w:t>
      </w:r>
      <w:r>
        <w:t xml:space="preserve">target (and/or a </w:t>
      </w:r>
      <w:proofErr w:type="spellStart"/>
      <w:r>
        <w:t>VaR</w:t>
      </w:r>
      <w:proofErr w:type="spellEnd"/>
      <w:r>
        <w:t>-defined remuneration package) to promote their own interests</w:t>
      </w:r>
      <w:r>
        <w:t xml:space="preserve"> </w:t>
      </w:r>
      <w:r>
        <w:t>at the expense of the institutions that employ them.6</w:t>
      </w:r>
      <w:r>
        <w:t>”</w:t>
      </w:r>
    </w:p>
    <w:p w:rsidR="0037433F" w:rsidRDefault="00A474DA" w:rsidP="00A474DA">
      <w:pPr>
        <w:pStyle w:val="ListParagraph"/>
        <w:numPr>
          <w:ilvl w:val="0"/>
          <w:numId w:val="4"/>
        </w:numPr>
      </w:pPr>
      <w:r>
        <w:t>“</w:t>
      </w:r>
      <w:r>
        <w:t>the ES also satisfies the other properties of coherence, and is therefore</w:t>
      </w:r>
      <w:r>
        <w:t xml:space="preserve"> C</w:t>
      </w:r>
      <w:r>
        <w:t>oherent</w:t>
      </w:r>
      <w:r>
        <w:t>”</w:t>
      </w:r>
    </w:p>
    <w:p w:rsidR="00A474DA" w:rsidRDefault="00A474DA" w:rsidP="00A474DA">
      <w:pPr>
        <w:pStyle w:val="ListParagraph"/>
        <w:numPr>
          <w:ilvl w:val="0"/>
          <w:numId w:val="4"/>
        </w:numPr>
      </w:pPr>
      <w:r>
        <w:t>“</w:t>
      </w:r>
      <w:r>
        <w:t>13 Risk-aversion theory requires us to specify a user risk-aversion function, and this can provide</w:t>
      </w:r>
      <w:r>
        <w:t xml:space="preserve"> </w:t>
      </w:r>
      <w:r>
        <w:t>considerable insights (as shown in the following text) but can also be controversial. Among</w:t>
      </w:r>
      <w:r>
        <w:t xml:space="preserve"> </w:t>
      </w:r>
      <w:r>
        <w:t>the potential problems it might encounter are: (1) the notion of a risk-aversion function can</w:t>
      </w:r>
      <w:r>
        <w:t xml:space="preserve"> </w:t>
      </w:r>
      <w:r>
        <w:t>be hard to motivate when the user is a firm, or an employee working for a firm, rather than,</w:t>
      </w:r>
      <w:r>
        <w:t xml:space="preserve"> </w:t>
      </w:r>
      <w:r>
        <w:t>say, an individual investor working on their own behalf; (2) one might argue with the type</w:t>
      </w:r>
      <w:r>
        <w:t xml:space="preserve"> </w:t>
      </w:r>
      <w:r>
        <w:t>of risk-aversion function chosen; and (3) one might have difficulty specifying the value that</w:t>
      </w:r>
      <w:r>
        <w:t xml:space="preserve"> </w:t>
      </w:r>
      <w:r>
        <w:t>the risk aversion parameter should take.</w:t>
      </w:r>
      <w:r>
        <w:t>”</w:t>
      </w:r>
    </w:p>
    <w:p w:rsidR="00A474DA" w:rsidRDefault="00351726" w:rsidP="00351726">
      <w:pPr>
        <w:pStyle w:val="ListParagraph"/>
        <w:numPr>
          <w:ilvl w:val="0"/>
          <w:numId w:val="4"/>
        </w:numPr>
      </w:pPr>
      <w:r>
        <w:t>“</w:t>
      </w:r>
      <w:r>
        <w:t xml:space="preserve">Their work </w:t>
      </w:r>
      <w:proofErr w:type="spellStart"/>
      <w:r>
        <w:t>sug</w:t>
      </w:r>
      <w:proofErr w:type="spellEnd"/>
      <w:r>
        <w:t xml:space="preserve">-gests that actuaries might need to pay more attention to the context of a </w:t>
      </w:r>
      <w:proofErr w:type="spellStart"/>
      <w:r>
        <w:t>prob-lem</w:t>
      </w:r>
      <w:proofErr w:type="spellEnd"/>
      <w:r>
        <w:t>, and not just focus on the theoretical properties of risk measures considered a</w:t>
      </w:r>
      <w:r>
        <w:t xml:space="preserve"> </w:t>
      </w:r>
      <w:r>
        <w:t>priori.20</w:t>
      </w:r>
      <w:r>
        <w:t>”</w:t>
      </w:r>
    </w:p>
    <w:p w:rsidR="00351726" w:rsidRDefault="00351726" w:rsidP="00351726">
      <w:pPr>
        <w:pStyle w:val="ListParagraph"/>
        <w:numPr>
          <w:ilvl w:val="0"/>
          <w:numId w:val="4"/>
        </w:numPr>
      </w:pPr>
      <w:r>
        <w:t>“</w:t>
      </w:r>
      <w:r>
        <w:t>However, in</w:t>
      </w:r>
      <w:r>
        <w:t xml:space="preserve"> </w:t>
      </w:r>
      <w:r>
        <w:t>some respects, we are spoilt for choice and it is generally not easy to identify which</w:t>
      </w:r>
      <w:r>
        <w:t xml:space="preserve"> </w:t>
      </w:r>
      <w:r>
        <w:t>particular one might be best.</w:t>
      </w:r>
      <w:r>
        <w:t>”</w:t>
      </w:r>
    </w:p>
    <w:p w:rsidR="00351726" w:rsidRDefault="00351726" w:rsidP="00351726">
      <w:pPr>
        <w:pStyle w:val="ListParagraph"/>
        <w:numPr>
          <w:ilvl w:val="0"/>
          <w:numId w:val="4"/>
        </w:numPr>
      </w:pPr>
      <w:r>
        <w:lastRenderedPageBreak/>
        <w:t>“</w:t>
      </w:r>
      <w:proofErr w:type="gramStart"/>
      <w:r>
        <w:t>circumstances</w:t>
      </w:r>
      <w:proofErr w:type="gramEnd"/>
      <w:r>
        <w:t>, the only solid advice we can offer at the moment is: in</w:t>
      </w:r>
      <w:r>
        <w:t xml:space="preserve"> </w:t>
      </w:r>
      <w:r>
        <w:t xml:space="preserve">general, avoid the </w:t>
      </w:r>
      <w:proofErr w:type="spellStart"/>
      <w:r>
        <w:t>VaR</w:t>
      </w:r>
      <w:proofErr w:type="spellEnd"/>
      <w:r>
        <w:t xml:space="preserve"> as a risk measure, and try to pick a risk measure that has good</w:t>
      </w:r>
      <w:r>
        <w:t xml:space="preserve"> </w:t>
      </w:r>
      <w:r>
        <w:t>theoretical properties and seems to fit in well with the context at hand.</w:t>
      </w:r>
      <w:r>
        <w:t>”</w:t>
      </w:r>
    </w:p>
    <w:p w:rsidR="00351726" w:rsidRPr="00B4053C" w:rsidRDefault="006C6189" w:rsidP="006C6189">
      <w:pPr>
        <w:pStyle w:val="ListParagraph"/>
        <w:numPr>
          <w:ilvl w:val="0"/>
          <w:numId w:val="4"/>
        </w:numPr>
      </w:pPr>
      <w:r>
        <w:t>“</w:t>
      </w:r>
      <w:r>
        <w:t>Stochastic methods a</w:t>
      </w:r>
      <w:r>
        <w:t xml:space="preserve">re therefore the </w:t>
      </w:r>
      <w:r>
        <w:t>methods of choice for the vast majority of “complex” risk problems, and we shall have</w:t>
      </w:r>
      <w:r>
        <w:t xml:space="preserve"> </w:t>
      </w:r>
      <w:r>
        <w:t>more to say on them in the next two sections.29</w:t>
      </w:r>
      <w:r>
        <w:t>”</w:t>
      </w:r>
    </w:p>
    <w:sectPr w:rsidR="00351726" w:rsidRPr="00B4053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1AE0"/>
    <w:multiLevelType w:val="hybridMultilevel"/>
    <w:tmpl w:val="4DF64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5E2DD8"/>
    <w:multiLevelType w:val="multilevel"/>
    <w:tmpl w:val="D6F89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52E7E"/>
    <w:multiLevelType w:val="multilevel"/>
    <w:tmpl w:val="9E50C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00206F"/>
    <w:multiLevelType w:val="hybridMultilevel"/>
    <w:tmpl w:val="150CB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33219F"/>
    <w:multiLevelType w:val="multilevel"/>
    <w:tmpl w:val="F6000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A38D4"/>
    <w:rsid w:val="00001884"/>
    <w:rsid w:val="00063609"/>
    <w:rsid w:val="000A38D4"/>
    <w:rsid w:val="002A1136"/>
    <w:rsid w:val="00351726"/>
    <w:rsid w:val="0037433F"/>
    <w:rsid w:val="006C6189"/>
    <w:rsid w:val="00A474DA"/>
    <w:rsid w:val="00B4053C"/>
    <w:rsid w:val="00E204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E008D-94C2-4190-8869-46D67DC2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4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yx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xor.com" TargetMode="External"/><Relationship Id="rId5" Type="http://schemas.openxmlformats.org/officeDocument/2006/relationships/hyperlink" Target="http://www.ssrn.com/abstract=19570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rdmtay001@myuct.ac.za</cp:lastModifiedBy>
  <cp:revision>5</cp:revision>
  <dcterms:created xsi:type="dcterms:W3CDTF">2018-04-04T09:41:00Z</dcterms:created>
  <dcterms:modified xsi:type="dcterms:W3CDTF">2018-04-04T12:26:00Z</dcterms:modified>
</cp:coreProperties>
</file>