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64B26" w14:textId="77777777" w:rsidR="000B6524" w:rsidRDefault="000B6524">
      <w:pPr>
        <w:rPr>
          <w:b/>
        </w:rPr>
      </w:pPr>
    </w:p>
    <w:p w14:paraId="638DBA9B" w14:textId="77777777" w:rsidR="000B6524" w:rsidRDefault="00E52755">
      <w:pPr>
        <w:rPr>
          <w:b/>
        </w:rPr>
      </w:pPr>
      <w:r>
        <w:rPr>
          <w:b/>
        </w:rPr>
        <w:t>INVESTIGATING THE EFFECTIVENESS OF DIVERSIFICATION STRATEGIES BASED ON ALTERNATIVE RISK MEASURES</w:t>
      </w:r>
    </w:p>
    <w:p w14:paraId="4F3CC94A" w14:textId="77777777" w:rsidR="000B6524" w:rsidRDefault="000B6524">
      <w:pPr>
        <w:rPr>
          <w:b/>
        </w:rPr>
      </w:pPr>
    </w:p>
    <w:p w14:paraId="6A02F4D2" w14:textId="77777777" w:rsidR="000B6524" w:rsidRDefault="00E52755">
      <w:pPr>
        <w:rPr>
          <w:b/>
        </w:rPr>
      </w:pPr>
      <w:r>
        <w:rPr>
          <w:b/>
          <w:noProof/>
        </w:rPr>
        <w:drawing>
          <wp:inline distT="114300" distB="114300" distL="114300" distR="114300" wp14:anchorId="54DFD3B7" wp14:editId="29C9E454">
            <wp:extent cx="3371850" cy="45624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3371850" cy="4562475"/>
                    </a:xfrm>
                    <a:prstGeom prst="rect">
                      <a:avLst/>
                    </a:prstGeom>
                    <a:ln/>
                  </pic:spPr>
                </pic:pic>
              </a:graphicData>
            </a:graphic>
          </wp:inline>
        </w:drawing>
      </w:r>
    </w:p>
    <w:p w14:paraId="0E770D6F" w14:textId="77777777" w:rsidR="000B6524" w:rsidRDefault="000B6524">
      <w:pPr>
        <w:rPr>
          <w:b/>
        </w:rPr>
      </w:pPr>
    </w:p>
    <w:p w14:paraId="084B1972" w14:textId="77777777" w:rsidR="000B6524" w:rsidRDefault="00E52755">
      <w:pPr>
        <w:rPr>
          <w:b/>
        </w:rPr>
      </w:pPr>
      <w:r>
        <w:rPr>
          <w:b/>
        </w:rPr>
        <w:t>To consider:</w:t>
      </w:r>
    </w:p>
    <w:p w14:paraId="441BCDC8" w14:textId="77777777" w:rsidR="000B6524" w:rsidRDefault="00E52755">
      <w:pPr>
        <w:numPr>
          <w:ilvl w:val="0"/>
          <w:numId w:val="5"/>
        </w:numPr>
        <w:contextualSpacing/>
      </w:pPr>
      <w:r>
        <w:t>What alternative risk measures will we be using (characteristics, limitations, estimation, application)</w:t>
      </w:r>
    </w:p>
    <w:p w14:paraId="79B2414D" w14:textId="77777777" w:rsidR="000B6524" w:rsidRDefault="00E52755">
      <w:pPr>
        <w:numPr>
          <w:ilvl w:val="1"/>
          <w:numId w:val="5"/>
        </w:numPr>
        <w:contextualSpacing/>
      </w:pPr>
      <w:r>
        <w:t>Downside variation</w:t>
      </w:r>
    </w:p>
    <w:p w14:paraId="46802A66" w14:textId="77777777" w:rsidR="000B6524" w:rsidRDefault="00E52755">
      <w:pPr>
        <w:numPr>
          <w:ilvl w:val="1"/>
          <w:numId w:val="5"/>
        </w:numPr>
        <w:contextualSpacing/>
      </w:pPr>
      <w:r>
        <w:t>Omega ratio</w:t>
      </w:r>
    </w:p>
    <w:p w14:paraId="3DE7559C" w14:textId="77777777" w:rsidR="000B6524" w:rsidRDefault="00E52755">
      <w:pPr>
        <w:numPr>
          <w:ilvl w:val="1"/>
          <w:numId w:val="5"/>
        </w:numPr>
        <w:contextualSpacing/>
      </w:pPr>
      <w:r>
        <w:t>QBRMs</w:t>
      </w:r>
    </w:p>
    <w:p w14:paraId="6ECC113E" w14:textId="77777777" w:rsidR="000B6524" w:rsidRDefault="000B6524">
      <w:pPr>
        <w:numPr>
          <w:ilvl w:val="1"/>
          <w:numId w:val="5"/>
        </w:numPr>
        <w:contextualSpacing/>
      </w:pPr>
    </w:p>
    <w:p w14:paraId="25BE73FB" w14:textId="77777777" w:rsidR="000B6524" w:rsidRDefault="00E52755">
      <w:pPr>
        <w:numPr>
          <w:ilvl w:val="0"/>
          <w:numId w:val="5"/>
        </w:numPr>
        <w:contextualSpacing/>
      </w:pPr>
      <w:r>
        <w:t>Diversification strategies on these other risk measures, and how to assess their efficacy</w:t>
      </w:r>
    </w:p>
    <w:p w14:paraId="167432C9" w14:textId="77777777" w:rsidR="000B6524" w:rsidRDefault="00E52755">
      <w:pPr>
        <w:numPr>
          <w:ilvl w:val="0"/>
          <w:numId w:val="5"/>
        </w:numPr>
        <w:contextualSpacing/>
      </w:pPr>
      <w:r>
        <w:t>Back-test on historical share data to assess how the strategies perform</w:t>
      </w:r>
    </w:p>
    <w:p w14:paraId="02CD1141" w14:textId="77777777" w:rsidR="000B6524" w:rsidRDefault="000B6524">
      <w:pPr>
        <w:rPr>
          <w:b/>
        </w:rPr>
      </w:pPr>
    </w:p>
    <w:p w14:paraId="101BA1FD" w14:textId="77777777" w:rsidR="000B6524" w:rsidRDefault="000B6524">
      <w:pPr>
        <w:rPr>
          <w:b/>
        </w:rPr>
      </w:pPr>
    </w:p>
    <w:p w14:paraId="0F22234F" w14:textId="77777777" w:rsidR="000B6524" w:rsidRDefault="000B6524">
      <w:pPr>
        <w:rPr>
          <w:b/>
        </w:rPr>
      </w:pPr>
    </w:p>
    <w:p w14:paraId="2BB14140" w14:textId="77777777" w:rsidR="000B6524" w:rsidRDefault="00E52755">
      <w:pPr>
        <w:rPr>
          <w:b/>
        </w:rPr>
      </w:pPr>
      <w:r>
        <w:rPr>
          <w:b/>
        </w:rPr>
        <w:t>LIT REVIEW</w:t>
      </w:r>
    </w:p>
    <w:p w14:paraId="4A210CE4" w14:textId="77777777" w:rsidR="000B6524" w:rsidRDefault="000B6524">
      <w:pPr>
        <w:rPr>
          <w:b/>
        </w:rPr>
      </w:pPr>
    </w:p>
    <w:p w14:paraId="70F85C18" w14:textId="77777777" w:rsidR="000B6524" w:rsidRDefault="00E52755">
      <w:pPr>
        <w:numPr>
          <w:ilvl w:val="0"/>
          <w:numId w:val="3"/>
        </w:numPr>
        <w:ind w:hanging="720"/>
        <w:contextualSpacing/>
        <w:rPr>
          <w:b/>
        </w:rPr>
      </w:pPr>
      <w:commentRangeStart w:id="0"/>
      <w:r>
        <w:rPr>
          <w:b/>
        </w:rPr>
        <w:t xml:space="preserve">After </w:t>
      </w:r>
      <w:proofErr w:type="spellStart"/>
      <w:r>
        <w:rPr>
          <w:b/>
        </w:rPr>
        <w:t>VaR</w:t>
      </w:r>
      <w:proofErr w:type="spellEnd"/>
      <w:r>
        <w:rPr>
          <w:b/>
        </w:rPr>
        <w:t>: The Theory, Estimation, and Insurance Applications of Quantile-Based Risk Measures (Dowd, K. &amp; Blake, D., 2006)</w:t>
      </w:r>
      <w:commentRangeEnd w:id="0"/>
      <w:r>
        <w:commentReference w:id="0"/>
      </w:r>
    </w:p>
    <w:p w14:paraId="02F1F9B0" w14:textId="77777777" w:rsidR="000B6524" w:rsidRDefault="000B6524">
      <w:pPr>
        <w:rPr>
          <w:b/>
        </w:rPr>
      </w:pPr>
    </w:p>
    <w:p w14:paraId="180476E2" w14:textId="77777777" w:rsidR="000B6524" w:rsidRDefault="00E52755">
      <w:pPr>
        <w:numPr>
          <w:ilvl w:val="0"/>
          <w:numId w:val="6"/>
        </w:numPr>
        <w:contextualSpacing/>
      </w:pPr>
      <w:proofErr w:type="spellStart"/>
      <w:r>
        <w:lastRenderedPageBreak/>
        <w:t>VaR</w:t>
      </w:r>
      <w:proofErr w:type="spellEnd"/>
      <w:r>
        <w:t xml:space="preserve"> is flawed</w:t>
      </w:r>
    </w:p>
    <w:p w14:paraId="7E517A71" w14:textId="77777777" w:rsidR="000B6524" w:rsidRDefault="00E52755">
      <w:pPr>
        <w:numPr>
          <w:ilvl w:val="0"/>
          <w:numId w:val="6"/>
        </w:numPr>
        <w:contextualSpacing/>
      </w:pPr>
      <w:r>
        <w:t>Financial risk management (FRM)</w:t>
      </w:r>
    </w:p>
    <w:p w14:paraId="16D336B1" w14:textId="77777777" w:rsidR="000B6524" w:rsidRDefault="00E52755">
      <w:pPr>
        <w:numPr>
          <w:ilvl w:val="0"/>
          <w:numId w:val="6"/>
        </w:numPr>
        <w:contextualSpacing/>
      </w:pPr>
      <w:r>
        <w:t>New risk-measures</w:t>
      </w:r>
    </w:p>
    <w:p w14:paraId="3FE5DEAC" w14:textId="77777777" w:rsidR="000B6524" w:rsidRDefault="00E52755">
      <w:pPr>
        <w:numPr>
          <w:ilvl w:val="1"/>
          <w:numId w:val="6"/>
        </w:numPr>
        <w:contextualSpacing/>
      </w:pPr>
      <w:r>
        <w:t>Coherent measures</w:t>
      </w:r>
    </w:p>
    <w:p w14:paraId="709C3310" w14:textId="77777777" w:rsidR="000B6524" w:rsidRDefault="00E52755">
      <w:pPr>
        <w:numPr>
          <w:ilvl w:val="1"/>
          <w:numId w:val="6"/>
        </w:numPr>
        <w:contextualSpacing/>
      </w:pPr>
      <w:r>
        <w:t>Distortion risk measures</w:t>
      </w:r>
    </w:p>
    <w:p w14:paraId="335FF110" w14:textId="77777777" w:rsidR="000B6524" w:rsidRDefault="00E52755">
      <w:pPr>
        <w:numPr>
          <w:ilvl w:val="0"/>
          <w:numId w:val="6"/>
        </w:numPr>
        <w:contextualSpacing/>
      </w:pPr>
      <w:r>
        <w:t>Increased interest in risk measures also due to</w:t>
      </w:r>
    </w:p>
    <w:p w14:paraId="02AFBD38" w14:textId="77777777" w:rsidR="000B6524" w:rsidRDefault="00E52755">
      <w:pPr>
        <w:numPr>
          <w:ilvl w:val="1"/>
          <w:numId w:val="6"/>
        </w:numPr>
        <w:contextualSpacing/>
      </w:pPr>
      <w:r>
        <w:t>“Impact of financial engineering...especially in emerging area of alternative risk transfer (ART)”-p194</w:t>
      </w:r>
    </w:p>
    <w:p w14:paraId="2AFACEFC" w14:textId="77777777" w:rsidR="000B6524" w:rsidRDefault="00E52755">
      <w:pPr>
        <w:numPr>
          <w:ilvl w:val="1"/>
          <w:numId w:val="6"/>
        </w:numPr>
        <w:contextualSpacing/>
      </w:pPr>
      <w:r>
        <w:t>“Increasing securitisation of insurance-related risks”</w:t>
      </w:r>
    </w:p>
    <w:p w14:paraId="72E35185" w14:textId="77777777" w:rsidR="000B6524" w:rsidRDefault="00E52755">
      <w:pPr>
        <w:numPr>
          <w:ilvl w:val="1"/>
          <w:numId w:val="6"/>
        </w:numPr>
        <w:contextualSpacing/>
      </w:pPr>
      <w:r>
        <w:t>“Increasing use of risk measures in regulatory capital and solvency requirements”</w:t>
      </w:r>
    </w:p>
    <w:p w14:paraId="15BB4019" w14:textId="77777777" w:rsidR="000B6524" w:rsidRDefault="00E52755">
      <w:pPr>
        <w:numPr>
          <w:ilvl w:val="1"/>
          <w:numId w:val="6"/>
        </w:numPr>
        <w:contextualSpacing/>
      </w:pPr>
      <w:r>
        <w:t>“Trend toward convergence between insurance, banking, and securities markets”</w:t>
      </w:r>
    </w:p>
    <w:p w14:paraId="4B96BE65" w14:textId="77777777" w:rsidR="000B6524" w:rsidRDefault="00E52755">
      <w:pPr>
        <w:numPr>
          <w:ilvl w:val="1"/>
          <w:numId w:val="6"/>
        </w:numPr>
        <w:contextualSpacing/>
      </w:pPr>
      <w:r>
        <w:t>“Growth of enterprise-wide risk management (ERM)”</w:t>
      </w:r>
    </w:p>
    <w:p w14:paraId="7113152F" w14:textId="77777777" w:rsidR="000B6524" w:rsidRDefault="00E52755">
      <w:pPr>
        <w:numPr>
          <w:ilvl w:val="0"/>
          <w:numId w:val="6"/>
        </w:numPr>
        <w:contextualSpacing/>
      </w:pPr>
      <w:r>
        <w:t xml:space="preserve">There are many QBRMs better than </w:t>
      </w:r>
      <w:proofErr w:type="spellStart"/>
      <w:r>
        <w:t>VaR</w:t>
      </w:r>
      <w:proofErr w:type="spellEnd"/>
    </w:p>
    <w:p w14:paraId="0420ACE1" w14:textId="77777777" w:rsidR="000B6524" w:rsidRDefault="00E52755">
      <w:pPr>
        <w:numPr>
          <w:ilvl w:val="1"/>
          <w:numId w:val="6"/>
        </w:numPr>
        <w:contextualSpacing/>
      </w:pPr>
      <w:r>
        <w:t xml:space="preserve">Should be relatively easy to upgrade from </w:t>
      </w:r>
      <w:proofErr w:type="spellStart"/>
      <w:r>
        <w:t>VaR</w:t>
      </w:r>
      <w:proofErr w:type="spellEnd"/>
      <w:r>
        <w:t xml:space="preserve"> to the better risk measures</w:t>
      </w:r>
    </w:p>
    <w:p w14:paraId="7494F081" w14:textId="77777777" w:rsidR="000B6524" w:rsidRDefault="00E52755">
      <w:pPr>
        <w:numPr>
          <w:ilvl w:val="0"/>
          <w:numId w:val="6"/>
        </w:numPr>
        <w:contextualSpacing/>
      </w:pPr>
      <w:r>
        <w:t>QBRMs</w:t>
      </w:r>
    </w:p>
    <w:p w14:paraId="10DB6A9E" w14:textId="77777777" w:rsidR="000B6524" w:rsidRDefault="00E52755">
      <w:pPr>
        <w:numPr>
          <w:ilvl w:val="1"/>
          <w:numId w:val="6"/>
        </w:numPr>
        <w:contextualSpacing/>
      </w:pPr>
      <w:proofErr w:type="spellStart"/>
      <w:r>
        <w:t>VaR</w:t>
      </w:r>
      <w:proofErr w:type="spellEnd"/>
    </w:p>
    <w:p w14:paraId="4C95FCA6" w14:textId="77777777" w:rsidR="000B6524" w:rsidRDefault="00E52755">
      <w:pPr>
        <w:numPr>
          <w:ilvl w:val="2"/>
          <w:numId w:val="6"/>
        </w:numPr>
        <w:contextualSpacing/>
      </w:pPr>
      <w:r>
        <w:t>Maximum likely (generally 95% CI) loss over time-period t</w:t>
      </w:r>
    </w:p>
    <w:p w14:paraId="310A508F" w14:textId="77777777" w:rsidR="000B6524" w:rsidRDefault="00E52755">
      <w:pPr>
        <w:numPr>
          <w:ilvl w:val="2"/>
          <w:numId w:val="6"/>
        </w:numPr>
        <w:contextualSpacing/>
      </w:pPr>
      <w:r>
        <w:t>Different t, CI, estimation methodology</w:t>
      </w:r>
    </w:p>
    <w:p w14:paraId="73C15922" w14:textId="77777777" w:rsidR="000B6524" w:rsidRDefault="00E52755">
      <w:pPr>
        <w:numPr>
          <w:ilvl w:val="2"/>
          <w:numId w:val="6"/>
        </w:numPr>
        <w:contextualSpacing/>
      </w:pPr>
      <w:r>
        <w:t>Has favourable characteristics</w:t>
      </w:r>
    </w:p>
    <w:p w14:paraId="5B856FBA" w14:textId="77777777" w:rsidR="000B6524" w:rsidRDefault="00E52755">
      <w:pPr>
        <w:numPr>
          <w:ilvl w:val="3"/>
          <w:numId w:val="6"/>
        </w:numPr>
        <w:contextualSpacing/>
      </w:pPr>
      <w:r>
        <w:t>“Provides common measure of risk across different positions and risk factors” - p196</w:t>
      </w:r>
    </w:p>
    <w:p w14:paraId="291C0E82" w14:textId="77777777" w:rsidR="000B6524" w:rsidRDefault="00E52755">
      <w:pPr>
        <w:numPr>
          <w:ilvl w:val="4"/>
          <w:numId w:val="6"/>
        </w:numPr>
        <w:contextualSpacing/>
      </w:pPr>
      <w:proofErr w:type="spellStart"/>
      <w:r>
        <w:t>Ie</w:t>
      </w:r>
      <w:proofErr w:type="spellEnd"/>
      <w:r>
        <w:t xml:space="preserve"> can be applied to any portfolio and so can compare different portfolios</w:t>
      </w:r>
    </w:p>
    <w:p w14:paraId="34656632" w14:textId="77777777" w:rsidR="000B6524" w:rsidRDefault="00E52755">
      <w:pPr>
        <w:numPr>
          <w:ilvl w:val="4"/>
          <w:numId w:val="6"/>
        </w:numPr>
        <w:contextualSpacing/>
      </w:pPr>
      <w:r>
        <w:t>Duration applies only to fixed-income positions</w:t>
      </w:r>
    </w:p>
    <w:p w14:paraId="310E6541" w14:textId="77777777" w:rsidR="000B6524" w:rsidRDefault="00E52755">
      <w:pPr>
        <w:numPr>
          <w:ilvl w:val="4"/>
          <w:numId w:val="6"/>
        </w:numPr>
        <w:contextualSpacing/>
      </w:pPr>
      <w:r>
        <w:t>Greek measures only to derivative positions</w:t>
      </w:r>
    </w:p>
    <w:p w14:paraId="104F4755" w14:textId="77777777" w:rsidR="000B6524" w:rsidRDefault="00E52755">
      <w:pPr>
        <w:numPr>
          <w:ilvl w:val="4"/>
          <w:numId w:val="6"/>
        </w:numPr>
        <w:contextualSpacing/>
      </w:pPr>
      <w:r>
        <w:t>MPT only to equity and similar positions</w:t>
      </w:r>
    </w:p>
    <w:p w14:paraId="4C703DC0" w14:textId="77777777" w:rsidR="000B6524" w:rsidRDefault="00E52755">
      <w:pPr>
        <w:numPr>
          <w:ilvl w:val="3"/>
          <w:numId w:val="6"/>
        </w:numPr>
        <w:contextualSpacing/>
      </w:pPr>
      <w:r>
        <w:t>Aggregates the risk of position taken</w:t>
      </w:r>
    </w:p>
    <w:p w14:paraId="08FDDF98" w14:textId="77777777" w:rsidR="000B6524" w:rsidRDefault="00E52755">
      <w:pPr>
        <w:numPr>
          <w:ilvl w:val="3"/>
          <w:numId w:val="6"/>
        </w:numPr>
        <w:contextualSpacing/>
      </w:pPr>
      <w:r>
        <w:t>“Holistic” - takes account of all driving risk factors in the complete portfolio</w:t>
      </w:r>
    </w:p>
    <w:p w14:paraId="0E7792D4" w14:textId="77777777" w:rsidR="000B6524" w:rsidRDefault="00E52755">
      <w:pPr>
        <w:numPr>
          <w:ilvl w:val="4"/>
          <w:numId w:val="6"/>
        </w:numPr>
        <w:contextualSpacing/>
      </w:pPr>
      <w:r>
        <w:t>As opposed to one at a time or by making simplifying assumptions</w:t>
      </w:r>
    </w:p>
    <w:p w14:paraId="1C4882DE" w14:textId="77777777" w:rsidR="000B6524" w:rsidRDefault="00E52755">
      <w:pPr>
        <w:numPr>
          <w:ilvl w:val="3"/>
          <w:numId w:val="6"/>
        </w:numPr>
        <w:contextualSpacing/>
      </w:pPr>
      <w:r>
        <w:t>Is probabilistic (giving info on likelihood of certain loss amounts)</w:t>
      </w:r>
    </w:p>
    <w:p w14:paraId="24D14CCD" w14:textId="77777777" w:rsidR="000B6524" w:rsidRDefault="00E52755">
      <w:pPr>
        <w:numPr>
          <w:ilvl w:val="3"/>
          <w:numId w:val="6"/>
        </w:numPr>
        <w:contextualSpacing/>
      </w:pPr>
      <w:r>
        <w:t>Easy to understand unit of measure - “lost money”</w:t>
      </w:r>
    </w:p>
    <w:p w14:paraId="0C7C1943" w14:textId="77777777" w:rsidR="000B6524" w:rsidRDefault="00E52755">
      <w:pPr>
        <w:numPr>
          <w:ilvl w:val="2"/>
          <w:numId w:val="6"/>
        </w:numPr>
        <w:contextualSpacing/>
      </w:pPr>
      <w:r>
        <w:t>Limitations</w:t>
      </w:r>
    </w:p>
    <w:p w14:paraId="0FE1C914" w14:textId="77777777" w:rsidR="000B6524" w:rsidRDefault="00E52755">
      <w:pPr>
        <w:numPr>
          <w:ilvl w:val="3"/>
          <w:numId w:val="6"/>
        </w:numPr>
        <w:contextualSpacing/>
      </w:pPr>
      <w:r>
        <w:t>Fails to fully describe tail losses</w:t>
      </w:r>
    </w:p>
    <w:p w14:paraId="63EBBE68" w14:textId="77777777" w:rsidR="000B6524" w:rsidRDefault="00E52755">
      <w:pPr>
        <w:numPr>
          <w:ilvl w:val="4"/>
          <w:numId w:val="6"/>
        </w:numPr>
        <w:contextualSpacing/>
      </w:pPr>
      <w:r>
        <w:t>This may contradict logical and rational risk-return analysis if the tail loss is extremely large</w:t>
      </w:r>
    </w:p>
    <w:p w14:paraId="65F49A2F" w14:textId="77777777" w:rsidR="000B6524" w:rsidRDefault="00E52755">
      <w:pPr>
        <w:numPr>
          <w:ilvl w:val="3"/>
          <w:numId w:val="6"/>
        </w:numPr>
        <w:contextualSpacing/>
      </w:pPr>
      <w:r>
        <w:t>Moral hazard</w:t>
      </w:r>
    </w:p>
    <w:p w14:paraId="73CBE752" w14:textId="77777777" w:rsidR="000B6524" w:rsidRDefault="00E52755">
      <w:pPr>
        <w:numPr>
          <w:ilvl w:val="4"/>
          <w:numId w:val="6"/>
        </w:numPr>
        <w:contextualSpacing/>
      </w:pPr>
      <w:r>
        <w:t xml:space="preserve">“The fact that </w:t>
      </w:r>
      <w:proofErr w:type="spellStart"/>
      <w:r>
        <w:t>VaR</w:t>
      </w:r>
      <w:proofErr w:type="spellEnd"/>
      <w:r>
        <w:t xml:space="preserve"> does not take account of what happens in “bad” states can distort incentives and encourage traders to “game” a </w:t>
      </w:r>
      <w:proofErr w:type="spellStart"/>
      <w:r>
        <w:t>VaR</w:t>
      </w:r>
      <w:proofErr w:type="spellEnd"/>
      <w:r>
        <w:t xml:space="preserve"> target (and/or a </w:t>
      </w:r>
      <w:proofErr w:type="spellStart"/>
      <w:r>
        <w:t>VaR</w:t>
      </w:r>
      <w:proofErr w:type="spellEnd"/>
      <w:r>
        <w:t>-defined remuneration package) to promote their own interests at the expense of the institutions that employ them.“ - p.197</w:t>
      </w:r>
    </w:p>
    <w:p w14:paraId="7076245B" w14:textId="77777777" w:rsidR="000B6524" w:rsidRDefault="00E52755">
      <w:pPr>
        <w:numPr>
          <w:ilvl w:val="3"/>
          <w:numId w:val="6"/>
        </w:numPr>
        <w:contextualSpacing/>
      </w:pPr>
      <w:r>
        <w:lastRenderedPageBreak/>
        <w:t xml:space="preserve">Not sub-additive (see below). Thus, </w:t>
      </w:r>
      <w:proofErr w:type="spellStart"/>
      <w:r>
        <w:t>VaR</w:t>
      </w:r>
      <w:proofErr w:type="spellEnd"/>
      <w:r>
        <w:t xml:space="preserve"> is fundamentally merely a quantile, not a risk measure</w:t>
      </w:r>
    </w:p>
    <w:p w14:paraId="7F5DA2BA" w14:textId="77777777" w:rsidR="000B6524" w:rsidRDefault="00E52755">
      <w:pPr>
        <w:numPr>
          <w:ilvl w:val="3"/>
          <w:numId w:val="6"/>
        </w:numPr>
        <w:contextualSpacing/>
      </w:pPr>
      <w:r>
        <w:t xml:space="preserve">Does not meet </w:t>
      </w:r>
      <w:proofErr w:type="spellStart"/>
      <w:r>
        <w:t>increasingness</w:t>
      </w:r>
      <w:proofErr w:type="spellEnd"/>
      <w:r>
        <w:t xml:space="preserve"> property (see conditions that the risk spectrum function must meet </w:t>
      </w:r>
      <w:proofErr w:type="spellStart"/>
      <w:r>
        <w:t>st</w:t>
      </w:r>
      <w:proofErr w:type="spellEnd"/>
      <w:r>
        <w:t xml:space="preserve"> M is coherent - p203)</w:t>
      </w:r>
    </w:p>
    <w:p w14:paraId="4638BA86" w14:textId="77777777" w:rsidR="000B6524" w:rsidRDefault="00E52755">
      <w:pPr>
        <w:numPr>
          <w:ilvl w:val="1"/>
          <w:numId w:val="6"/>
        </w:numPr>
        <w:contextualSpacing/>
        <w:rPr>
          <w:highlight w:val="yellow"/>
        </w:rPr>
      </w:pPr>
      <w:r>
        <w:rPr>
          <w:highlight w:val="yellow"/>
        </w:rPr>
        <w:t>Coherent risk measures (</w:t>
      </w:r>
      <w:proofErr w:type="spellStart"/>
      <w:r>
        <w:rPr>
          <w:highlight w:val="yellow"/>
        </w:rPr>
        <w:t>Artzner</w:t>
      </w:r>
      <w:proofErr w:type="spellEnd"/>
      <w:r>
        <w:rPr>
          <w:highlight w:val="yellow"/>
        </w:rPr>
        <w:t xml:space="preserve"> et al., 1997, 1999).</w:t>
      </w:r>
    </w:p>
    <w:p w14:paraId="09587163" w14:textId="77777777" w:rsidR="000B6524" w:rsidRDefault="00E52755">
      <w:pPr>
        <w:numPr>
          <w:ilvl w:val="2"/>
          <w:numId w:val="6"/>
        </w:numPr>
        <w:contextualSpacing/>
        <w:rPr>
          <w:highlight w:val="yellow"/>
        </w:rPr>
      </w:pPr>
      <w:r>
        <w:rPr>
          <w:highlight w:val="yellow"/>
        </w:rPr>
        <w:t>Risk-measure axioms (axioms of coherence) - see p.198</w:t>
      </w:r>
    </w:p>
    <w:p w14:paraId="21029A1D" w14:textId="77777777" w:rsidR="000B6524" w:rsidRDefault="000B6524">
      <w:pPr>
        <w:rPr>
          <w:highlight w:val="yellow"/>
        </w:rPr>
      </w:pPr>
    </w:p>
    <w:p w14:paraId="7BDF1862" w14:textId="77777777" w:rsidR="000B6524" w:rsidRDefault="00E52755">
      <w:r>
        <w:rPr>
          <w:noProof/>
        </w:rPr>
        <w:drawing>
          <wp:inline distT="114300" distB="114300" distL="114300" distR="114300" wp14:anchorId="414943FB" wp14:editId="32C1C961">
            <wp:extent cx="4762500" cy="4914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762500" cy="4914900"/>
                    </a:xfrm>
                    <a:prstGeom prst="rect">
                      <a:avLst/>
                    </a:prstGeom>
                    <a:ln/>
                  </pic:spPr>
                </pic:pic>
              </a:graphicData>
            </a:graphic>
          </wp:inline>
        </w:drawing>
      </w:r>
      <w:r>
        <w:t>p198</w:t>
      </w:r>
    </w:p>
    <w:p w14:paraId="38B75D3D" w14:textId="77777777" w:rsidR="000B6524" w:rsidRDefault="000B6524">
      <w:pPr>
        <w:rPr>
          <w:highlight w:val="yellow"/>
        </w:rPr>
      </w:pPr>
    </w:p>
    <w:p w14:paraId="6D80CDE4" w14:textId="77777777" w:rsidR="000B6524" w:rsidRDefault="000B6524">
      <w:pPr>
        <w:rPr>
          <w:highlight w:val="yellow"/>
        </w:rPr>
      </w:pPr>
    </w:p>
    <w:p w14:paraId="016790C7" w14:textId="77777777" w:rsidR="000B6524" w:rsidRDefault="00E52755">
      <w:pPr>
        <w:numPr>
          <w:ilvl w:val="1"/>
          <w:numId w:val="6"/>
        </w:numPr>
        <w:contextualSpacing/>
      </w:pPr>
      <w:r>
        <w:t>Expected Shortfall</w:t>
      </w:r>
    </w:p>
    <w:p w14:paraId="7D29D9F6" w14:textId="77777777" w:rsidR="000B6524" w:rsidRDefault="00E52755">
      <w:pPr>
        <w:numPr>
          <w:ilvl w:val="2"/>
          <w:numId w:val="6"/>
        </w:numPr>
        <w:contextualSpacing/>
      </w:pPr>
      <w:r>
        <w:t>The average worst case scenario (given a CI)</w:t>
      </w:r>
    </w:p>
    <w:p w14:paraId="499BB0FF" w14:textId="77777777" w:rsidR="000B6524" w:rsidRDefault="00E52755">
      <w:pPr>
        <w:numPr>
          <w:ilvl w:val="2"/>
          <w:numId w:val="6"/>
        </w:numPr>
        <w:contextualSpacing/>
      </w:pPr>
      <w:r>
        <w:t xml:space="preserve">No consistent use of nomenclature (Conditional Tail Expectation, Tail </w:t>
      </w:r>
      <w:proofErr w:type="spellStart"/>
      <w:r>
        <w:t>VaR</w:t>
      </w:r>
      <w:proofErr w:type="spellEnd"/>
      <w:r>
        <w:t xml:space="preserve">, Expected Tail Loss, Tail Conditional Expectation, Conditional </w:t>
      </w:r>
      <w:proofErr w:type="spellStart"/>
      <w:r>
        <w:t>VaR</w:t>
      </w:r>
      <w:proofErr w:type="spellEnd"/>
      <w:r>
        <w:t xml:space="preserve">, Tail Conditional </w:t>
      </w:r>
      <w:proofErr w:type="spellStart"/>
      <w:r>
        <w:t>VaR</w:t>
      </w:r>
      <w:proofErr w:type="spellEnd"/>
      <w:r>
        <w:t>, Worst Conditional Expectation)</w:t>
      </w:r>
    </w:p>
    <w:p w14:paraId="74E20AF6" w14:textId="77777777" w:rsidR="000B6524" w:rsidRDefault="00E52755">
      <w:pPr>
        <w:numPr>
          <w:ilvl w:val="2"/>
          <w:numId w:val="6"/>
        </w:numPr>
        <w:contextualSpacing/>
      </w:pPr>
      <w:r>
        <w:t>Two variations</w:t>
      </w:r>
    </w:p>
    <w:p w14:paraId="1ECB87E4" w14:textId="77777777" w:rsidR="000B6524" w:rsidRDefault="00E52755">
      <w:pPr>
        <w:numPr>
          <w:ilvl w:val="3"/>
          <w:numId w:val="6"/>
        </w:numPr>
        <w:contextualSpacing/>
      </w:pPr>
      <w:r>
        <w:t xml:space="preserve">ES - “defined </w:t>
      </w:r>
      <w:proofErr w:type="spellStart"/>
      <w:r>
        <w:t>ito</w:t>
      </w:r>
      <w:proofErr w:type="spellEnd"/>
      <w:r>
        <w:t xml:space="preserve"> a probability threshold”</w:t>
      </w:r>
    </w:p>
    <w:p w14:paraId="0128E782" w14:textId="77777777" w:rsidR="000B6524" w:rsidRDefault="00E52755">
      <w:pPr>
        <w:numPr>
          <w:ilvl w:val="3"/>
          <w:numId w:val="6"/>
        </w:numPr>
        <w:contextualSpacing/>
      </w:pPr>
      <w:r>
        <w:t xml:space="preserve">“Average of losses exceeding </w:t>
      </w:r>
      <w:proofErr w:type="spellStart"/>
      <w:r>
        <w:t>VaR</w:t>
      </w:r>
      <w:proofErr w:type="spellEnd"/>
      <w:r>
        <w:t>”</w:t>
      </w:r>
    </w:p>
    <w:p w14:paraId="19462A1D" w14:textId="77777777" w:rsidR="000B6524" w:rsidRDefault="00E52755">
      <w:pPr>
        <w:numPr>
          <w:ilvl w:val="1"/>
          <w:numId w:val="6"/>
        </w:numPr>
        <w:contextualSpacing/>
      </w:pPr>
      <w:r>
        <w:t>Spectral Risk Measures</w:t>
      </w:r>
    </w:p>
    <w:p w14:paraId="33CA63BE" w14:textId="77777777" w:rsidR="000B6524" w:rsidRDefault="00E52755">
      <w:pPr>
        <w:numPr>
          <w:ilvl w:val="2"/>
          <w:numId w:val="6"/>
        </w:numPr>
        <w:contextualSpacing/>
      </w:pPr>
      <w:r>
        <w:t>“Relates coherent risk measures to a user’s risk aversion” - p.202</w:t>
      </w:r>
    </w:p>
    <w:p w14:paraId="766140C1" w14:textId="77777777" w:rsidR="000B6524" w:rsidRDefault="00E52755">
      <w:pPr>
        <w:numPr>
          <w:ilvl w:val="2"/>
          <w:numId w:val="6"/>
        </w:numPr>
        <w:contextualSpacing/>
      </w:pPr>
      <w:r>
        <w:t xml:space="preserve">Gives us </w:t>
      </w:r>
      <w:proofErr w:type="gramStart"/>
      <w:r>
        <w:t>p(</w:t>
      </w:r>
      <w:proofErr w:type="gramEnd"/>
      <w:r>
        <w:t>.)=</w:t>
      </w:r>
      <w:proofErr w:type="spellStart"/>
      <w:r>
        <w:t>M_thi</w:t>
      </w:r>
      <w:proofErr w:type="spellEnd"/>
      <w:r>
        <w:t>=integral(0,1)</w:t>
      </w:r>
      <w:proofErr w:type="spellStart"/>
      <w:r>
        <w:t>thi</w:t>
      </w:r>
      <w:proofErr w:type="spellEnd"/>
      <w:r>
        <w:t>(p)</w:t>
      </w:r>
      <w:proofErr w:type="spellStart"/>
      <w:r>
        <w:t>q_pdp</w:t>
      </w:r>
      <w:proofErr w:type="spellEnd"/>
    </w:p>
    <w:p w14:paraId="0BFE34AC" w14:textId="77777777" w:rsidR="000B6524" w:rsidRDefault="00E52755">
      <w:r>
        <w:rPr>
          <w:noProof/>
        </w:rPr>
        <w:lastRenderedPageBreak/>
        <w:drawing>
          <wp:inline distT="114300" distB="114300" distL="114300" distR="114300" wp14:anchorId="4F5755DE" wp14:editId="6486185D">
            <wp:extent cx="1485900" cy="46672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1485900" cy="466725"/>
                    </a:xfrm>
                    <a:prstGeom prst="rect">
                      <a:avLst/>
                    </a:prstGeom>
                    <a:ln/>
                  </pic:spPr>
                </pic:pic>
              </a:graphicData>
            </a:graphic>
          </wp:inline>
        </w:drawing>
      </w:r>
      <w:r>
        <w:t>p202</w:t>
      </w:r>
    </w:p>
    <w:p w14:paraId="323772CB" w14:textId="77777777" w:rsidR="000B6524" w:rsidRDefault="00E52755">
      <w:pPr>
        <w:numPr>
          <w:ilvl w:val="2"/>
          <w:numId w:val="6"/>
        </w:numPr>
        <w:contextualSpacing/>
      </w:pPr>
      <w:r>
        <w:t>“Weighted averages of the quantiles of our loss distribution”</w:t>
      </w:r>
    </w:p>
    <w:p w14:paraId="143B9417" w14:textId="77777777" w:rsidR="000B6524" w:rsidRDefault="00E52755">
      <w:pPr>
        <w:numPr>
          <w:ilvl w:val="2"/>
          <w:numId w:val="6"/>
        </w:numPr>
        <w:contextualSpacing/>
      </w:pPr>
      <w:r>
        <w:t xml:space="preserve">Function </w:t>
      </w:r>
      <w:proofErr w:type="spellStart"/>
      <w:proofErr w:type="gramStart"/>
      <w:r>
        <w:t>thi</w:t>
      </w:r>
      <w:proofErr w:type="spellEnd"/>
      <w:r>
        <w:t>(</w:t>
      </w:r>
      <w:proofErr w:type="gramEnd"/>
      <w:r>
        <w:t xml:space="preserve">.), aka the risk spectrum or risk-aversion function, needs to be determined. Must meet certain conditions so that </w:t>
      </w:r>
      <w:proofErr w:type="spellStart"/>
      <w:r>
        <w:t>M_thi</w:t>
      </w:r>
      <w:proofErr w:type="spellEnd"/>
      <w:r>
        <w:t xml:space="preserve"> is coherent</w:t>
      </w:r>
    </w:p>
    <w:p w14:paraId="4CACEEA0" w14:textId="77777777" w:rsidR="000B6524" w:rsidRDefault="00E52755">
      <w:pPr>
        <w:numPr>
          <w:ilvl w:val="2"/>
          <w:numId w:val="6"/>
        </w:numPr>
        <w:contextualSpacing/>
      </w:pPr>
      <w:r>
        <w:t xml:space="preserve">ES is special case of </w:t>
      </w:r>
      <w:proofErr w:type="spellStart"/>
      <w:r>
        <w:t>M_thi</w:t>
      </w:r>
      <w:proofErr w:type="spellEnd"/>
    </w:p>
    <w:p w14:paraId="214B59C7" w14:textId="77777777" w:rsidR="000B6524" w:rsidRDefault="00E52755">
      <w:r>
        <w:rPr>
          <w:noProof/>
        </w:rPr>
        <w:drawing>
          <wp:inline distT="114300" distB="114300" distL="114300" distR="114300" wp14:anchorId="07618526" wp14:editId="433DC2B8">
            <wp:extent cx="4381500" cy="10668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381500" cy="1066800"/>
                    </a:xfrm>
                    <a:prstGeom prst="rect">
                      <a:avLst/>
                    </a:prstGeom>
                    <a:ln/>
                  </pic:spPr>
                </pic:pic>
              </a:graphicData>
            </a:graphic>
          </wp:inline>
        </w:drawing>
      </w:r>
      <w:r>
        <w:t>p202</w:t>
      </w:r>
    </w:p>
    <w:p w14:paraId="62BFDF1D" w14:textId="77777777" w:rsidR="000B6524" w:rsidRDefault="00E52755">
      <w:r>
        <w:rPr>
          <w:noProof/>
        </w:rPr>
        <w:drawing>
          <wp:inline distT="114300" distB="114300" distL="114300" distR="114300" wp14:anchorId="3363E45C" wp14:editId="1A3C7D42">
            <wp:extent cx="4514850" cy="15335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514850" cy="1533525"/>
                    </a:xfrm>
                    <a:prstGeom prst="rect">
                      <a:avLst/>
                    </a:prstGeom>
                    <a:ln/>
                  </pic:spPr>
                </pic:pic>
              </a:graphicData>
            </a:graphic>
          </wp:inline>
        </w:drawing>
      </w:r>
      <w:r>
        <w:t>p203</w:t>
      </w:r>
    </w:p>
    <w:p w14:paraId="75DF41BC" w14:textId="77777777" w:rsidR="000B6524" w:rsidRDefault="00E52755">
      <w:pPr>
        <w:numPr>
          <w:ilvl w:val="2"/>
          <w:numId w:val="6"/>
        </w:numPr>
        <w:contextualSpacing/>
      </w:pPr>
      <w:r>
        <w:t>“The key to coherence is that a risk measure must give higher losses at least the same weight as lower losses” - p.203</w:t>
      </w:r>
    </w:p>
    <w:p w14:paraId="10E9C036" w14:textId="77777777" w:rsidR="000B6524" w:rsidRDefault="00E52755">
      <w:pPr>
        <w:numPr>
          <w:ilvl w:val="2"/>
          <w:numId w:val="6"/>
        </w:numPr>
        <w:contextualSpacing/>
      </w:pPr>
      <w:r>
        <w:t>“If a user has a “well-behaved” risk-aversion function, then the weights will rise smoothly, and the more risk-averse the user, the more rapidly the weights will rise” - p.203</w:t>
      </w:r>
    </w:p>
    <w:p w14:paraId="727F9548" w14:textId="77777777" w:rsidR="000B6524" w:rsidRDefault="00E52755">
      <w:pPr>
        <w:numPr>
          <w:ilvl w:val="2"/>
          <w:numId w:val="6"/>
        </w:numPr>
        <w:contextualSpacing/>
      </w:pPr>
      <w:r>
        <w:t>Choice of user’s risk-aversion function is subjective</w:t>
      </w:r>
    </w:p>
    <w:p w14:paraId="238ED7CE" w14:textId="77777777" w:rsidR="000B6524" w:rsidRDefault="00E52755">
      <w:pPr>
        <w:numPr>
          <w:ilvl w:val="2"/>
          <w:numId w:val="6"/>
        </w:numPr>
        <w:contextualSpacing/>
      </w:pPr>
      <w:r>
        <w:t xml:space="preserve">ES and </w:t>
      </w:r>
      <w:proofErr w:type="spellStart"/>
      <w:r>
        <w:t>VaR</w:t>
      </w:r>
      <w:proofErr w:type="spellEnd"/>
      <w:r>
        <w:t xml:space="preserve"> can be argued to be bad measures to use for the risk-averse user:</w:t>
      </w:r>
    </w:p>
    <w:p w14:paraId="39F9BC00" w14:textId="77777777" w:rsidR="000B6524" w:rsidRDefault="00E52755">
      <w:pPr>
        <w:numPr>
          <w:ilvl w:val="3"/>
          <w:numId w:val="6"/>
        </w:numPr>
        <w:contextualSpacing/>
      </w:pP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No value given to loss exceeding a certain point ⇒ risk-loving in tail loss region\</w:t>
      </w:r>
    </w:p>
    <w:p w14:paraId="3CAE0E63" w14:textId="77777777" w:rsidR="000B6524" w:rsidRDefault="00E52755">
      <w:pPr>
        <w:numPr>
          <w:ilvl w:val="3"/>
          <w:numId w:val="6"/>
        </w:numPr>
        <w:contextualSpacing/>
      </w:pPr>
      <w:r>
        <w:rPr>
          <w:rFonts w:ascii="Arial Unicode MS" w:eastAsia="Arial Unicode MS" w:hAnsi="Arial Unicode MS" w:cs="Arial Unicode MS"/>
        </w:rPr>
        <w:t>ES: all losses in tail region have the same weight (see p.202 equation (6)) ⇒ risk-neutral attitude to risk between tail-region outcomes</w:t>
      </w:r>
    </w:p>
    <w:p w14:paraId="7C6AC341" w14:textId="77777777" w:rsidR="000B6524" w:rsidRDefault="00E52755">
      <w:pPr>
        <w:numPr>
          <w:ilvl w:val="1"/>
          <w:numId w:val="6"/>
        </w:numPr>
        <w:contextualSpacing/>
      </w:pPr>
      <w:r>
        <w:t>Distortion Risk Measures</w:t>
      </w:r>
    </w:p>
    <w:p w14:paraId="26D185E8" w14:textId="77777777" w:rsidR="000B6524" w:rsidRDefault="00E52755">
      <w:pPr>
        <w:numPr>
          <w:ilvl w:val="2"/>
          <w:numId w:val="6"/>
        </w:numPr>
        <w:contextualSpacing/>
      </w:pPr>
      <w:r>
        <w:t>“Closely related to coherent measures” - p.204</w:t>
      </w:r>
    </w:p>
    <w:p w14:paraId="4F0AE155" w14:textId="77777777" w:rsidR="000B6524" w:rsidRDefault="00E52755">
      <w:r>
        <w:rPr>
          <w:noProof/>
        </w:rPr>
        <w:drawing>
          <wp:inline distT="114300" distB="114300" distL="114300" distR="114300" wp14:anchorId="1D9E0CAB" wp14:editId="5358BEBB">
            <wp:extent cx="4276725" cy="9525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276725" cy="952500"/>
                    </a:xfrm>
                    <a:prstGeom prst="rect">
                      <a:avLst/>
                    </a:prstGeom>
                    <a:ln/>
                  </pic:spPr>
                </pic:pic>
              </a:graphicData>
            </a:graphic>
          </wp:inline>
        </w:drawing>
      </w:r>
      <w:r>
        <w:t>p204</w:t>
      </w:r>
    </w:p>
    <w:p w14:paraId="6F7361BA" w14:textId="77777777" w:rsidR="000B6524" w:rsidRDefault="000B6524"/>
    <w:p w14:paraId="38791355" w14:textId="77777777" w:rsidR="000B6524" w:rsidRDefault="000B6524"/>
    <w:p w14:paraId="17E779F9" w14:textId="77777777" w:rsidR="000B6524" w:rsidRDefault="00E52755">
      <w:pPr>
        <w:numPr>
          <w:ilvl w:val="2"/>
          <w:numId w:val="6"/>
        </w:numPr>
        <w:contextualSpacing/>
      </w:pPr>
      <w:r>
        <w:lastRenderedPageBreak/>
        <w:t>Like coherent risk measures, share some properties</w:t>
      </w:r>
    </w:p>
    <w:p w14:paraId="263F13FC" w14:textId="77777777" w:rsidR="000B6524" w:rsidRDefault="00E52755">
      <w:pPr>
        <w:numPr>
          <w:ilvl w:val="3"/>
          <w:numId w:val="6"/>
        </w:numPr>
        <w:contextualSpacing/>
      </w:pPr>
      <w:r>
        <w:t>Monotonicity</w:t>
      </w:r>
    </w:p>
    <w:p w14:paraId="5CEE6BCF" w14:textId="77777777" w:rsidR="000B6524" w:rsidRDefault="00E52755">
      <w:pPr>
        <w:numPr>
          <w:ilvl w:val="3"/>
          <w:numId w:val="6"/>
        </w:numPr>
        <w:contextualSpacing/>
      </w:pPr>
      <w:r>
        <w:t>Positive homogeneity</w:t>
      </w:r>
    </w:p>
    <w:p w14:paraId="41AAC60E" w14:textId="77777777" w:rsidR="000B6524" w:rsidRDefault="00E52755">
      <w:pPr>
        <w:numPr>
          <w:ilvl w:val="3"/>
          <w:numId w:val="6"/>
        </w:numPr>
        <w:contextualSpacing/>
      </w:pPr>
      <w:r>
        <w:t>Translational invariance</w:t>
      </w:r>
    </w:p>
    <w:p w14:paraId="4F7CE977" w14:textId="77777777" w:rsidR="000B6524" w:rsidRDefault="00E52755">
      <w:pPr>
        <w:numPr>
          <w:ilvl w:val="2"/>
          <w:numId w:val="6"/>
        </w:numPr>
        <w:contextualSpacing/>
      </w:pPr>
      <w:r>
        <w:t>Like spectral risk measures</w:t>
      </w:r>
    </w:p>
    <w:p w14:paraId="06156708" w14:textId="77777777" w:rsidR="000B6524" w:rsidRDefault="00E52755">
      <w:pPr>
        <w:numPr>
          <w:ilvl w:val="3"/>
          <w:numId w:val="6"/>
        </w:numPr>
        <w:contextualSpacing/>
      </w:pPr>
      <w:r>
        <w:t xml:space="preserve">Property of </w:t>
      </w:r>
      <w:proofErr w:type="spellStart"/>
      <w:r>
        <w:t>comonotonic</w:t>
      </w:r>
      <w:proofErr w:type="spellEnd"/>
      <w:r>
        <w:t xml:space="preserve"> additivity</w:t>
      </w:r>
    </w:p>
    <w:p w14:paraId="7E1E477D" w14:textId="77777777" w:rsidR="000B6524" w:rsidRDefault="00E52755">
      <w:pPr>
        <w:numPr>
          <w:ilvl w:val="2"/>
          <w:numId w:val="6"/>
        </w:numPr>
        <w:contextualSpacing/>
      </w:pPr>
      <w:r>
        <w:t>We need to choose a good distortion function. Some qualities to look out for:</w:t>
      </w:r>
    </w:p>
    <w:p w14:paraId="6AA97F58" w14:textId="77777777" w:rsidR="000B6524" w:rsidRDefault="00E52755">
      <w:pPr>
        <w:numPr>
          <w:ilvl w:val="3"/>
          <w:numId w:val="6"/>
        </w:numPr>
        <w:contextualSpacing/>
      </w:pPr>
      <w:r>
        <w:t>Continuity (necessary and sufficient for it to be coherent)</w:t>
      </w:r>
    </w:p>
    <w:p w14:paraId="03873368" w14:textId="77777777" w:rsidR="000B6524" w:rsidRDefault="00E52755">
      <w:pPr>
        <w:numPr>
          <w:ilvl w:val="3"/>
          <w:numId w:val="6"/>
        </w:numPr>
        <w:contextualSpacing/>
      </w:pPr>
      <w:r>
        <w:t>Concavity (sufficient for it to be coherent)</w:t>
      </w:r>
    </w:p>
    <w:p w14:paraId="74CBC77D" w14:textId="77777777" w:rsidR="000B6524" w:rsidRDefault="00E52755">
      <w:pPr>
        <w:numPr>
          <w:ilvl w:val="3"/>
          <w:numId w:val="6"/>
        </w:numPr>
        <w:contextualSpacing/>
      </w:pPr>
      <w:proofErr w:type="spellStart"/>
      <w:r>
        <w:t>Diffible</w:t>
      </w:r>
      <w:proofErr w:type="spellEnd"/>
    </w:p>
    <w:p w14:paraId="48B0F4C8" w14:textId="77777777" w:rsidR="000B6524" w:rsidRDefault="00E52755">
      <w:pPr>
        <w:numPr>
          <w:ilvl w:val="1"/>
          <w:numId w:val="6"/>
        </w:numPr>
        <w:contextualSpacing/>
      </w:pPr>
      <w:r>
        <w:t>Other Risk Measures</w:t>
      </w:r>
    </w:p>
    <w:p w14:paraId="47AB6590" w14:textId="77777777" w:rsidR="000B6524" w:rsidRDefault="00E52755">
      <w:pPr>
        <w:numPr>
          <w:ilvl w:val="2"/>
          <w:numId w:val="6"/>
        </w:numPr>
        <w:contextualSpacing/>
      </w:pPr>
      <w:r>
        <w:t>Convex risk measures</w:t>
      </w:r>
    </w:p>
    <w:p w14:paraId="1564150A" w14:textId="77777777" w:rsidR="000B6524" w:rsidRDefault="00E52755">
      <w:pPr>
        <w:numPr>
          <w:ilvl w:val="2"/>
          <w:numId w:val="6"/>
        </w:numPr>
        <w:contextualSpacing/>
      </w:pPr>
      <w:r>
        <w:t>Dynamic risk measures</w:t>
      </w:r>
    </w:p>
    <w:p w14:paraId="3B87DE4D" w14:textId="77777777" w:rsidR="000B6524" w:rsidRDefault="00E52755">
      <w:pPr>
        <w:numPr>
          <w:ilvl w:val="2"/>
          <w:numId w:val="6"/>
        </w:numPr>
        <w:contextualSpacing/>
      </w:pPr>
      <w:proofErr w:type="spellStart"/>
      <w:r>
        <w:t>Comonotonicity</w:t>
      </w:r>
      <w:proofErr w:type="spellEnd"/>
      <w:r>
        <w:t xml:space="preserve"> approaches</w:t>
      </w:r>
    </w:p>
    <w:p w14:paraId="6667F641" w14:textId="77777777" w:rsidR="000B6524" w:rsidRDefault="00E52755">
      <w:pPr>
        <w:numPr>
          <w:ilvl w:val="2"/>
          <w:numId w:val="6"/>
        </w:numPr>
        <w:contextualSpacing/>
      </w:pPr>
      <w:r>
        <w:t>Markov bounds approaches</w:t>
      </w:r>
    </w:p>
    <w:p w14:paraId="3D5F03FD" w14:textId="77777777" w:rsidR="000B6524" w:rsidRDefault="00E52755">
      <w:pPr>
        <w:numPr>
          <w:ilvl w:val="2"/>
          <w:numId w:val="6"/>
        </w:numPr>
        <w:contextualSpacing/>
      </w:pPr>
      <w:r>
        <w:t>“Best practices” risk measures</w:t>
      </w:r>
    </w:p>
    <w:p w14:paraId="0128DBBA" w14:textId="77777777" w:rsidR="000B6524" w:rsidRDefault="00E52755">
      <w:pPr>
        <w:numPr>
          <w:ilvl w:val="1"/>
          <w:numId w:val="6"/>
        </w:numPr>
        <w:contextualSpacing/>
      </w:pPr>
      <w:r>
        <w:t>There are many different types of risk measures, and it’s generally not quickly identifiable which one is the best for the particular situation</w:t>
      </w:r>
    </w:p>
    <w:p w14:paraId="178227BE" w14:textId="77777777" w:rsidR="000B6524" w:rsidRDefault="00E52755">
      <w:pPr>
        <w:numPr>
          <w:ilvl w:val="1"/>
          <w:numId w:val="6"/>
        </w:numPr>
        <w:contextualSpacing/>
      </w:pPr>
      <w:proofErr w:type="spellStart"/>
      <w:r>
        <w:t>VaR</w:t>
      </w:r>
      <w:proofErr w:type="spellEnd"/>
      <w:r>
        <w:t xml:space="preserve"> does not have good theoretical properties</w:t>
      </w:r>
    </w:p>
    <w:p w14:paraId="773B6E33" w14:textId="77777777" w:rsidR="000B6524" w:rsidRDefault="00E52755">
      <w:pPr>
        <w:numPr>
          <w:ilvl w:val="0"/>
          <w:numId w:val="6"/>
        </w:numPr>
        <w:contextualSpacing/>
      </w:pPr>
      <w:r>
        <w:t>Estimation methods</w:t>
      </w:r>
    </w:p>
    <w:p w14:paraId="3DFF9F7D" w14:textId="77777777" w:rsidR="000B6524" w:rsidRDefault="00E52755">
      <w:pPr>
        <w:numPr>
          <w:ilvl w:val="1"/>
          <w:numId w:val="6"/>
        </w:numPr>
        <w:contextualSpacing/>
      </w:pPr>
      <w:r>
        <w:t xml:space="preserve">“The costs of upgrading from </w:t>
      </w:r>
      <w:proofErr w:type="spellStart"/>
      <w:r>
        <w:t>VaR</w:t>
      </w:r>
      <w:proofErr w:type="spellEnd"/>
      <w:r>
        <w:t xml:space="preserve"> to more sophisticated risk measures are very low” - p208</w:t>
      </w:r>
    </w:p>
    <w:p w14:paraId="12965182" w14:textId="77777777" w:rsidR="000B6524" w:rsidRDefault="00E52755">
      <w:pPr>
        <w:numPr>
          <w:ilvl w:val="1"/>
          <w:numId w:val="6"/>
        </w:numPr>
        <w:contextualSpacing/>
      </w:pPr>
      <w:r>
        <w:t>See p.208 - 212 - will probably come in handy when doing the actual modelling</w:t>
      </w:r>
    </w:p>
    <w:p w14:paraId="2BC1AC90" w14:textId="77777777" w:rsidR="000B6524" w:rsidRDefault="00E52755">
      <w:pPr>
        <w:numPr>
          <w:ilvl w:val="1"/>
          <w:numId w:val="6"/>
        </w:numPr>
        <w:contextualSpacing/>
      </w:pPr>
      <w:r>
        <w:t>1) Parametric methods</w:t>
      </w:r>
    </w:p>
    <w:p w14:paraId="4005DCF7" w14:textId="77777777" w:rsidR="000B6524" w:rsidRDefault="00E52755">
      <w:pPr>
        <w:numPr>
          <w:ilvl w:val="2"/>
          <w:numId w:val="6"/>
        </w:numPr>
        <w:contextualSpacing/>
      </w:pPr>
      <w:r>
        <w:t xml:space="preserve">Assumes that loss </w:t>
      </w:r>
      <w:proofErr w:type="spellStart"/>
      <w:r>
        <w:t>dbn</w:t>
      </w:r>
      <w:proofErr w:type="spellEnd"/>
      <w:r>
        <w:t xml:space="preserve"> takes on a particular parametric form</w:t>
      </w:r>
    </w:p>
    <w:p w14:paraId="3BFAC29A" w14:textId="77777777" w:rsidR="000B6524" w:rsidRDefault="00E52755">
      <w:pPr>
        <w:numPr>
          <w:ilvl w:val="2"/>
          <w:numId w:val="6"/>
        </w:numPr>
        <w:contextualSpacing/>
      </w:pPr>
      <w:r>
        <w:t xml:space="preserve">Choice of </w:t>
      </w:r>
      <w:proofErr w:type="spellStart"/>
      <w:r>
        <w:t>dbn</w:t>
      </w:r>
      <w:proofErr w:type="spellEnd"/>
      <w:r>
        <w:t xml:space="preserve"> informed by “informal diagnostics” or also “theoretical considerations” or “past experience” - p209</w:t>
      </w:r>
    </w:p>
    <w:p w14:paraId="1E0863BE" w14:textId="77777777" w:rsidR="000B6524" w:rsidRDefault="00E52755">
      <w:pPr>
        <w:numPr>
          <w:ilvl w:val="2"/>
          <w:numId w:val="6"/>
        </w:numPr>
        <w:contextualSpacing/>
      </w:pPr>
      <w:r>
        <w:t xml:space="preserve">Would “have to take account of any conditionality in the loss process: losses might follow a temporal pattern, or might be driven off some other </w:t>
      </w:r>
      <w:proofErr w:type="spellStart"/>
      <w:r>
        <w:t>rv</w:t>
      </w:r>
      <w:proofErr w:type="spellEnd"/>
      <w:r>
        <w:t>”</w:t>
      </w:r>
    </w:p>
    <w:p w14:paraId="42E722AD" w14:textId="77777777" w:rsidR="000B6524" w:rsidRDefault="00E52755">
      <w:pPr>
        <w:numPr>
          <w:ilvl w:val="2"/>
          <w:numId w:val="6"/>
        </w:numPr>
        <w:contextualSpacing/>
      </w:pPr>
      <w:r>
        <w:t xml:space="preserve">After choosing </w:t>
      </w:r>
      <w:proofErr w:type="spellStart"/>
      <w:r>
        <w:t>dbn</w:t>
      </w:r>
      <w:proofErr w:type="spellEnd"/>
      <w:r>
        <w:t xml:space="preserve">, must “look up that </w:t>
      </w:r>
      <w:proofErr w:type="spellStart"/>
      <w:r>
        <w:t>dbn’s</w:t>
      </w:r>
      <w:proofErr w:type="spellEnd"/>
      <w:r>
        <w:t xml:space="preserve"> quantile formula”</w:t>
      </w:r>
    </w:p>
    <w:p w14:paraId="382A1898" w14:textId="77777777" w:rsidR="000B6524" w:rsidRDefault="00E52755">
      <w:pPr>
        <w:numPr>
          <w:ilvl w:val="3"/>
          <w:numId w:val="6"/>
        </w:numPr>
        <w:contextualSpacing/>
      </w:pPr>
      <w:r>
        <w:t xml:space="preserve">Has unknown </w:t>
      </w:r>
      <w:proofErr w:type="spellStart"/>
      <w:r>
        <w:t>parameterns</w:t>
      </w:r>
      <w:proofErr w:type="spellEnd"/>
      <w:r>
        <w:t xml:space="preserve"> that need estimating, which can be done using</w:t>
      </w:r>
    </w:p>
    <w:p w14:paraId="41FE5F94" w14:textId="77777777" w:rsidR="000B6524" w:rsidRDefault="00E52755">
      <w:pPr>
        <w:numPr>
          <w:ilvl w:val="4"/>
          <w:numId w:val="6"/>
        </w:numPr>
        <w:contextualSpacing/>
      </w:pPr>
      <w:r>
        <w:t>MLE</w:t>
      </w:r>
    </w:p>
    <w:p w14:paraId="56A57ADE" w14:textId="77777777" w:rsidR="000B6524" w:rsidRDefault="00E52755">
      <w:pPr>
        <w:numPr>
          <w:ilvl w:val="4"/>
          <w:numId w:val="6"/>
        </w:numPr>
        <w:contextualSpacing/>
      </w:pPr>
      <w:r>
        <w:t>OLS</w:t>
      </w:r>
    </w:p>
    <w:p w14:paraId="25678924" w14:textId="77777777" w:rsidR="000B6524" w:rsidRDefault="00E52755">
      <w:pPr>
        <w:numPr>
          <w:ilvl w:val="4"/>
          <w:numId w:val="6"/>
        </w:numPr>
        <w:contextualSpacing/>
      </w:pPr>
      <w:r>
        <w:t>Method of moments</w:t>
      </w:r>
    </w:p>
    <w:p w14:paraId="1004F289" w14:textId="77777777" w:rsidR="000B6524" w:rsidRDefault="00E52755">
      <w:pPr>
        <w:numPr>
          <w:ilvl w:val="2"/>
          <w:numId w:val="6"/>
        </w:numPr>
        <w:contextualSpacing/>
      </w:pPr>
      <w:r>
        <w:t xml:space="preserve">“Suited to risk measurement problems where the </w:t>
      </w:r>
      <w:proofErr w:type="spellStart"/>
      <w:r>
        <w:t>dbns</w:t>
      </w:r>
      <w:proofErr w:type="spellEnd"/>
      <w:r>
        <w:t xml:space="preserve"> concerned are known or reliably estimated” p.210</w:t>
      </w:r>
    </w:p>
    <w:p w14:paraId="28D93E0C" w14:textId="77777777" w:rsidR="000B6524" w:rsidRDefault="00E52755">
      <w:pPr>
        <w:numPr>
          <w:ilvl w:val="3"/>
          <w:numId w:val="6"/>
        </w:numPr>
        <w:contextualSpacing/>
      </w:pPr>
      <w:r>
        <w:t xml:space="preserve">Not met normally - </w:t>
      </w:r>
      <w:proofErr w:type="spellStart"/>
      <w:r>
        <w:t>esp</w:t>
      </w:r>
      <w:proofErr w:type="spellEnd"/>
      <w:r>
        <w:t xml:space="preserve"> small sample sizes</w:t>
      </w:r>
    </w:p>
    <w:p w14:paraId="312E28C1" w14:textId="77777777" w:rsidR="000B6524" w:rsidRDefault="00E52755">
      <w:pPr>
        <w:numPr>
          <w:ilvl w:val="3"/>
          <w:numId w:val="6"/>
        </w:numPr>
        <w:contextualSpacing/>
      </w:pPr>
      <w:r>
        <w:t xml:space="preserve">Only </w:t>
      </w:r>
      <w:proofErr w:type="spellStart"/>
      <w:r>
        <w:t>appropes</w:t>
      </w:r>
      <w:proofErr w:type="spellEnd"/>
      <w:r>
        <w:t xml:space="preserve"> for relatively “simple” risk measurement problems</w:t>
      </w:r>
    </w:p>
    <w:p w14:paraId="52DE3826" w14:textId="77777777" w:rsidR="000B6524" w:rsidRDefault="00E52755">
      <w:pPr>
        <w:numPr>
          <w:ilvl w:val="1"/>
          <w:numId w:val="6"/>
        </w:numPr>
        <w:contextualSpacing/>
      </w:pPr>
      <w:r>
        <w:t>2) Nonparametric methods</w:t>
      </w:r>
    </w:p>
    <w:p w14:paraId="321CE0F3" w14:textId="77777777" w:rsidR="000B6524" w:rsidRDefault="00E52755">
      <w:pPr>
        <w:numPr>
          <w:ilvl w:val="2"/>
          <w:numId w:val="6"/>
        </w:numPr>
        <w:contextualSpacing/>
      </w:pPr>
      <w:r>
        <w:t xml:space="preserve">Without strong assumptions regarding the </w:t>
      </w:r>
      <w:proofErr w:type="spellStart"/>
      <w:r>
        <w:t>dbn</w:t>
      </w:r>
      <w:proofErr w:type="spellEnd"/>
      <w:r>
        <w:t xml:space="preserve"> under consideration</w:t>
      </w:r>
    </w:p>
    <w:p w14:paraId="18EE8746" w14:textId="77777777" w:rsidR="000B6524" w:rsidRDefault="00E52755">
      <w:pPr>
        <w:numPr>
          <w:ilvl w:val="2"/>
          <w:numId w:val="6"/>
        </w:numPr>
        <w:contextualSpacing/>
      </w:pPr>
      <w:r>
        <w:t xml:space="preserve">“Estimate risk measures from the empirical </w:t>
      </w:r>
      <w:proofErr w:type="spellStart"/>
      <w:r>
        <w:t>dbn</w:t>
      </w:r>
      <w:proofErr w:type="spellEnd"/>
      <w:r>
        <w:t>” - p210</w:t>
      </w:r>
    </w:p>
    <w:p w14:paraId="11C8365D" w14:textId="77777777" w:rsidR="000B6524" w:rsidRDefault="00E52755">
      <w:pPr>
        <w:numPr>
          <w:ilvl w:val="2"/>
          <w:numId w:val="6"/>
        </w:numPr>
        <w:contextualSpacing/>
      </w:pPr>
      <w:r>
        <w:t xml:space="preserve">“Avoid danger of </w:t>
      </w:r>
      <w:proofErr w:type="spellStart"/>
      <w:r>
        <w:t>misspecifying</w:t>
      </w:r>
      <w:proofErr w:type="spellEnd"/>
      <w:r>
        <w:t xml:space="preserve"> the </w:t>
      </w:r>
      <w:proofErr w:type="spellStart"/>
      <w:r>
        <w:t>dbn</w:t>
      </w:r>
      <w:proofErr w:type="spellEnd"/>
      <w:r>
        <w:t>”</w:t>
      </w:r>
    </w:p>
    <w:p w14:paraId="48DA4E86" w14:textId="77777777" w:rsidR="000B6524" w:rsidRDefault="00E52755">
      <w:pPr>
        <w:numPr>
          <w:ilvl w:val="2"/>
          <w:numId w:val="6"/>
        </w:numPr>
        <w:contextualSpacing/>
      </w:pPr>
      <w:r>
        <w:lastRenderedPageBreak/>
        <w:t xml:space="preserve">Assume that the near future will be similar to the recent past, which is justification for using recent historical data </w:t>
      </w:r>
    </w:p>
    <w:p w14:paraId="7A03421E" w14:textId="77777777" w:rsidR="000B6524" w:rsidRDefault="00E52755">
      <w:pPr>
        <w:numPr>
          <w:ilvl w:val="2"/>
          <w:numId w:val="6"/>
        </w:numPr>
        <w:contextualSpacing/>
      </w:pPr>
      <w:r>
        <w:t>Can be imprecise - especially towards the tails</w:t>
      </w:r>
    </w:p>
    <w:p w14:paraId="6A0C7820" w14:textId="77777777" w:rsidR="000B6524" w:rsidRDefault="00E52755">
      <w:pPr>
        <w:numPr>
          <w:ilvl w:val="2"/>
          <w:numId w:val="6"/>
        </w:numPr>
        <w:contextualSpacing/>
      </w:pPr>
      <w:r>
        <w:t xml:space="preserve">“Can also extend nonparametric methods to include </w:t>
      </w:r>
      <w:proofErr w:type="spellStart"/>
      <w:r>
        <w:t>nonhistorical</w:t>
      </w:r>
      <w:proofErr w:type="spellEnd"/>
      <w:r>
        <w:t xml:space="preserve"> scenarios” (</w:t>
      </w:r>
      <w:proofErr w:type="spellStart"/>
      <w:r>
        <w:t>ie</w:t>
      </w:r>
      <w:proofErr w:type="spellEnd"/>
      <w:r>
        <w:t xml:space="preserve"> “hypothetical scenarios) - p211</w:t>
      </w:r>
    </w:p>
    <w:p w14:paraId="7B694DF2" w14:textId="77777777" w:rsidR="000B6524" w:rsidRDefault="00E52755">
      <w:pPr>
        <w:numPr>
          <w:ilvl w:val="1"/>
          <w:numId w:val="6"/>
        </w:numPr>
        <w:contextualSpacing/>
      </w:pPr>
      <w:r>
        <w:t xml:space="preserve">3) stochastic (monte </w:t>
      </w:r>
      <w:proofErr w:type="spellStart"/>
      <w:r>
        <w:t>carlo</w:t>
      </w:r>
      <w:proofErr w:type="spellEnd"/>
      <w:r>
        <w:t>) simulation methods</w:t>
      </w:r>
    </w:p>
    <w:p w14:paraId="11E03374" w14:textId="77777777" w:rsidR="000B6524" w:rsidRDefault="00E52755">
      <w:pPr>
        <w:numPr>
          <w:ilvl w:val="2"/>
          <w:numId w:val="6"/>
        </w:numPr>
        <w:contextualSpacing/>
      </w:pPr>
      <w:r>
        <w:t xml:space="preserve">“Simulate the loss </w:t>
      </w:r>
      <w:proofErr w:type="spellStart"/>
      <w:r>
        <w:t>dbn</w:t>
      </w:r>
      <w:proofErr w:type="spellEnd"/>
      <w:r>
        <w:t xml:space="preserve"> using a random number simulation engine, and they are much more powerful and flexible than the earlier methods” - p211</w:t>
      </w:r>
    </w:p>
    <w:p w14:paraId="6122AA67" w14:textId="77777777" w:rsidR="000B6524" w:rsidRDefault="00E52755">
      <w:pPr>
        <w:numPr>
          <w:ilvl w:val="0"/>
          <w:numId w:val="6"/>
        </w:numPr>
        <w:contextualSpacing/>
      </w:pPr>
      <w:r>
        <w:t xml:space="preserve">Complicating factors in </w:t>
      </w:r>
      <w:commentRangeStart w:id="1"/>
      <w:r>
        <w:t xml:space="preserve">insurance </w:t>
      </w:r>
      <w:commentRangeEnd w:id="1"/>
      <w:r>
        <w:commentReference w:id="1"/>
      </w:r>
      <w:r>
        <w:t>risk measurement problems</w:t>
      </w:r>
    </w:p>
    <w:p w14:paraId="09F01347" w14:textId="77777777" w:rsidR="000B6524" w:rsidRDefault="00E52755">
      <w:pPr>
        <w:numPr>
          <w:ilvl w:val="1"/>
          <w:numId w:val="6"/>
        </w:numPr>
        <w:contextualSpacing/>
      </w:pPr>
      <w:r>
        <w:t>“These will often necessitate that we use stochastic simulation methods” - p212</w:t>
      </w:r>
    </w:p>
    <w:p w14:paraId="5A2046CF" w14:textId="77777777" w:rsidR="000B6524" w:rsidRDefault="00E52755">
      <w:pPr>
        <w:numPr>
          <w:ilvl w:val="1"/>
          <w:numId w:val="6"/>
        </w:numPr>
        <w:contextualSpacing/>
      </w:pPr>
      <w:r>
        <w:t>Valuation problems</w:t>
      </w:r>
    </w:p>
    <w:p w14:paraId="23495FFF" w14:textId="77777777" w:rsidR="000B6524" w:rsidRDefault="00E52755">
      <w:pPr>
        <w:numPr>
          <w:ilvl w:val="1"/>
          <w:numId w:val="6"/>
        </w:numPr>
        <w:contextualSpacing/>
      </w:pPr>
      <w:r>
        <w:t xml:space="preserve">“Badly behaved” and </w:t>
      </w:r>
      <w:proofErr w:type="spellStart"/>
      <w:r>
        <w:t>heterogenous</w:t>
      </w:r>
      <w:proofErr w:type="spellEnd"/>
      <w:r>
        <w:t xml:space="preserve"> risk factors</w:t>
      </w:r>
    </w:p>
    <w:p w14:paraId="50F48996" w14:textId="77777777" w:rsidR="000B6524" w:rsidRDefault="00E52755">
      <w:pPr>
        <w:numPr>
          <w:ilvl w:val="1"/>
          <w:numId w:val="6"/>
        </w:numPr>
        <w:contextualSpacing/>
      </w:pPr>
      <w:r>
        <w:t>Nonlinearity</w:t>
      </w:r>
    </w:p>
    <w:p w14:paraId="504F1210" w14:textId="77777777" w:rsidR="000B6524" w:rsidRDefault="00E52755">
      <w:pPr>
        <w:numPr>
          <w:ilvl w:val="1"/>
          <w:numId w:val="6"/>
        </w:numPr>
        <w:contextualSpacing/>
      </w:pPr>
      <w:r>
        <w:t>Optionality</w:t>
      </w:r>
    </w:p>
    <w:p w14:paraId="0474D019" w14:textId="77777777" w:rsidR="000B6524" w:rsidRDefault="00E52755">
      <w:pPr>
        <w:numPr>
          <w:ilvl w:val="1"/>
          <w:numId w:val="6"/>
        </w:numPr>
        <w:contextualSpacing/>
      </w:pPr>
      <w:r>
        <w:t>Parameter and model risk</w:t>
      </w:r>
    </w:p>
    <w:p w14:paraId="10601239" w14:textId="77777777" w:rsidR="000B6524" w:rsidRDefault="00E52755">
      <w:pPr>
        <w:numPr>
          <w:ilvl w:val="1"/>
          <w:numId w:val="6"/>
        </w:numPr>
        <w:contextualSpacing/>
      </w:pPr>
      <w:r>
        <w:t>Long horizons</w:t>
      </w:r>
    </w:p>
    <w:p w14:paraId="50A7BE97" w14:textId="77777777" w:rsidR="000B6524" w:rsidRDefault="00E52755">
      <w:pPr>
        <w:numPr>
          <w:ilvl w:val="1"/>
          <w:numId w:val="6"/>
        </w:numPr>
        <w:contextualSpacing/>
      </w:pPr>
      <w:r>
        <w:t xml:space="preserve">Others . . . </w:t>
      </w:r>
    </w:p>
    <w:p w14:paraId="4E47954D" w14:textId="77777777" w:rsidR="000B6524" w:rsidRDefault="00E52755">
      <w:pPr>
        <w:numPr>
          <w:ilvl w:val="0"/>
          <w:numId w:val="6"/>
        </w:numPr>
        <w:contextualSpacing/>
      </w:pPr>
      <w:r>
        <w:t>Didn’t read pages 212 - 220 (didn’t seem all that relevant - but may have to come back to them)</w:t>
      </w:r>
    </w:p>
    <w:p w14:paraId="2B377AC6" w14:textId="77777777" w:rsidR="000B6524" w:rsidRDefault="00E52755">
      <w:pPr>
        <w:numPr>
          <w:ilvl w:val="0"/>
          <w:numId w:val="6"/>
        </w:numPr>
        <w:contextualSpacing/>
      </w:pPr>
      <w:r>
        <w:t>Conclusion</w:t>
      </w:r>
    </w:p>
    <w:p w14:paraId="0A6DC291" w14:textId="77777777" w:rsidR="000B6524" w:rsidRDefault="00E52755">
      <w:pPr>
        <w:numPr>
          <w:ilvl w:val="1"/>
          <w:numId w:val="6"/>
        </w:numPr>
        <w:contextualSpacing/>
      </w:pPr>
      <w:r>
        <w:t>Good summary of what we’ve done - may be good to look at briefly</w:t>
      </w:r>
    </w:p>
    <w:p w14:paraId="2FCDF6D7" w14:textId="77777777" w:rsidR="000B6524" w:rsidRDefault="000B6524">
      <w:pPr>
        <w:rPr>
          <w:b/>
        </w:rPr>
      </w:pPr>
    </w:p>
    <w:p w14:paraId="0B83587F" w14:textId="77777777" w:rsidR="000B6524" w:rsidRDefault="000B6524">
      <w:pPr>
        <w:rPr>
          <w:b/>
        </w:rPr>
      </w:pPr>
    </w:p>
    <w:p w14:paraId="48E6B111" w14:textId="77777777" w:rsidR="000B6524" w:rsidRDefault="00E52755">
      <w:pPr>
        <w:numPr>
          <w:ilvl w:val="0"/>
          <w:numId w:val="3"/>
        </w:numPr>
        <w:ind w:hanging="720"/>
        <w:contextualSpacing/>
        <w:rPr>
          <w:b/>
        </w:rPr>
      </w:pPr>
      <w:r>
        <w:rPr>
          <w:b/>
        </w:rPr>
        <w:t>Managing Risk Exposures using the Risk Budgeting Approach (</w:t>
      </w:r>
      <w:proofErr w:type="spellStart"/>
      <w:r>
        <w:rPr>
          <w:b/>
        </w:rPr>
        <w:t>Bruder</w:t>
      </w:r>
      <w:proofErr w:type="spellEnd"/>
      <w:r>
        <w:rPr>
          <w:b/>
        </w:rPr>
        <w:t xml:space="preserve">, B. &amp; </w:t>
      </w:r>
      <w:proofErr w:type="spellStart"/>
      <w:r>
        <w:rPr>
          <w:b/>
        </w:rPr>
        <w:t>Roncalli</w:t>
      </w:r>
      <w:proofErr w:type="spellEnd"/>
      <w:r>
        <w:rPr>
          <w:b/>
        </w:rPr>
        <w:t>, T., 2012)</w:t>
      </w:r>
    </w:p>
    <w:p w14:paraId="5523A41A" w14:textId="77777777" w:rsidR="000B6524" w:rsidRDefault="00E52755">
      <w:pPr>
        <w:numPr>
          <w:ilvl w:val="0"/>
          <w:numId w:val="2"/>
        </w:numPr>
        <w:contextualSpacing/>
      </w:pPr>
      <w:r>
        <w:t>Risk budgeting</w:t>
      </w:r>
    </w:p>
    <w:p w14:paraId="535B6BDC" w14:textId="77777777" w:rsidR="000B6524" w:rsidRDefault="00E52755">
      <w:pPr>
        <w:numPr>
          <w:ilvl w:val="1"/>
          <w:numId w:val="2"/>
        </w:numPr>
        <w:contextualSpacing/>
      </w:pPr>
      <w:r>
        <w:t>“Investor only chooses the risk repartition between assets of the portfolio, without any considerations of returns” - p2</w:t>
      </w:r>
    </w:p>
    <w:p w14:paraId="7545BEC5" w14:textId="77777777" w:rsidR="000B6524" w:rsidRDefault="00E52755">
      <w:pPr>
        <w:numPr>
          <w:ilvl w:val="1"/>
          <w:numId w:val="2"/>
        </w:numPr>
        <w:contextualSpacing/>
      </w:pPr>
      <w:r>
        <w:t>Equal risk contribution (ERC) portfolio</w:t>
      </w:r>
    </w:p>
    <w:p w14:paraId="0FB48255" w14:textId="77777777" w:rsidR="000B6524" w:rsidRDefault="00E52755">
      <w:pPr>
        <w:numPr>
          <w:ilvl w:val="2"/>
          <w:numId w:val="2"/>
        </w:numPr>
        <w:contextualSpacing/>
      </w:pPr>
      <w:r>
        <w:t>“Is located between minimum variance and equally-weighted portfolios” - p2</w:t>
      </w:r>
    </w:p>
    <w:p w14:paraId="1AF8A69C" w14:textId="77777777" w:rsidR="000B6524" w:rsidRDefault="00E52755">
      <w:pPr>
        <w:numPr>
          <w:ilvl w:val="1"/>
          <w:numId w:val="2"/>
        </w:numPr>
        <w:contextualSpacing/>
      </w:pPr>
      <w:r>
        <w:t>Analysis of the risk budgeting approach</w:t>
      </w:r>
    </w:p>
    <w:p w14:paraId="501C7D32" w14:textId="77777777" w:rsidR="000B6524" w:rsidRDefault="00E52755">
      <w:pPr>
        <w:numPr>
          <w:ilvl w:val="2"/>
          <w:numId w:val="2"/>
        </w:numPr>
        <w:contextualSpacing/>
      </w:pPr>
      <w:r>
        <w:t xml:space="preserve">See </w:t>
      </w:r>
      <w:proofErr w:type="spellStart"/>
      <w:r>
        <w:t>defn</w:t>
      </w:r>
      <w:proofErr w:type="spellEnd"/>
      <w:r>
        <w:t xml:space="preserve"> on p3</w:t>
      </w:r>
    </w:p>
    <w:p w14:paraId="6FFBCECA" w14:textId="77777777" w:rsidR="000B6524" w:rsidRDefault="00E52755">
      <w:pPr>
        <w:numPr>
          <w:ilvl w:val="2"/>
          <w:numId w:val="2"/>
        </w:numPr>
        <w:contextualSpacing/>
      </w:pPr>
      <w:r>
        <w:t xml:space="preserve">“Managing risk exposures with </w:t>
      </w:r>
      <w:proofErr w:type="spellStart"/>
      <w:r>
        <w:t>VaR</w:t>
      </w:r>
      <w:proofErr w:type="spellEnd"/>
      <w:r>
        <w:t xml:space="preserve"> or ES risk measures is the equivalent to managing risk exposures with the volatility in a Gaussian world.” -p3</w:t>
      </w:r>
    </w:p>
    <w:p w14:paraId="2A38FD3E" w14:textId="77777777" w:rsidR="000B6524" w:rsidRDefault="00E52755">
      <w:pPr>
        <w:numPr>
          <w:ilvl w:val="1"/>
          <w:numId w:val="2"/>
        </w:numPr>
        <w:contextualSpacing/>
      </w:pPr>
      <w:r>
        <w:t>“The right specification of the RB portfolios”</w:t>
      </w:r>
    </w:p>
    <w:p w14:paraId="6757EFB0" w14:textId="77777777" w:rsidR="000B6524" w:rsidRDefault="00E52755">
      <w:pPr>
        <w:numPr>
          <w:ilvl w:val="2"/>
          <w:numId w:val="2"/>
        </w:numPr>
        <w:contextualSpacing/>
      </w:pPr>
      <w:r>
        <w:t xml:space="preserve">RB </w:t>
      </w:r>
      <w:proofErr w:type="spellStart"/>
      <w:r>
        <w:t>techniqus</w:t>
      </w:r>
      <w:proofErr w:type="spellEnd"/>
      <w:r>
        <w:t xml:space="preserve"> </w:t>
      </w:r>
      <w:proofErr w:type="spellStart"/>
      <w:r>
        <w:t>usd</w:t>
      </w:r>
      <w:proofErr w:type="spellEnd"/>
      <w:r>
        <w:t xml:space="preserve"> to create diversified portfolios</w:t>
      </w:r>
    </w:p>
    <w:p w14:paraId="33932DAC" w14:textId="77777777" w:rsidR="000B6524" w:rsidRDefault="00E52755">
      <w:pPr>
        <w:numPr>
          <w:ilvl w:val="2"/>
          <w:numId w:val="2"/>
        </w:numPr>
        <w:contextualSpacing/>
      </w:pPr>
      <w:r>
        <w:t>“If some assets have a negative risk contribution implies that the risk is highly concentrated in the other assets of the portfolio”</w:t>
      </w:r>
    </w:p>
    <w:p w14:paraId="304BE731" w14:textId="77777777" w:rsidR="000B6524" w:rsidRDefault="00E52755">
      <w:pPr>
        <w:numPr>
          <w:ilvl w:val="2"/>
          <w:numId w:val="2"/>
        </w:numPr>
        <w:contextualSpacing/>
      </w:pPr>
      <w:r>
        <w:t xml:space="preserve">In the below: </w:t>
      </w:r>
    </w:p>
    <w:p w14:paraId="6AF1161E" w14:textId="77777777" w:rsidR="000B6524" w:rsidRDefault="00E52755">
      <w:pPr>
        <w:numPr>
          <w:ilvl w:val="3"/>
          <w:numId w:val="2"/>
        </w:numPr>
        <w:contextualSpacing/>
      </w:pPr>
      <w:r>
        <w:t>X is the vector of weights</w:t>
      </w:r>
    </w:p>
    <w:p w14:paraId="3DEA7C80" w14:textId="77777777" w:rsidR="000B6524" w:rsidRDefault="00E52755">
      <w:pPr>
        <w:numPr>
          <w:ilvl w:val="3"/>
          <w:numId w:val="2"/>
        </w:numPr>
        <w:contextualSpacing/>
      </w:pPr>
      <w:r>
        <w:t>B is the vector of risk budgets</w:t>
      </w:r>
    </w:p>
    <w:p w14:paraId="67B72139" w14:textId="77777777" w:rsidR="000B6524" w:rsidRDefault="000B6524"/>
    <w:p w14:paraId="77828908" w14:textId="77777777" w:rsidR="000B6524" w:rsidRDefault="00E52755">
      <w:r>
        <w:rPr>
          <w:noProof/>
        </w:rPr>
        <w:lastRenderedPageBreak/>
        <w:drawing>
          <wp:inline distT="114300" distB="114300" distL="114300" distR="114300" wp14:anchorId="0E99F822" wp14:editId="43D0EEEB">
            <wp:extent cx="4810125" cy="1095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810125" cy="1095375"/>
                    </a:xfrm>
                    <a:prstGeom prst="rect">
                      <a:avLst/>
                    </a:prstGeom>
                    <a:ln/>
                  </pic:spPr>
                </pic:pic>
              </a:graphicData>
            </a:graphic>
          </wp:inline>
        </w:drawing>
      </w:r>
      <w:r>
        <w:t>p4</w:t>
      </w:r>
    </w:p>
    <w:p w14:paraId="65CFE560" w14:textId="77777777" w:rsidR="000B6524" w:rsidRDefault="000B6524"/>
    <w:p w14:paraId="739F7C3F" w14:textId="77777777" w:rsidR="000B6524" w:rsidRDefault="000B6524"/>
    <w:p w14:paraId="486E7E10" w14:textId="77777777" w:rsidR="000B6524" w:rsidRDefault="00E52755">
      <w:r>
        <w:rPr>
          <w:noProof/>
        </w:rPr>
        <w:drawing>
          <wp:inline distT="114300" distB="114300" distL="114300" distR="114300" wp14:anchorId="416A7A8C" wp14:editId="2CEC2A26">
            <wp:extent cx="4867275" cy="13239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67275" cy="1323975"/>
                    </a:xfrm>
                    <a:prstGeom prst="rect">
                      <a:avLst/>
                    </a:prstGeom>
                    <a:ln/>
                  </pic:spPr>
                </pic:pic>
              </a:graphicData>
            </a:graphic>
          </wp:inline>
        </w:drawing>
      </w:r>
      <w:r>
        <w:t>p5</w:t>
      </w:r>
    </w:p>
    <w:p w14:paraId="51E70B58" w14:textId="77777777" w:rsidR="000B6524" w:rsidRDefault="000B6524"/>
    <w:p w14:paraId="27AB1F83" w14:textId="77777777" w:rsidR="000B6524" w:rsidRDefault="00E52755">
      <w:pPr>
        <w:numPr>
          <w:ilvl w:val="1"/>
          <w:numId w:val="2"/>
        </w:numPr>
        <w:contextualSpacing/>
      </w:pPr>
      <w:r>
        <w:t>RB portfolio properties</w:t>
      </w:r>
    </w:p>
    <w:p w14:paraId="6AE4B7AF" w14:textId="77777777" w:rsidR="000B6524" w:rsidRDefault="00E52755">
      <w:pPr>
        <w:numPr>
          <w:ilvl w:val="2"/>
          <w:numId w:val="2"/>
        </w:numPr>
        <w:contextualSpacing/>
      </w:pPr>
      <w:r>
        <w:t>The RB portfolio always exists and is unique</w:t>
      </w:r>
    </w:p>
    <w:p w14:paraId="63679F45" w14:textId="77777777" w:rsidR="000B6524" w:rsidRDefault="00E52755">
      <w:pPr>
        <w:numPr>
          <w:ilvl w:val="2"/>
          <w:numId w:val="2"/>
        </w:numPr>
        <w:contextualSpacing/>
      </w:pPr>
      <w:r>
        <w:t>Optimality</w:t>
      </w:r>
    </w:p>
    <w:p w14:paraId="19560D16" w14:textId="77777777" w:rsidR="000B6524" w:rsidRDefault="00E52755">
      <w:pPr>
        <w:numPr>
          <w:ilvl w:val="3"/>
          <w:numId w:val="2"/>
        </w:numPr>
        <w:contextualSpacing/>
      </w:pPr>
      <w:r>
        <w:t>“Like the ERC portfolio, the risk budgeting approach is a heuristic asset allocation method”  -p10</w:t>
      </w:r>
    </w:p>
    <w:p w14:paraId="1540B181" w14:textId="77777777" w:rsidR="000B6524" w:rsidRDefault="00E52755">
      <w:pPr>
        <w:numPr>
          <w:ilvl w:val="1"/>
          <w:numId w:val="2"/>
        </w:numPr>
        <w:contextualSpacing/>
      </w:pPr>
      <w:r>
        <w:t>Generalisation</w:t>
      </w:r>
    </w:p>
    <w:p w14:paraId="6DE6514A" w14:textId="77777777" w:rsidR="000B6524" w:rsidRDefault="00E52755">
      <w:pPr>
        <w:numPr>
          <w:ilvl w:val="2"/>
          <w:numId w:val="2"/>
        </w:numPr>
        <w:contextualSpacing/>
      </w:pPr>
      <w:r>
        <w:t xml:space="preserve">“We could show that the previous results are valid to convex risk measures R that satisfy the Euler decomposition, because it suffices to replace the </w:t>
      </w:r>
      <w:proofErr w:type="spellStart"/>
      <w:r>
        <w:t>the</w:t>
      </w:r>
      <w:proofErr w:type="spellEnd"/>
      <w:r>
        <w:t xml:space="preserve"> marginal volatility by the marginal risk in the mathematical proofs.” - p13</w:t>
      </w:r>
    </w:p>
    <w:p w14:paraId="37C98343" w14:textId="77777777" w:rsidR="000B6524" w:rsidRDefault="00E52755">
      <w:r>
        <w:rPr>
          <w:noProof/>
        </w:rPr>
        <w:drawing>
          <wp:inline distT="114300" distB="114300" distL="114300" distR="114300" wp14:anchorId="7B19ACBF" wp14:editId="23051D64">
            <wp:extent cx="4752975" cy="1409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52975" cy="1409700"/>
                    </a:xfrm>
                    <a:prstGeom prst="rect">
                      <a:avLst/>
                    </a:prstGeom>
                    <a:ln/>
                  </pic:spPr>
                </pic:pic>
              </a:graphicData>
            </a:graphic>
          </wp:inline>
        </w:drawing>
      </w:r>
      <w:r>
        <w:t>p13</w:t>
      </w:r>
    </w:p>
    <w:p w14:paraId="48BD7316" w14:textId="77777777" w:rsidR="000B6524" w:rsidRDefault="00E52755">
      <w:r>
        <w:rPr>
          <w:noProof/>
        </w:rPr>
        <w:drawing>
          <wp:inline distT="114300" distB="114300" distL="114300" distR="114300" wp14:anchorId="16453E80" wp14:editId="797B7EAD">
            <wp:extent cx="4838700" cy="12668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838700" cy="1266825"/>
                    </a:xfrm>
                    <a:prstGeom prst="rect">
                      <a:avLst/>
                    </a:prstGeom>
                    <a:ln/>
                  </pic:spPr>
                </pic:pic>
              </a:graphicData>
            </a:graphic>
          </wp:inline>
        </w:drawing>
      </w:r>
      <w:r>
        <w:t>p14</w:t>
      </w:r>
    </w:p>
    <w:p w14:paraId="26F4F35A" w14:textId="77777777" w:rsidR="000B6524" w:rsidRDefault="000B6524"/>
    <w:p w14:paraId="1E288DCD" w14:textId="77777777" w:rsidR="000B6524" w:rsidRDefault="00E52755">
      <w:pPr>
        <w:numPr>
          <w:ilvl w:val="1"/>
          <w:numId w:val="2"/>
        </w:numPr>
        <w:contextualSpacing/>
      </w:pPr>
      <w:r>
        <w:t>Comparison with MPT</w:t>
      </w:r>
    </w:p>
    <w:p w14:paraId="14D4BD9A" w14:textId="77777777" w:rsidR="000B6524" w:rsidRDefault="00E52755">
      <w:pPr>
        <w:numPr>
          <w:ilvl w:val="2"/>
          <w:numId w:val="2"/>
        </w:numPr>
        <w:contextualSpacing/>
      </w:pPr>
      <w:r>
        <w:t>“MPT tends to maximise effects of errors in the input assumption” - p15 (Michaud, 1989)</w:t>
      </w:r>
    </w:p>
    <w:p w14:paraId="407A8567" w14:textId="77777777" w:rsidR="000B6524" w:rsidRDefault="00E52755">
      <w:pPr>
        <w:numPr>
          <w:ilvl w:val="1"/>
          <w:numId w:val="2"/>
        </w:numPr>
        <w:contextualSpacing/>
      </w:pPr>
      <w:r>
        <w:t xml:space="preserve">Risk Parity Funds </w:t>
      </w:r>
    </w:p>
    <w:p w14:paraId="375C8CB2" w14:textId="77777777" w:rsidR="000B6524" w:rsidRDefault="00E52755">
      <w:pPr>
        <w:numPr>
          <w:ilvl w:val="2"/>
          <w:numId w:val="2"/>
        </w:numPr>
        <w:contextualSpacing/>
      </w:pPr>
      <w:r>
        <w:lastRenderedPageBreak/>
        <w:t xml:space="preserve">Optimising the MPT - faces that asset allocation puzzle (Campbell and </w:t>
      </w:r>
      <w:proofErr w:type="spellStart"/>
      <w:r>
        <w:t>Viciera</w:t>
      </w:r>
      <w:proofErr w:type="spellEnd"/>
      <w:r>
        <w:t>, 2002): describes a gap between theory of this diversification method, and the practical point of view</w:t>
      </w:r>
    </w:p>
    <w:p w14:paraId="748E5F0E" w14:textId="77777777" w:rsidR="000B6524" w:rsidRDefault="00E52755">
      <w:pPr>
        <w:numPr>
          <w:ilvl w:val="3"/>
          <w:numId w:val="2"/>
        </w:numPr>
        <w:contextualSpacing/>
      </w:pPr>
      <w:r>
        <w:t>Main criticisms:</w:t>
      </w:r>
    </w:p>
    <w:p w14:paraId="14E1867D" w14:textId="77777777" w:rsidR="000B6524" w:rsidRDefault="00E52755">
      <w:pPr>
        <w:numPr>
          <w:ilvl w:val="4"/>
          <w:numId w:val="2"/>
        </w:numPr>
        <w:contextualSpacing/>
      </w:pPr>
      <w:r>
        <w:t>“The allocation of diversified funds is very static and does not justify the high level of management fees” - p19</w:t>
      </w:r>
    </w:p>
    <w:p w14:paraId="2AF11A31" w14:textId="77777777" w:rsidR="000B6524" w:rsidRDefault="00E52755">
      <w:pPr>
        <w:numPr>
          <w:ilvl w:val="2"/>
          <w:numId w:val="2"/>
        </w:numPr>
        <w:contextualSpacing/>
      </w:pPr>
      <w:r>
        <w:t xml:space="preserve">This has </w:t>
      </w:r>
      <w:proofErr w:type="spellStart"/>
      <w:r>
        <w:t>lead</w:t>
      </w:r>
      <w:proofErr w:type="spellEnd"/>
      <w:r>
        <w:t xml:space="preserve"> to an alternative diversification technique: “a risk </w:t>
      </w:r>
      <w:proofErr w:type="spellStart"/>
      <w:r>
        <w:t>parity</w:t>
      </w:r>
      <w:proofErr w:type="spellEnd"/>
      <w:r>
        <w:t xml:space="preserve"> (RP) fund is an ERC strategy on multi-assets classes:</w:t>
      </w:r>
    </w:p>
    <w:p w14:paraId="7E8686CA" w14:textId="77777777" w:rsidR="000B6524" w:rsidRDefault="00E52755">
      <w:pPr>
        <w:numPr>
          <w:ilvl w:val="3"/>
          <w:numId w:val="2"/>
        </w:numPr>
        <w:contextualSpacing/>
      </w:pPr>
      <w:r>
        <w:t xml:space="preserve">“Diversify, but diversify by risk not by dollars - that is, take a similar amount of risk in equities and in bonds” </w:t>
      </w:r>
      <w:r>
        <w:rPr>
          <w:highlight w:val="yellow"/>
        </w:rPr>
        <w:t>(</w:t>
      </w:r>
      <w:proofErr w:type="spellStart"/>
      <w:r>
        <w:rPr>
          <w:highlight w:val="yellow"/>
        </w:rPr>
        <w:t>Asness</w:t>
      </w:r>
      <w:proofErr w:type="spellEnd"/>
      <w:r>
        <w:rPr>
          <w:highlight w:val="yellow"/>
        </w:rPr>
        <w:t xml:space="preserve"> et al., 2012)</w:t>
      </w:r>
    </w:p>
    <w:p w14:paraId="09EDEE0B" w14:textId="77777777" w:rsidR="000B6524" w:rsidRDefault="00E52755">
      <w:pPr>
        <w:numPr>
          <w:ilvl w:val="3"/>
          <w:numId w:val="2"/>
        </w:numPr>
        <w:contextualSpacing/>
      </w:pPr>
      <w:r>
        <w:t>For example, if we had a portfolio consisting of bonds and equities, we would diversify by rebuilding the portfolio such that the risk of the bond assets is equal to the risk of the equity assets</w:t>
      </w:r>
    </w:p>
    <w:p w14:paraId="07D1DCD0" w14:textId="77777777" w:rsidR="000B6524" w:rsidRDefault="00E52755">
      <w:pPr>
        <w:numPr>
          <w:ilvl w:val="4"/>
          <w:numId w:val="2"/>
        </w:numPr>
        <w:contextualSpacing/>
      </w:pPr>
      <w:r>
        <w:t>“The leverage RP fund has a volatility similar to the balanced fund, but a better performance” - read p20-21 again for better explanation of what they did</w:t>
      </w:r>
    </w:p>
    <w:p w14:paraId="1910CF9D" w14:textId="77777777" w:rsidR="000B6524" w:rsidRDefault="00E52755">
      <w:pPr>
        <w:numPr>
          <w:ilvl w:val="1"/>
          <w:numId w:val="2"/>
        </w:numPr>
        <w:contextualSpacing/>
      </w:pPr>
      <w:r>
        <w:t>“Risk-based indexation’</w:t>
      </w:r>
    </w:p>
    <w:p w14:paraId="34F9686B" w14:textId="77777777" w:rsidR="000B6524" w:rsidRDefault="00E52755">
      <w:pPr>
        <w:numPr>
          <w:ilvl w:val="2"/>
          <w:numId w:val="2"/>
        </w:numPr>
        <w:contextualSpacing/>
      </w:pPr>
      <w:r>
        <w:t>“More recently, risk-budgeting techniques have been considered to build alternative benchmarks to market-cap indexes. These last ones have been particularly criticized by academics and market professionals and we observe a growing interest by sophisticated institutional investors.” - p23</w:t>
      </w:r>
    </w:p>
    <w:p w14:paraId="5F27950E" w14:textId="77777777" w:rsidR="000B6524" w:rsidRDefault="00E52755">
      <w:pPr>
        <w:numPr>
          <w:ilvl w:val="2"/>
          <w:numId w:val="2"/>
        </w:numPr>
        <w:contextualSpacing/>
      </w:pPr>
      <w:r>
        <w:t>Equity indexation</w:t>
      </w:r>
    </w:p>
    <w:p w14:paraId="0C8E1F2B" w14:textId="77777777" w:rsidR="000B6524" w:rsidRDefault="00E52755">
      <w:pPr>
        <w:numPr>
          <w:ilvl w:val="3"/>
          <w:numId w:val="2"/>
        </w:numPr>
        <w:contextualSpacing/>
      </w:pPr>
      <w:r>
        <w:t>capitalisation -weighted indexation</w:t>
      </w:r>
    </w:p>
    <w:p w14:paraId="434E695F" w14:textId="77777777" w:rsidR="000B6524" w:rsidRDefault="00E52755">
      <w:pPr>
        <w:numPr>
          <w:ilvl w:val="4"/>
          <w:numId w:val="2"/>
        </w:numPr>
        <w:contextualSpacing/>
      </w:pPr>
      <w:r>
        <w:t>“Most common way to gain access to broad equity market performance” - p24</w:t>
      </w:r>
    </w:p>
    <w:p w14:paraId="322D368E" w14:textId="77777777" w:rsidR="000B6524" w:rsidRDefault="00E52755">
      <w:pPr>
        <w:numPr>
          <w:ilvl w:val="4"/>
          <w:numId w:val="2"/>
        </w:numPr>
        <w:contextualSpacing/>
      </w:pPr>
      <w:r>
        <w:t>“Backed by results of MPT because it is assimilated to the market portfolio”</w:t>
      </w:r>
    </w:p>
    <w:p w14:paraId="0B92C5A6" w14:textId="77777777" w:rsidR="000B6524" w:rsidRDefault="00E52755">
      <w:pPr>
        <w:numPr>
          <w:ilvl w:val="4"/>
          <w:numId w:val="2"/>
        </w:numPr>
        <w:contextualSpacing/>
      </w:pPr>
      <w:r>
        <w:t>Main advantages</w:t>
      </w:r>
    </w:p>
    <w:p w14:paraId="18B51F8A" w14:textId="77777777" w:rsidR="000B6524" w:rsidRDefault="00E52755">
      <w:pPr>
        <w:numPr>
          <w:ilvl w:val="5"/>
          <w:numId w:val="2"/>
        </w:numPr>
        <w:contextualSpacing/>
      </w:pPr>
      <w:r>
        <w:t>Simple to manage (low turnover and transaction costs)</w:t>
      </w:r>
    </w:p>
    <w:p w14:paraId="7787A761" w14:textId="77777777" w:rsidR="000B6524" w:rsidRDefault="00E52755">
      <w:pPr>
        <w:numPr>
          <w:ilvl w:val="5"/>
          <w:numId w:val="2"/>
        </w:numPr>
        <w:contextualSpacing/>
      </w:pPr>
      <w:r>
        <w:t>Easy to understand and replicate</w:t>
      </w:r>
    </w:p>
    <w:p w14:paraId="2A2D218F" w14:textId="77777777" w:rsidR="000B6524" w:rsidRDefault="00E52755">
      <w:pPr>
        <w:numPr>
          <w:ilvl w:val="4"/>
          <w:numId w:val="2"/>
        </w:numPr>
        <w:contextualSpacing/>
      </w:pPr>
      <w:r>
        <w:t>Drawbacks</w:t>
      </w:r>
    </w:p>
    <w:p w14:paraId="206D4564" w14:textId="77777777" w:rsidR="000B6524" w:rsidRDefault="00E52755">
      <w:pPr>
        <w:numPr>
          <w:ilvl w:val="5"/>
          <w:numId w:val="2"/>
        </w:numPr>
        <w:contextualSpacing/>
      </w:pPr>
      <w:r>
        <w:t>“By definition a trend-following strategy where momentum bias leads to bubble risk exposure as weights of best performers increase”</w:t>
      </w:r>
    </w:p>
    <w:p w14:paraId="1B0BCA06" w14:textId="77777777" w:rsidR="000B6524" w:rsidRDefault="00E52755">
      <w:pPr>
        <w:numPr>
          <w:ilvl w:val="5"/>
          <w:numId w:val="2"/>
        </w:numPr>
        <w:contextualSpacing/>
      </w:pPr>
      <w:r>
        <w:t>“Absence of portfolio construction rules leads to concentration issues (in terms of sectors or stocks)”</w:t>
      </w:r>
    </w:p>
    <w:p w14:paraId="2E52009A" w14:textId="77777777" w:rsidR="000B6524" w:rsidRDefault="00E52755">
      <w:pPr>
        <w:numPr>
          <w:ilvl w:val="3"/>
          <w:numId w:val="2"/>
        </w:numPr>
        <w:contextualSpacing/>
      </w:pPr>
      <w:r>
        <w:t>Thus, this lead to alternative-weighted indexation</w:t>
      </w:r>
    </w:p>
    <w:p w14:paraId="1AEDE52C" w14:textId="77777777" w:rsidR="000B6524" w:rsidRDefault="00E52755">
      <w:pPr>
        <w:numPr>
          <w:ilvl w:val="4"/>
          <w:numId w:val="2"/>
        </w:numPr>
        <w:contextualSpacing/>
      </w:pPr>
      <w:r>
        <w:t>Fundamental</w:t>
      </w:r>
    </w:p>
    <w:p w14:paraId="337D7891" w14:textId="77777777" w:rsidR="000B6524" w:rsidRDefault="00E52755">
      <w:pPr>
        <w:numPr>
          <w:ilvl w:val="5"/>
          <w:numId w:val="2"/>
        </w:numPr>
        <w:contextualSpacing/>
      </w:pPr>
      <w:r>
        <w:t>“Defines the weights as a function of economic metrics like dividends and earnings”</w:t>
      </w:r>
    </w:p>
    <w:p w14:paraId="6F871343" w14:textId="77777777" w:rsidR="000B6524" w:rsidRDefault="00E52755">
      <w:pPr>
        <w:numPr>
          <w:ilvl w:val="4"/>
          <w:numId w:val="2"/>
        </w:numPr>
        <w:contextualSpacing/>
      </w:pPr>
      <w:r>
        <w:t>Risk-based</w:t>
      </w:r>
    </w:p>
    <w:p w14:paraId="2BFAE136" w14:textId="77777777" w:rsidR="000B6524" w:rsidRDefault="00E52755">
      <w:pPr>
        <w:numPr>
          <w:ilvl w:val="5"/>
          <w:numId w:val="2"/>
        </w:numPr>
        <w:contextualSpacing/>
      </w:pPr>
      <w:r>
        <w:lastRenderedPageBreak/>
        <w:t>“Defines the weights as a function of individual and common risks”</w:t>
      </w:r>
    </w:p>
    <w:p w14:paraId="529E8F6F" w14:textId="77777777" w:rsidR="000B6524" w:rsidRDefault="00E52755">
      <w:pPr>
        <w:numPr>
          <w:ilvl w:val="5"/>
          <w:numId w:val="2"/>
        </w:numPr>
        <w:contextualSpacing/>
      </w:pPr>
      <w:r>
        <w:t>The ERC method belongs to this form of alternative-weighted indexation</w:t>
      </w:r>
    </w:p>
    <w:p w14:paraId="27F185B8" w14:textId="77777777" w:rsidR="000B6524" w:rsidRDefault="00E52755">
      <w:pPr>
        <w:numPr>
          <w:ilvl w:val="5"/>
          <w:numId w:val="2"/>
        </w:numPr>
        <w:contextualSpacing/>
      </w:pPr>
      <w:r>
        <w:t xml:space="preserve">See </w:t>
      </w:r>
      <w:proofErr w:type="spellStart"/>
      <w:r>
        <w:t>Eurostoxx</w:t>
      </w:r>
      <w:proofErr w:type="spellEnd"/>
      <w:r>
        <w:t xml:space="preserve"> 50 NR index vs ERC Eurozone index on p24</w:t>
      </w:r>
    </w:p>
    <w:p w14:paraId="77A3A900" w14:textId="77777777" w:rsidR="000B6524" w:rsidRDefault="00E52755">
      <w:pPr>
        <w:numPr>
          <w:ilvl w:val="6"/>
          <w:numId w:val="2"/>
        </w:numPr>
        <w:contextualSpacing/>
      </w:pPr>
      <w:r>
        <w:t>Same universe of stocks</w:t>
      </w:r>
    </w:p>
    <w:p w14:paraId="5C9757F0" w14:textId="77777777" w:rsidR="000B6524" w:rsidRDefault="00E52755">
      <w:pPr>
        <w:numPr>
          <w:ilvl w:val="6"/>
          <w:numId w:val="2"/>
        </w:numPr>
        <w:contextualSpacing/>
      </w:pPr>
      <w:r>
        <w:t>ERC rebalanced every month (according to ERC method)</w:t>
      </w:r>
    </w:p>
    <w:p w14:paraId="3515849B" w14:textId="77777777" w:rsidR="000B6524" w:rsidRDefault="00E52755">
      <w:pPr>
        <w:numPr>
          <w:ilvl w:val="6"/>
          <w:numId w:val="2"/>
        </w:numPr>
        <w:contextualSpacing/>
      </w:pPr>
      <w:r>
        <w:t>ERC has smaller volatility</w:t>
      </w:r>
    </w:p>
    <w:p w14:paraId="158CEFCD" w14:textId="77777777" w:rsidR="000B6524" w:rsidRDefault="00E52755">
      <w:pPr>
        <w:numPr>
          <w:ilvl w:val="6"/>
          <w:numId w:val="2"/>
        </w:numPr>
        <w:contextualSpacing/>
      </w:pPr>
      <w:r>
        <w:t>ERC has smaller drawdown</w:t>
      </w:r>
    </w:p>
    <w:p w14:paraId="5AD83582" w14:textId="77777777" w:rsidR="000B6524" w:rsidRDefault="00E52755">
      <w:pPr>
        <w:numPr>
          <w:ilvl w:val="6"/>
          <w:numId w:val="2"/>
        </w:numPr>
        <w:contextualSpacing/>
      </w:pPr>
      <w:r>
        <w:t>ERC outperforms</w:t>
      </w:r>
    </w:p>
    <w:p w14:paraId="3389923F" w14:textId="77777777" w:rsidR="000B6524" w:rsidRDefault="00E52755">
      <w:pPr>
        <w:numPr>
          <w:ilvl w:val="2"/>
          <w:numId w:val="2"/>
        </w:numPr>
        <w:contextualSpacing/>
      </w:pPr>
      <w:r>
        <w:t>Bond indexation</w:t>
      </w:r>
    </w:p>
    <w:p w14:paraId="3FBC4272" w14:textId="77777777" w:rsidR="000B6524" w:rsidRDefault="00E52755">
      <w:pPr>
        <w:numPr>
          <w:ilvl w:val="3"/>
          <w:numId w:val="2"/>
        </w:numPr>
        <w:contextualSpacing/>
      </w:pPr>
      <w:r>
        <w:t>“Weights are generally defined by the notional amount of debt, implying that asset management industry is dominated by the debt-weighted indexation.” - p26</w:t>
      </w:r>
    </w:p>
    <w:p w14:paraId="344DD4CC" w14:textId="77777777" w:rsidR="000B6524" w:rsidRDefault="00E52755">
      <w:pPr>
        <w:numPr>
          <w:ilvl w:val="3"/>
          <w:numId w:val="2"/>
        </w:numPr>
        <w:contextualSpacing/>
      </w:pPr>
      <w:r>
        <w:t>“The simplicity of this approach and the recognition of a capitalisation-weighted index as the market portfolio has contributed to the success of the methodology. Yet, intuitively, it is easy to note a basic flaw in this allocation scheme, since it gives higher index weightings to the most indebted countries, regardless of their capacity to service their debt. A country facing financial hardship and trapped in a debt spiral to remain solvent would see its index weight increase until the whole mechanism collapses and an exclusion from the index occurs. Depending on the index, exclusion can be triggered by specific events, such as a downgrade or, in the worst case, a default.” - (</w:t>
      </w:r>
      <w:proofErr w:type="spellStart"/>
      <w:r>
        <w:t>Bruder</w:t>
      </w:r>
      <w:proofErr w:type="spellEnd"/>
      <w:r>
        <w:t xml:space="preserve"> et al, 2011)</w:t>
      </w:r>
    </w:p>
    <w:p w14:paraId="28E97798" w14:textId="77777777" w:rsidR="000B6524" w:rsidRDefault="00E52755">
      <w:pPr>
        <w:numPr>
          <w:ilvl w:val="3"/>
          <w:numId w:val="2"/>
        </w:numPr>
        <w:contextualSpacing/>
      </w:pPr>
      <w:r>
        <w:t>….becomes less relevant I think since it’s the bond market and we will be looking to diversify stocks….can back to this (p.26-29)</w:t>
      </w:r>
    </w:p>
    <w:p w14:paraId="1F9DC1C3" w14:textId="77777777" w:rsidR="000B6524" w:rsidRDefault="00E52755">
      <w:pPr>
        <w:numPr>
          <w:ilvl w:val="0"/>
          <w:numId w:val="2"/>
        </w:numPr>
        <w:contextualSpacing/>
      </w:pPr>
      <w:r>
        <w:t>Conclusion - p29</w:t>
      </w:r>
    </w:p>
    <w:p w14:paraId="021F0A85" w14:textId="77777777" w:rsidR="000B6524" w:rsidRDefault="00E52755">
      <w:pPr>
        <w:numPr>
          <w:ilvl w:val="1"/>
          <w:numId w:val="2"/>
        </w:numPr>
        <w:contextualSpacing/>
      </w:pPr>
      <w:r>
        <w:t xml:space="preserve">“Risk budgeting portfolio is a generalisation of the ERC portfolio presented in </w:t>
      </w:r>
      <w:proofErr w:type="spellStart"/>
      <w:r>
        <w:t>Maillard</w:t>
      </w:r>
      <w:proofErr w:type="spellEnd"/>
      <w:r>
        <w:t xml:space="preserve"> et al. (2010) when the risk budgets are not necessarily the same.”-p29</w:t>
      </w:r>
    </w:p>
    <w:p w14:paraId="7BE33806" w14:textId="77777777" w:rsidR="000B6524" w:rsidRDefault="00E52755">
      <w:pPr>
        <w:numPr>
          <w:ilvl w:val="1"/>
          <w:numId w:val="2"/>
        </w:numPr>
        <w:contextualSpacing/>
      </w:pPr>
      <w:r>
        <w:t xml:space="preserve">“It is also </w:t>
      </w:r>
      <w:proofErr w:type="gramStart"/>
      <w:r>
        <w:t>an</w:t>
      </w:r>
      <w:proofErr w:type="gramEnd"/>
      <w:r>
        <w:t xml:space="preserve"> heuristic method like equally-weighted or minimum-variance portfolios, because there is no financial theory that promotes the RB portfolio as an optimal portfolio.”</w:t>
      </w:r>
    </w:p>
    <w:p w14:paraId="56E948B9" w14:textId="77777777" w:rsidR="000B6524" w:rsidRDefault="00E52755">
      <w:pPr>
        <w:numPr>
          <w:ilvl w:val="1"/>
          <w:numId w:val="2"/>
        </w:numPr>
        <w:contextualSpacing/>
      </w:pPr>
      <w:r>
        <w:t>“There are few results about the theoretical behaviour of such portfolios”</w:t>
      </w:r>
    </w:p>
    <w:p w14:paraId="4E97CC6E" w14:textId="77777777" w:rsidR="000B6524" w:rsidRDefault="00E52755">
      <w:pPr>
        <w:numPr>
          <w:ilvl w:val="1"/>
          <w:numId w:val="2"/>
        </w:numPr>
        <w:contextualSpacing/>
      </w:pPr>
      <w:r>
        <w:t>“We have shown that the volatility of the risk budgeting portfolio is located between those of minimum variance and weight budgeting portfolios”</w:t>
      </w:r>
    </w:p>
    <w:p w14:paraId="308A6F07" w14:textId="77777777" w:rsidR="000B6524" w:rsidRDefault="00E52755">
      <w:pPr>
        <w:numPr>
          <w:ilvl w:val="1"/>
          <w:numId w:val="2"/>
        </w:numPr>
        <w:contextualSpacing/>
      </w:pPr>
      <w:r>
        <w:t>Applications</w:t>
      </w:r>
    </w:p>
    <w:p w14:paraId="49D23BEE" w14:textId="77777777" w:rsidR="000B6524" w:rsidRDefault="00E52755">
      <w:pPr>
        <w:numPr>
          <w:ilvl w:val="2"/>
          <w:numId w:val="2"/>
        </w:numPr>
        <w:contextualSpacing/>
      </w:pPr>
      <w:r>
        <w:t>Risk parity funds</w:t>
      </w:r>
    </w:p>
    <w:p w14:paraId="2151F1E1" w14:textId="77777777" w:rsidR="000B6524" w:rsidRDefault="00E52755">
      <w:pPr>
        <w:numPr>
          <w:ilvl w:val="2"/>
          <w:numId w:val="2"/>
        </w:numPr>
        <w:contextualSpacing/>
      </w:pPr>
      <w:r>
        <w:t>Strategic asset allocation</w:t>
      </w:r>
    </w:p>
    <w:p w14:paraId="5FB9051A" w14:textId="77777777" w:rsidR="000B6524" w:rsidRDefault="00E52755">
      <w:pPr>
        <w:numPr>
          <w:ilvl w:val="2"/>
          <w:numId w:val="2"/>
        </w:numPr>
        <w:contextualSpacing/>
      </w:pPr>
      <w:r>
        <w:t>Equity indexes</w:t>
      </w:r>
    </w:p>
    <w:p w14:paraId="58059168" w14:textId="77777777" w:rsidR="000B6524" w:rsidRDefault="00E52755">
      <w:pPr>
        <w:numPr>
          <w:ilvl w:val="2"/>
          <w:numId w:val="2"/>
        </w:numPr>
        <w:contextualSpacing/>
      </w:pPr>
      <w:r>
        <w:t>Sovereign bonds benchmarks</w:t>
      </w:r>
    </w:p>
    <w:p w14:paraId="68A83040" w14:textId="77777777" w:rsidR="000B6524" w:rsidRDefault="00E52755">
      <w:pPr>
        <w:numPr>
          <w:ilvl w:val="1"/>
          <w:numId w:val="2"/>
        </w:numPr>
        <w:contextualSpacing/>
      </w:pPr>
      <w:r>
        <w:t>Issues</w:t>
      </w:r>
    </w:p>
    <w:p w14:paraId="174FEF8E" w14:textId="77777777" w:rsidR="000B6524" w:rsidRDefault="00E52755">
      <w:pPr>
        <w:numPr>
          <w:ilvl w:val="2"/>
          <w:numId w:val="2"/>
        </w:numPr>
        <w:contextualSpacing/>
      </w:pPr>
      <w:r>
        <w:t>“To understand what type of performance we could expect”</w:t>
      </w:r>
    </w:p>
    <w:p w14:paraId="70A5C811" w14:textId="5EFA16BF" w:rsidR="000B6524" w:rsidRDefault="00E52755">
      <w:pPr>
        <w:numPr>
          <w:ilvl w:val="2"/>
          <w:numId w:val="2"/>
        </w:numPr>
        <w:contextualSpacing/>
      </w:pPr>
      <w:r>
        <w:lastRenderedPageBreak/>
        <w:t>“Simulations and back</w:t>
      </w:r>
      <w:r w:rsidR="00365B20">
        <w:tab/>
      </w:r>
      <w:bookmarkStart w:id="2" w:name="_GoBack"/>
      <w:bookmarkEnd w:id="2"/>
      <w:r>
        <w:t>tests show that it could deliver better performance than other portfolio methods”</w:t>
      </w:r>
    </w:p>
    <w:p w14:paraId="22F917D5" w14:textId="77777777" w:rsidR="000B6524" w:rsidRDefault="000B6524">
      <w:pPr>
        <w:rPr>
          <w:b/>
        </w:rPr>
      </w:pPr>
    </w:p>
    <w:p w14:paraId="49141055" w14:textId="77777777" w:rsidR="000B6524" w:rsidRDefault="000B6524">
      <w:pPr>
        <w:rPr>
          <w:b/>
        </w:rPr>
      </w:pPr>
    </w:p>
    <w:p w14:paraId="21C3716F" w14:textId="77777777" w:rsidR="000B6524" w:rsidRDefault="00E52755">
      <w:pPr>
        <w:numPr>
          <w:ilvl w:val="0"/>
          <w:numId w:val="3"/>
        </w:numPr>
        <w:ind w:hanging="720"/>
        <w:contextualSpacing/>
        <w:rPr>
          <w:b/>
        </w:rPr>
      </w:pPr>
      <w:r>
        <w:rPr>
          <w:b/>
        </w:rPr>
        <w:t>First additional reading</w:t>
      </w:r>
    </w:p>
    <w:p w14:paraId="61E38005" w14:textId="77777777" w:rsidR="000B6524" w:rsidRDefault="000B6524">
      <w:pPr>
        <w:numPr>
          <w:ilvl w:val="0"/>
          <w:numId w:val="1"/>
        </w:numPr>
        <w:contextualSpacing/>
        <w:rPr>
          <w:b/>
        </w:rPr>
      </w:pPr>
    </w:p>
    <w:p w14:paraId="6FB331B4" w14:textId="77777777" w:rsidR="000B6524" w:rsidRDefault="000B6524">
      <w:pPr>
        <w:rPr>
          <w:b/>
        </w:rPr>
      </w:pPr>
    </w:p>
    <w:p w14:paraId="4886CA30" w14:textId="77777777" w:rsidR="000B6524" w:rsidRDefault="000B6524">
      <w:pPr>
        <w:rPr>
          <w:b/>
        </w:rPr>
      </w:pPr>
    </w:p>
    <w:p w14:paraId="760780C1" w14:textId="77777777" w:rsidR="000B6524" w:rsidRDefault="000B6524">
      <w:pPr>
        <w:rPr>
          <w:b/>
        </w:rPr>
      </w:pPr>
    </w:p>
    <w:p w14:paraId="18E36CD8" w14:textId="77777777" w:rsidR="000B6524" w:rsidRDefault="000B6524">
      <w:pPr>
        <w:rPr>
          <w:b/>
        </w:rPr>
      </w:pPr>
    </w:p>
    <w:p w14:paraId="67D35057" w14:textId="521ADE5D" w:rsidR="000B6524" w:rsidRDefault="007A7FA9">
      <w:pPr>
        <w:numPr>
          <w:ilvl w:val="0"/>
          <w:numId w:val="3"/>
        </w:numPr>
        <w:ind w:hanging="720"/>
        <w:contextualSpacing/>
        <w:rPr>
          <w:b/>
        </w:rPr>
      </w:pPr>
      <w:r>
        <w:rPr>
          <w:b/>
        </w:rPr>
        <w:t>Chen et al 2011</w:t>
      </w:r>
    </w:p>
    <w:p w14:paraId="2AD4BFE4" w14:textId="77777777" w:rsidR="002501B2" w:rsidRPr="002501B2" w:rsidRDefault="002501B2" w:rsidP="002501B2">
      <w:pPr>
        <w:pStyle w:val="ListParagraph"/>
        <w:numPr>
          <w:ilvl w:val="0"/>
          <w:numId w:val="7"/>
        </w:numPr>
        <w:rPr>
          <w:b/>
        </w:rPr>
      </w:pPr>
    </w:p>
    <w:p w14:paraId="3ED25011" w14:textId="77777777" w:rsidR="002501B2" w:rsidRDefault="002501B2" w:rsidP="002501B2">
      <w:pPr>
        <w:contextualSpacing/>
        <w:rPr>
          <w:b/>
        </w:rPr>
      </w:pPr>
    </w:p>
    <w:p w14:paraId="25566588" w14:textId="77777777" w:rsidR="002501B2" w:rsidRDefault="002501B2" w:rsidP="002501B2">
      <w:pPr>
        <w:contextualSpacing/>
        <w:rPr>
          <w:b/>
        </w:rPr>
      </w:pPr>
    </w:p>
    <w:p w14:paraId="7E81E593" w14:textId="77777777" w:rsidR="002501B2" w:rsidRDefault="002501B2" w:rsidP="002501B2">
      <w:pPr>
        <w:contextualSpacing/>
        <w:rPr>
          <w:b/>
        </w:rPr>
      </w:pPr>
    </w:p>
    <w:p w14:paraId="58512A11" w14:textId="77777777" w:rsidR="002501B2" w:rsidRDefault="002501B2" w:rsidP="002501B2">
      <w:pPr>
        <w:contextualSpacing/>
        <w:rPr>
          <w:b/>
        </w:rPr>
      </w:pPr>
    </w:p>
    <w:p w14:paraId="30BE0A73" w14:textId="2C3028D1" w:rsidR="000B6524" w:rsidRDefault="007A7FA9">
      <w:pPr>
        <w:numPr>
          <w:ilvl w:val="0"/>
          <w:numId w:val="3"/>
        </w:numPr>
        <w:ind w:hanging="720"/>
        <w:contextualSpacing/>
        <w:rPr>
          <w:b/>
        </w:rPr>
      </w:pPr>
      <w:r>
        <w:rPr>
          <w:b/>
        </w:rPr>
        <w:t>Chow et al 2011</w:t>
      </w:r>
    </w:p>
    <w:p w14:paraId="5E382D56" w14:textId="50FCF48F" w:rsidR="007A7FA9" w:rsidRPr="00365B20" w:rsidRDefault="00365B20" w:rsidP="007A7FA9">
      <w:pPr>
        <w:pStyle w:val="ListParagraph"/>
        <w:numPr>
          <w:ilvl w:val="0"/>
          <w:numId w:val="7"/>
        </w:numPr>
        <w:rPr>
          <w:b/>
        </w:rPr>
      </w:pPr>
      <w:r>
        <w:t>2 types of investment strategies</w:t>
      </w:r>
    </w:p>
    <w:p w14:paraId="10596824" w14:textId="29A9293F" w:rsidR="00365B20" w:rsidRPr="00365B20" w:rsidRDefault="00365B20" w:rsidP="00365B20">
      <w:pPr>
        <w:pStyle w:val="ListParagraph"/>
        <w:numPr>
          <w:ilvl w:val="1"/>
          <w:numId w:val="7"/>
        </w:numPr>
        <w:rPr>
          <w:b/>
        </w:rPr>
      </w:pPr>
      <w:r>
        <w:t>Heuristic-based weighting</w:t>
      </w:r>
    </w:p>
    <w:p w14:paraId="0790EE41" w14:textId="2B6569D7" w:rsidR="00365B20" w:rsidRPr="00365B20" w:rsidRDefault="00365B20" w:rsidP="00365B20">
      <w:pPr>
        <w:pStyle w:val="ListParagraph"/>
        <w:numPr>
          <w:ilvl w:val="2"/>
          <w:numId w:val="7"/>
        </w:numPr>
        <w:rPr>
          <w:b/>
        </w:rPr>
      </w:pPr>
      <w:r>
        <w:t>Ad hoc weightings establish on rules</w:t>
      </w:r>
    </w:p>
    <w:p w14:paraId="1C98C25F" w14:textId="44A5D275" w:rsidR="00365B20" w:rsidRPr="00365B20" w:rsidRDefault="00365B20" w:rsidP="00365B20">
      <w:pPr>
        <w:pStyle w:val="ListParagraph"/>
        <w:numPr>
          <w:ilvl w:val="2"/>
          <w:numId w:val="7"/>
        </w:numPr>
        <w:rPr>
          <w:b/>
        </w:rPr>
      </w:pPr>
      <w:r>
        <w:t>Includes</w:t>
      </w:r>
    </w:p>
    <w:p w14:paraId="6C9A20D7" w14:textId="71F3B751" w:rsidR="00365B20" w:rsidRPr="00365B20" w:rsidRDefault="00365B20" w:rsidP="00365B20">
      <w:pPr>
        <w:pStyle w:val="ListParagraph"/>
        <w:numPr>
          <w:ilvl w:val="3"/>
          <w:numId w:val="7"/>
        </w:numPr>
        <w:rPr>
          <w:b/>
        </w:rPr>
      </w:pPr>
      <w:r>
        <w:t>Equal weighting</w:t>
      </w:r>
    </w:p>
    <w:p w14:paraId="64823337" w14:textId="072FFC08" w:rsidR="00365B20" w:rsidRPr="00365B20" w:rsidRDefault="00365B20" w:rsidP="00365B20">
      <w:pPr>
        <w:pStyle w:val="ListParagraph"/>
        <w:numPr>
          <w:ilvl w:val="3"/>
          <w:numId w:val="7"/>
        </w:numPr>
        <w:rPr>
          <w:b/>
        </w:rPr>
      </w:pPr>
      <w:r>
        <w:t>Risk-cluster equal weighting</w:t>
      </w:r>
    </w:p>
    <w:p w14:paraId="0618F9B3" w14:textId="6EF45BC6" w:rsidR="00365B20" w:rsidRPr="00365B20" w:rsidRDefault="00365B20" w:rsidP="00365B20">
      <w:pPr>
        <w:pStyle w:val="ListParagraph"/>
        <w:numPr>
          <w:ilvl w:val="3"/>
          <w:numId w:val="7"/>
        </w:numPr>
        <w:rPr>
          <w:b/>
        </w:rPr>
      </w:pPr>
      <w:r>
        <w:t>Cap weighting blended with equal weighting</w:t>
      </w:r>
    </w:p>
    <w:p w14:paraId="43B76D99" w14:textId="31F1891C" w:rsidR="00365B20" w:rsidRPr="00365B20" w:rsidRDefault="00365B20" w:rsidP="00365B20">
      <w:pPr>
        <w:pStyle w:val="ListParagraph"/>
        <w:numPr>
          <w:ilvl w:val="3"/>
          <w:numId w:val="7"/>
        </w:numPr>
        <w:rPr>
          <w:b/>
        </w:rPr>
      </w:pPr>
      <w:r>
        <w:t>Weighting by historical financial variables</w:t>
      </w:r>
    </w:p>
    <w:p w14:paraId="3D8EC85B" w14:textId="5174C406" w:rsidR="00365B20" w:rsidRPr="00365B20" w:rsidRDefault="00365B20" w:rsidP="00365B20">
      <w:pPr>
        <w:pStyle w:val="ListParagraph"/>
        <w:numPr>
          <w:ilvl w:val="1"/>
          <w:numId w:val="7"/>
        </w:numPr>
        <w:rPr>
          <w:b/>
        </w:rPr>
      </w:pPr>
      <w:r>
        <w:t>Optimisation-based</w:t>
      </w:r>
    </w:p>
    <w:p w14:paraId="1A25C0C1" w14:textId="6521DBCC" w:rsidR="00365B20" w:rsidRPr="00365B20" w:rsidRDefault="00365B20" w:rsidP="00365B20">
      <w:pPr>
        <w:pStyle w:val="ListParagraph"/>
        <w:numPr>
          <w:ilvl w:val="2"/>
          <w:numId w:val="7"/>
        </w:numPr>
        <w:rPr>
          <w:b/>
        </w:rPr>
      </w:pPr>
      <w:r>
        <w:t>“Subject to practical investment constraints.”</w:t>
      </w:r>
    </w:p>
    <w:p w14:paraId="598F71E7" w14:textId="7CB7499E" w:rsidR="00365B20" w:rsidRPr="00365B20" w:rsidRDefault="00365B20" w:rsidP="00365B20">
      <w:pPr>
        <w:pStyle w:val="ListParagraph"/>
        <w:numPr>
          <w:ilvl w:val="2"/>
          <w:numId w:val="7"/>
        </w:numPr>
        <w:rPr>
          <w:b/>
        </w:rPr>
      </w:pPr>
      <w:r>
        <w:t>Includes</w:t>
      </w:r>
    </w:p>
    <w:p w14:paraId="6F119577" w14:textId="44454918" w:rsidR="00365B20" w:rsidRPr="00365B20" w:rsidRDefault="00365B20" w:rsidP="00365B20">
      <w:pPr>
        <w:pStyle w:val="ListParagraph"/>
        <w:numPr>
          <w:ilvl w:val="3"/>
          <w:numId w:val="7"/>
        </w:numPr>
        <w:rPr>
          <w:b/>
        </w:rPr>
      </w:pPr>
      <w:r>
        <w:t>Minimum variance strategies</w:t>
      </w:r>
    </w:p>
    <w:p w14:paraId="42795882" w14:textId="2BECA13D" w:rsidR="00365B20" w:rsidRPr="00365B20" w:rsidRDefault="00365B20" w:rsidP="00365B20">
      <w:pPr>
        <w:pStyle w:val="ListParagraph"/>
        <w:numPr>
          <w:ilvl w:val="3"/>
          <w:numId w:val="7"/>
        </w:numPr>
        <w:rPr>
          <w:b/>
        </w:rPr>
      </w:pPr>
      <w:r>
        <w:t xml:space="preserve">Variety of maximum </w:t>
      </w:r>
      <w:proofErr w:type="spellStart"/>
      <w:r>
        <w:t>sharpe</w:t>
      </w:r>
      <w:proofErr w:type="spellEnd"/>
      <w:r>
        <w:t xml:space="preserve"> ratio portfolios based on various expected return assumptions</w:t>
      </w:r>
    </w:p>
    <w:p w14:paraId="6A35C5A8" w14:textId="77777777" w:rsidR="00365B20" w:rsidRPr="007A7FA9" w:rsidRDefault="00365B20" w:rsidP="00365B20">
      <w:pPr>
        <w:pStyle w:val="ListParagraph"/>
        <w:numPr>
          <w:ilvl w:val="3"/>
          <w:numId w:val="7"/>
        </w:numPr>
        <w:rPr>
          <w:b/>
        </w:rPr>
      </w:pPr>
    </w:p>
    <w:p w14:paraId="4E9A94F8" w14:textId="77777777" w:rsidR="007A7FA9" w:rsidRDefault="007A7FA9" w:rsidP="007A7FA9">
      <w:pPr>
        <w:contextualSpacing/>
        <w:rPr>
          <w:b/>
        </w:rPr>
      </w:pPr>
    </w:p>
    <w:p w14:paraId="1B51CD08" w14:textId="77777777" w:rsidR="007A7FA9" w:rsidRDefault="007A7FA9" w:rsidP="007A7FA9">
      <w:pPr>
        <w:contextualSpacing/>
        <w:rPr>
          <w:b/>
        </w:rPr>
      </w:pPr>
    </w:p>
    <w:p w14:paraId="2C3364B4" w14:textId="77777777" w:rsidR="007A7FA9" w:rsidRDefault="007A7FA9" w:rsidP="007A7FA9">
      <w:pPr>
        <w:contextualSpacing/>
        <w:rPr>
          <w:b/>
        </w:rPr>
      </w:pPr>
    </w:p>
    <w:p w14:paraId="05A3A663" w14:textId="77777777" w:rsidR="000B6524" w:rsidRDefault="00E52755">
      <w:pPr>
        <w:numPr>
          <w:ilvl w:val="0"/>
          <w:numId w:val="3"/>
        </w:numPr>
        <w:ind w:hanging="720"/>
        <w:contextualSpacing/>
        <w:rPr>
          <w:b/>
        </w:rPr>
      </w:pPr>
      <w:r>
        <w:rPr>
          <w:b/>
        </w:rPr>
        <w:t>Fourth additional reading</w:t>
      </w:r>
    </w:p>
    <w:p w14:paraId="2FF26785" w14:textId="796D0938" w:rsidR="00365B20" w:rsidRDefault="00365B20">
      <w:pPr>
        <w:numPr>
          <w:ilvl w:val="0"/>
          <w:numId w:val="3"/>
        </w:numPr>
        <w:ind w:hanging="720"/>
        <w:contextualSpacing/>
        <w:rPr>
          <w:b/>
        </w:rPr>
      </w:pPr>
      <w:r>
        <w:rPr>
          <w:b/>
        </w:rPr>
        <w:t>5</w:t>
      </w:r>
      <w:r w:rsidRPr="00365B20">
        <w:rPr>
          <w:b/>
          <w:vertAlign w:val="superscript"/>
        </w:rPr>
        <w:t>th</w:t>
      </w:r>
    </w:p>
    <w:p w14:paraId="3D802DE2" w14:textId="2C732C6F" w:rsidR="00365B20" w:rsidRDefault="00365B20">
      <w:pPr>
        <w:numPr>
          <w:ilvl w:val="0"/>
          <w:numId w:val="3"/>
        </w:numPr>
        <w:ind w:hanging="720"/>
        <w:contextualSpacing/>
        <w:rPr>
          <w:b/>
        </w:rPr>
      </w:pPr>
      <w:r>
        <w:rPr>
          <w:b/>
        </w:rPr>
        <w:t>6</w:t>
      </w:r>
      <w:r w:rsidRPr="00365B20">
        <w:rPr>
          <w:b/>
          <w:vertAlign w:val="superscript"/>
        </w:rPr>
        <w:t>th</w:t>
      </w:r>
    </w:p>
    <w:p w14:paraId="6707AC8B" w14:textId="165FDD57" w:rsidR="00365B20" w:rsidRDefault="00365B20">
      <w:pPr>
        <w:numPr>
          <w:ilvl w:val="0"/>
          <w:numId w:val="3"/>
        </w:numPr>
        <w:ind w:hanging="720"/>
        <w:contextualSpacing/>
        <w:rPr>
          <w:b/>
        </w:rPr>
      </w:pPr>
      <w:r>
        <w:rPr>
          <w:b/>
        </w:rPr>
        <w:t>7</w:t>
      </w:r>
      <w:r w:rsidRPr="00365B20">
        <w:rPr>
          <w:b/>
          <w:vertAlign w:val="superscript"/>
        </w:rPr>
        <w:t>th</w:t>
      </w:r>
    </w:p>
    <w:p w14:paraId="597C734B" w14:textId="7FBA073D" w:rsidR="00365B20" w:rsidRDefault="00365B20">
      <w:pPr>
        <w:numPr>
          <w:ilvl w:val="0"/>
          <w:numId w:val="3"/>
        </w:numPr>
        <w:ind w:hanging="720"/>
        <w:contextualSpacing/>
        <w:rPr>
          <w:b/>
        </w:rPr>
      </w:pPr>
      <w:r>
        <w:rPr>
          <w:b/>
        </w:rPr>
        <w:t>8</w:t>
      </w:r>
      <w:r w:rsidRPr="00365B20">
        <w:rPr>
          <w:b/>
          <w:vertAlign w:val="superscript"/>
        </w:rPr>
        <w:t>th</w:t>
      </w:r>
    </w:p>
    <w:p w14:paraId="76BB04F4" w14:textId="126DEEEB" w:rsidR="00365B20" w:rsidRDefault="00365B20">
      <w:pPr>
        <w:numPr>
          <w:ilvl w:val="0"/>
          <w:numId w:val="3"/>
        </w:numPr>
        <w:ind w:hanging="720"/>
        <w:contextualSpacing/>
        <w:rPr>
          <w:b/>
        </w:rPr>
      </w:pPr>
      <w:r>
        <w:rPr>
          <w:b/>
        </w:rPr>
        <w:t>9</w:t>
      </w:r>
      <w:r w:rsidRPr="00365B20">
        <w:rPr>
          <w:b/>
          <w:vertAlign w:val="superscript"/>
        </w:rPr>
        <w:t>th</w:t>
      </w:r>
    </w:p>
    <w:p w14:paraId="1EB4A014" w14:textId="4BD2D0F1" w:rsidR="00365B20" w:rsidRDefault="00365B20">
      <w:pPr>
        <w:numPr>
          <w:ilvl w:val="0"/>
          <w:numId w:val="3"/>
        </w:numPr>
        <w:ind w:hanging="720"/>
        <w:contextualSpacing/>
        <w:rPr>
          <w:b/>
        </w:rPr>
      </w:pPr>
      <w:r>
        <w:rPr>
          <w:b/>
        </w:rPr>
        <w:t>10</w:t>
      </w:r>
      <w:r w:rsidRPr="00365B20">
        <w:rPr>
          <w:b/>
          <w:vertAlign w:val="superscript"/>
        </w:rPr>
        <w:t>th</w:t>
      </w:r>
    </w:p>
    <w:p w14:paraId="1E736412" w14:textId="77777777" w:rsidR="00365B20" w:rsidRDefault="00365B20" w:rsidP="00365B20">
      <w:pPr>
        <w:contextualSpacing/>
        <w:rPr>
          <w:b/>
        </w:rPr>
      </w:pPr>
    </w:p>
    <w:p w14:paraId="71A6958C" w14:textId="77777777" w:rsidR="00365B20" w:rsidRDefault="00365B20" w:rsidP="00365B20">
      <w:pPr>
        <w:contextualSpacing/>
        <w:rPr>
          <w:b/>
        </w:rPr>
      </w:pPr>
    </w:p>
    <w:p w14:paraId="7232D7D0" w14:textId="77777777" w:rsidR="000B6524" w:rsidRDefault="00E52755">
      <w:r>
        <w:t xml:space="preserve"> </w:t>
      </w:r>
    </w:p>
    <w:p w14:paraId="238E3B14" w14:textId="77777777" w:rsidR="000B6524" w:rsidRDefault="000B6524">
      <w:pPr>
        <w:rPr>
          <w:b/>
        </w:rPr>
      </w:pPr>
    </w:p>
    <w:p w14:paraId="227D3320" w14:textId="77777777" w:rsidR="000B6524" w:rsidRDefault="000B6524">
      <w:pPr>
        <w:rPr>
          <w:b/>
        </w:rPr>
      </w:pPr>
    </w:p>
    <w:p w14:paraId="381F29B1" w14:textId="77777777" w:rsidR="000B6524" w:rsidRDefault="000B6524">
      <w:pPr>
        <w:rPr>
          <w:b/>
        </w:rPr>
      </w:pPr>
    </w:p>
    <w:p w14:paraId="1E8F47B1" w14:textId="77777777" w:rsidR="000B6524" w:rsidRDefault="000B6524">
      <w:pPr>
        <w:rPr>
          <w:b/>
        </w:rPr>
      </w:pPr>
    </w:p>
    <w:p w14:paraId="79BE035A" w14:textId="77777777" w:rsidR="000B6524" w:rsidRDefault="00E52755">
      <w:pPr>
        <w:numPr>
          <w:ilvl w:val="0"/>
          <w:numId w:val="3"/>
        </w:numPr>
        <w:ind w:hanging="720"/>
        <w:contextualSpacing/>
        <w:rPr>
          <w:b/>
        </w:rPr>
      </w:pPr>
      <w:r>
        <w:rPr>
          <w:b/>
        </w:rPr>
        <w:t>Further readings - also see highlights above for this</w:t>
      </w:r>
    </w:p>
    <w:p w14:paraId="09937A6D" w14:textId="77777777" w:rsidR="000B6524" w:rsidRDefault="000B6524">
      <w:pPr>
        <w:rPr>
          <w:b/>
        </w:rPr>
      </w:pPr>
    </w:p>
    <w:p w14:paraId="79CC5C45" w14:textId="77777777" w:rsidR="000B6524" w:rsidRDefault="00E52755">
      <w:pPr>
        <w:numPr>
          <w:ilvl w:val="0"/>
          <w:numId w:val="4"/>
        </w:numPr>
        <w:contextualSpacing/>
      </w:pPr>
      <w:proofErr w:type="spellStart"/>
      <w:r>
        <w:t>Maillard</w:t>
      </w:r>
      <w:proofErr w:type="spellEnd"/>
      <w:r>
        <w:t xml:space="preserve"> et al. (2010) - for further look at equal risk contribution (ERC) portfolios (risk-budgeting)</w:t>
      </w:r>
    </w:p>
    <w:p w14:paraId="2FFCB782" w14:textId="77777777" w:rsidR="000B6524" w:rsidRDefault="00E52755">
      <w:pPr>
        <w:numPr>
          <w:ilvl w:val="0"/>
          <w:numId w:val="4"/>
        </w:numPr>
        <w:contextualSpacing/>
      </w:pPr>
      <w:r>
        <w:rPr>
          <w:noProof/>
        </w:rPr>
        <w:drawing>
          <wp:inline distT="114300" distB="114300" distL="114300" distR="114300" wp14:anchorId="11B7AC4F" wp14:editId="4E5A171C">
            <wp:extent cx="4995863" cy="3537147"/>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995863" cy="3537147"/>
                    </a:xfrm>
                    <a:prstGeom prst="rect">
                      <a:avLst/>
                    </a:prstGeom>
                    <a:ln/>
                  </pic:spPr>
                </pic:pic>
              </a:graphicData>
            </a:graphic>
          </wp:inline>
        </w:drawing>
      </w:r>
    </w:p>
    <w:p w14:paraId="0D18B432" w14:textId="77777777" w:rsidR="000B6524" w:rsidRDefault="000B6524"/>
    <w:p w14:paraId="07C59DF6" w14:textId="77777777" w:rsidR="000B6524" w:rsidRDefault="00E52755">
      <w:pPr>
        <w:numPr>
          <w:ilvl w:val="0"/>
          <w:numId w:val="4"/>
        </w:numPr>
        <w:contextualSpacing/>
      </w:pPr>
      <w:r>
        <w:t>Risk budgeting readings</w:t>
      </w:r>
    </w:p>
    <w:p w14:paraId="434997E5" w14:textId="77777777" w:rsidR="000B6524" w:rsidRDefault="00E52755">
      <w:pPr>
        <w:numPr>
          <w:ilvl w:val="1"/>
          <w:numId w:val="4"/>
        </w:numPr>
        <w:contextualSpacing/>
      </w:pPr>
      <w:proofErr w:type="spellStart"/>
      <w:r>
        <w:t>Rahl</w:t>
      </w:r>
      <w:proofErr w:type="spellEnd"/>
      <w:r>
        <w:t xml:space="preserve"> (2000)</w:t>
      </w:r>
    </w:p>
    <w:p w14:paraId="79550880" w14:textId="77777777" w:rsidR="000B6524" w:rsidRDefault="00E52755">
      <w:pPr>
        <w:numPr>
          <w:ilvl w:val="1"/>
          <w:numId w:val="4"/>
        </w:numPr>
        <w:contextualSpacing/>
      </w:pPr>
      <w:proofErr w:type="spellStart"/>
      <w:r>
        <w:t>Grinold</w:t>
      </w:r>
      <w:proofErr w:type="spellEnd"/>
      <w:r>
        <w:t xml:space="preserve"> and Kahn (2000)</w:t>
      </w:r>
    </w:p>
    <w:p w14:paraId="4E340E4F" w14:textId="77777777" w:rsidR="000B6524" w:rsidRDefault="00E52755">
      <w:pPr>
        <w:numPr>
          <w:ilvl w:val="1"/>
          <w:numId w:val="4"/>
        </w:numPr>
        <w:contextualSpacing/>
      </w:pPr>
      <w:proofErr w:type="spellStart"/>
      <w:r>
        <w:t>Meucci</w:t>
      </w:r>
      <w:proofErr w:type="spellEnd"/>
      <w:r>
        <w:t xml:space="preserve"> (2005)</w:t>
      </w:r>
    </w:p>
    <w:p w14:paraId="3E15D79F" w14:textId="77777777" w:rsidR="000B6524" w:rsidRDefault="00E52755">
      <w:pPr>
        <w:numPr>
          <w:ilvl w:val="1"/>
          <w:numId w:val="4"/>
        </w:numPr>
        <w:contextualSpacing/>
      </w:pPr>
      <w:r>
        <w:t>Scherer (2007)</w:t>
      </w:r>
    </w:p>
    <w:p w14:paraId="66FDD051" w14:textId="77777777" w:rsidR="000B6524" w:rsidRDefault="00E52755">
      <w:pPr>
        <w:numPr>
          <w:ilvl w:val="1"/>
          <w:numId w:val="4"/>
        </w:numPr>
        <w:contextualSpacing/>
      </w:pPr>
      <w:r>
        <w:t>Michaud (1989) - for evaluation of MPT optimisation</w:t>
      </w:r>
    </w:p>
    <w:p w14:paraId="322DA04C" w14:textId="77777777" w:rsidR="000B6524" w:rsidRDefault="000B6524">
      <w:pPr>
        <w:numPr>
          <w:ilvl w:val="0"/>
          <w:numId w:val="4"/>
        </w:numPr>
        <w:contextualSpacing/>
      </w:pPr>
    </w:p>
    <w:p w14:paraId="1B6B5A87" w14:textId="77777777" w:rsidR="000B6524" w:rsidRDefault="00E52755">
      <w:pPr>
        <w:numPr>
          <w:ilvl w:val="0"/>
          <w:numId w:val="4"/>
        </w:numPr>
        <w:contextualSpacing/>
      </w:pPr>
      <w:r>
        <w:rPr>
          <w:noProof/>
        </w:rPr>
        <w:lastRenderedPageBreak/>
        <w:drawing>
          <wp:inline distT="114300" distB="114300" distL="114300" distR="114300" wp14:anchorId="713560CA" wp14:editId="27CF1A7F">
            <wp:extent cx="3028950" cy="4610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3028950" cy="4610100"/>
                    </a:xfrm>
                    <a:prstGeom prst="rect">
                      <a:avLst/>
                    </a:prstGeom>
                    <a:ln/>
                  </pic:spPr>
                </pic:pic>
              </a:graphicData>
            </a:graphic>
          </wp:inline>
        </w:drawing>
      </w:r>
    </w:p>
    <w:p w14:paraId="007CBB7F" w14:textId="77777777" w:rsidR="000B6524" w:rsidRDefault="000B6524">
      <w:pPr>
        <w:numPr>
          <w:ilvl w:val="0"/>
          <w:numId w:val="4"/>
        </w:numPr>
        <w:contextualSpacing/>
      </w:pPr>
    </w:p>
    <w:p w14:paraId="4C31B16E" w14:textId="77777777" w:rsidR="000B6524" w:rsidRDefault="000B6524"/>
    <w:p w14:paraId="2970AEF1" w14:textId="77777777" w:rsidR="000B6524" w:rsidRDefault="000B6524"/>
    <w:p w14:paraId="62F41AA8" w14:textId="77777777" w:rsidR="000B6524" w:rsidRDefault="000B6524"/>
    <w:p w14:paraId="49AF8755" w14:textId="77777777" w:rsidR="000B6524" w:rsidRDefault="000B6524"/>
    <w:p w14:paraId="6DE79BB9" w14:textId="77777777" w:rsidR="000B6524" w:rsidRDefault="000B6524"/>
    <w:p w14:paraId="694DEBDC" w14:textId="77777777" w:rsidR="000B6524" w:rsidRDefault="000B6524">
      <w:pPr>
        <w:rPr>
          <w:b/>
        </w:rPr>
      </w:pPr>
    </w:p>
    <w:p w14:paraId="6D5E473D" w14:textId="77777777" w:rsidR="000B6524" w:rsidRDefault="000B6524">
      <w:pPr>
        <w:rPr>
          <w:b/>
        </w:rPr>
      </w:pPr>
    </w:p>
    <w:sectPr w:rsidR="000B6524">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Königkrämer" w:date="2018-04-01T12:41:00Z" w:initials="">
    <w:p w14:paraId="3E7075B3" w14:textId="77777777" w:rsidR="000B6524" w:rsidRDefault="00E52755">
      <w:pPr>
        <w:widowControl w:val="0"/>
        <w:spacing w:line="240" w:lineRule="auto"/>
      </w:pPr>
      <w:proofErr w:type="gramStart"/>
      <w:r>
        <w:t>read</w:t>
      </w:r>
      <w:proofErr w:type="gramEnd"/>
      <w:r>
        <w:t xml:space="preserve"> the conclusion on p. 220 - very concise and informative</w:t>
      </w:r>
    </w:p>
  </w:comment>
  <w:comment w:id="1" w:author="Thomas Königkrämer" w:date="2018-04-01T12:28:00Z" w:initials="">
    <w:p w14:paraId="7B603368" w14:textId="77777777" w:rsidR="000B6524" w:rsidRDefault="00E52755">
      <w:pPr>
        <w:widowControl w:val="0"/>
        <w:spacing w:line="240" w:lineRule="auto"/>
      </w:pPr>
      <w:proofErr w:type="gramStart"/>
      <w:r>
        <w:t>not</w:t>
      </w:r>
      <w:proofErr w:type="gramEnd"/>
      <w:r>
        <w:t xml:space="preserve"> sure if we will have to delve into these factors in the project, since these are insurance related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075B3" w15:done="0"/>
  <w15:commentEx w15:paraId="7B6033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861"/>
    <w:multiLevelType w:val="multilevel"/>
    <w:tmpl w:val="7E086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72E84"/>
    <w:multiLevelType w:val="multilevel"/>
    <w:tmpl w:val="5B7E8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5642B"/>
    <w:multiLevelType w:val="multilevel"/>
    <w:tmpl w:val="33E65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6711A6"/>
    <w:multiLevelType w:val="multilevel"/>
    <w:tmpl w:val="82FE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C755AF"/>
    <w:multiLevelType w:val="hybridMultilevel"/>
    <w:tmpl w:val="9554427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BCF5556"/>
    <w:multiLevelType w:val="multilevel"/>
    <w:tmpl w:val="1B001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B804A0"/>
    <w:multiLevelType w:val="multilevel"/>
    <w:tmpl w:val="1A42B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24"/>
    <w:rsid w:val="000B6524"/>
    <w:rsid w:val="002501B2"/>
    <w:rsid w:val="00365B20"/>
    <w:rsid w:val="00590F70"/>
    <w:rsid w:val="007A7FA9"/>
    <w:rsid w:val="00E527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BFF2"/>
  <w15:docId w15:val="{AB94E9F1-70F1-41A2-B5D5-A3626312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27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755"/>
    <w:rPr>
      <w:rFonts w:ascii="Segoe UI" w:hAnsi="Segoe UI" w:cs="Segoe UI"/>
      <w:sz w:val="18"/>
      <w:szCs w:val="18"/>
    </w:rPr>
  </w:style>
  <w:style w:type="paragraph" w:styleId="ListParagraph">
    <w:name w:val="List Paragraph"/>
    <w:basedOn w:val="Normal"/>
    <w:uiPriority w:val="34"/>
    <w:qFormat/>
    <w:rsid w:val="00250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Königkrämer</dc:creator>
  <cp:lastModifiedBy>Thomas Königkrämer</cp:lastModifiedBy>
  <cp:revision>4</cp:revision>
  <dcterms:created xsi:type="dcterms:W3CDTF">2018-04-03T09:54:00Z</dcterms:created>
  <dcterms:modified xsi:type="dcterms:W3CDTF">2018-04-03T15:27:00Z</dcterms:modified>
</cp:coreProperties>
</file>