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uma representação gráfica (diagrama, infográfico ou slides) para apresentar as possibilidades de atuação como UX e UI designer e destaque as habilidades requeridas.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Possíveis áreas de atuação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UX Researcher;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Information Architect;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UI/UX Developer;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Usability Analyst;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UX Writer;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Designer.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UX Researcher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Conduzir entrevistas, pesquisas e testes;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Analisar os resultados quantitativos e qualitativos das pesquisas;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personas, Jornadas do Usuário e protótipos;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Comunicar os resultados das pesquisas para o negócio.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Information Architect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Analisar informações dos resultados de pesquisas e testes com usuários;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Criar mapas que ilustram a hierarquia do conteúdo nas interfaces;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Elaborar protótipos e criar templates;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modelos e fluxogramas.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UI/UX Developer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Trabalhar junto aos designers nas ideias de design e identificação de problemas potenciais, focando mais em possibilidades e limitações tecnológicas;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interfaces gráficas (código);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mockups e protótipos;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Identificar dificuldades técnicas com a experiência do usuário.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Usability Analyst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Trabalhar junto com a equipe de pesquisa, ajudando nos testes de usabilidade;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Aplicar métodos de inspeção de usabilidade, como orientações heurísticas, cognitivas e baseadas em personas;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Traduzir observações e insights em planos de ação junto com o time de design;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protótipos e wireframes;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Identificar gaps de usabilidade e apresentar soluções.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UX Writer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Trabalhar em equipe com as áreas de pesquisa e de produto para entender as personas, suas necessidades e suas dores;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Copywriting – escrever textos amigáveis em todos os pontos de interação do usuário;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Entender como a escrita e a interação trabalham juntas para construir uma narrativa coerente na jornada do usuário.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Designer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Disciplinas de UX;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Negócios;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Metodologias de gestão de projeto;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Gestão de pessoas.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