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项目阶段复盘</w:t>
      </w:r>
    </w:p>
    <w:p>
      <w:r>
        <w:rPr>
          <w:rFonts w:ascii="Arial" w:hAnsi="Arial"/>
          <w:color w:val="1F4D78"/>
          <w:sz w:val="26"/>
        </w:rPr>
        <w:t>第一阶段，需求澄清</w:t>
      </w:r>
      <w:r>
        <w:rPr>
          <w:rFonts w:ascii="Arial" w:hAnsi="Arial"/>
          <w:sz w:val="26"/>
        </w:rPr>
        <w:t>：已完成范围确认。</w:t>
      </w:r>
    </w:p>
    <w:p>
      <w:r>
        <w:rPr>
          <w:rFonts w:ascii="Arial" w:hAnsi="Arial"/>
          <w:b/>
          <w:sz w:val="26"/>
        </w:rPr>
        <w:t>第二阶段，方案评审</w:t>
      </w:r>
      <w:r>
        <w:rPr>
          <w:rFonts w:ascii="Arial" w:hAnsi="Arial"/>
          <w:sz w:val="26"/>
        </w:rPr>
        <w:t>：评审通过。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