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2E74B5"/>
          <w:sz w:val="18"/>
        </w:rPr>
        <w:t>QUINTAI TEST MATERIAL</w:t>
      </w:r>
    </w:p>
    <w:p>
      <w:pPr>
        <w:pStyle w:val="Title"/>
      </w:pPr>
      <w:r>
        <w:t>客户成功部第二季度复盘</w:t>
      </w:r>
    </w:p>
    <w:p>
      <w:pPr>
        <w:spacing w:after="280"/>
      </w:pPr>
      <w:r>
        <w:rPr>
          <w:color w:val="667085"/>
          <w:sz w:val="24"/>
        </w:rPr>
        <w:t>内部材料 · 含需脱敏信息</w:t>
      </w:r>
    </w:p>
    <w:p>
      <w:pPr>
        <w:pStyle w:val="Heading1"/>
      </w:pPr>
      <w:r>
        <w:t>关键数据</w:t>
      </w:r>
    </w:p>
    <w:p>
      <w:r>
        <w:t>续约率 87.4%，目标为 85%。</w:t>
      </w:r>
    </w:p>
    <w:p>
      <w:r>
        <w:t>共处理高优先级问题 46 起，平均闭环 19.6 小时。</w:t>
      </w:r>
    </w:p>
    <w:p>
      <w:pPr>
        <w:pStyle w:val="Heading1"/>
      </w:pPr>
      <w:r>
        <w:t>客户反馈</w:t>
      </w:r>
    </w:p>
    <w:p>
      <w:r>
        <w:t>华东区联系人：王珊，电话 138-2210-7742，邮箱 wangshan@example.com。</w:t>
      </w:r>
    </w:p>
    <w:p>
      <w:r>
        <w:t>客户希望增加批量导出与来源定位能力。</w:t>
      </w:r>
    </w:p>
    <w:p>
      <w:pPr>
        <w:pStyle w:val="Heading1"/>
      </w:pPr>
      <w:r>
        <w:t>下季度动作</w:t>
      </w:r>
    </w:p>
    <w:p>
      <w:r>
        <w:t>补齐知识库引用；上线处理质量报告；优化异常任务重试。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8"/>
      </w:rPr>
      <w:t>QuintAI · 可复现验收材料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667085"/>
        <w:sz w:val="18"/>
      </w:rPr>
      <w:t>QuintAI 分级测试套件  |  03-困难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eastAsia="微软雅黑"/>
      <w:color w:val="1F2937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