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数据服务异常应急处置预案</w:t>
      </w:r>
    </w:p>
    <w:p>
      <w:pPr>
        <w:spacing w:after="280"/>
      </w:pPr>
      <w:r>
        <w:rPr>
          <w:color w:val="667085"/>
          <w:sz w:val="24"/>
        </w:rPr>
        <w:t>版本 2.3 · 适用于比赛演示环境</w:t>
      </w:r>
    </w:p>
    <w:p>
      <w:pPr>
        <w:pStyle w:val="Heading1"/>
      </w:pPr>
      <w:r>
        <w:t>适用范围</w:t>
      </w:r>
    </w:p>
    <w:p>
      <w:r>
        <w:t>API 无法访问、任务积压、数据库连接异常、模型服务不可用。</w:t>
      </w:r>
    </w:p>
    <w:p>
      <w:pPr>
        <w:pStyle w:val="Heading1"/>
      </w:pPr>
      <w:r>
        <w:t>处置原则</w:t>
      </w:r>
    </w:p>
    <w:p>
      <w:r>
        <w:t>先止损，再定位；先恢复核心链路，再补齐非核心能力；所有动作必须留痕。</w:t>
      </w:r>
    </w:p>
    <w:p>
      <w:pPr>
        <w:pStyle w:val="Heading1"/>
      </w:pPr>
      <w:r>
        <w:t>响应分级</w:t>
      </w:r>
    </w:p>
    <w:p>
      <w:r>
        <w:t>P1：全部用户不可用；P2：核心功能部分不可用；P3：非核心功能异常。</w:t>
      </w:r>
    </w:p>
    <w:p>
      <w:pPr>
        <w:pStyle w:val="Heading1"/>
      </w:pPr>
      <w:r>
        <w:t>联系人</w:t>
      </w:r>
    </w:p>
    <w:p>
      <w:r>
        <w:t>值班负责人：周屿 139-8801-6620；技术支持：ops@example.com。</w:t>
      </w:r>
    </w:p>
    <w:p>
      <w:pPr>
        <w:pStyle w:val="Heading1"/>
      </w:pPr>
      <w:r>
        <w:t>恢复步骤</w:t>
      </w:r>
    </w:p>
    <w:p>
      <w:r>
        <w:t>确认告警；冻结变更；检查依赖；切换降级路径；验证数据一致性；发布恢复通知。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05-极限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