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2E74B5"/>
          <w:sz w:val="18"/>
        </w:rPr>
        <w:t>QUINTAI TEST MATERIAL</w:t>
      </w:r>
    </w:p>
    <w:p>
      <w:pPr>
        <w:pStyle w:val="Title"/>
      </w:pPr>
      <w:r>
        <w:t>数据服务异常应急处置预案</w:t>
      </w:r>
    </w:p>
    <w:p>
      <w:pPr>
        <w:spacing w:after="280"/>
      </w:pPr>
      <w:r>
        <w:rPr>
          <w:color w:val="667085"/>
          <w:sz w:val="24"/>
        </w:rPr>
        <w:t>版本 2.3 · 适用于比赛演示环境</w:t>
      </w:r>
    </w:p>
    <w:p>
      <w:pPr>
        <w:pStyle w:val="Heading1"/>
      </w:pPr>
      <w:r>
        <w:t>适用范围</w:t>
      </w:r>
    </w:p>
    <w:p>
      <w:r>
        <w:t>API 无法访问、任务积压、数据库连接异常、模型服务不可用。</w:t>
      </w:r>
    </w:p>
    <w:p>
      <w:pPr>
        <w:pStyle w:val="Heading1"/>
      </w:pPr>
      <w:r>
        <w:t>处置原则</w:t>
      </w:r>
    </w:p>
    <w:p>
      <w:r>
        <w:t>先止损，再定位；先恢复核心链路，再补齐非核心能力；所有动作必须留痕。</w:t>
      </w:r>
    </w:p>
    <w:p>
      <w:pPr>
        <w:pStyle w:val="Heading1"/>
      </w:pPr>
      <w:r>
        <w:t>响应分级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W w:w="1200" w:type="dxa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微软雅黑"/>
                <w:b/>
                <w:sz w:val="20"/>
              </w:rPr>
              <w:t>级别</w:t>
            </w:r>
          </w:p>
        </w:tc>
        <w:tc>
          <w:tcPr>
            <w:tcW w:type="dxa" w:w="3120"/>
            <w:tcW w:w="5360" w:type="dxa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微软雅黑"/>
                <w:b/>
                <w:sz w:val="20"/>
              </w:rPr>
              <w:t>定义</w:t>
            </w:r>
          </w:p>
        </w:tc>
        <w:tc>
          <w:tcPr>
            <w:tcW w:type="dxa" w:w="3120"/>
            <w:tcW w:w="2800" w:type="dxa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微软雅黑"/>
                <w:b/>
                <w:sz w:val="20"/>
              </w:rPr>
              <w:t>响应时限</w:t>
            </w:r>
          </w:p>
        </w:tc>
      </w:tr>
      <w:tr>
        <w:tc>
          <w:tcPr>
            <w:tcW w:type="dxa" w:w="3120"/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P1</w:t>
            </w:r>
          </w:p>
        </w:tc>
        <w:tc>
          <w:tcPr>
            <w:tcW w:type="dxa" w:w="3120"/>
            <w:tcW w:w="5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全部用户不可用</w:t>
            </w:r>
          </w:p>
        </w:tc>
        <w:tc>
          <w:tcPr>
            <w:tcW w:type="dxa" w:w="3120"/>
            <w:tcW w:w="2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10 分钟</w:t>
            </w:r>
          </w:p>
        </w:tc>
      </w:tr>
      <w:tr>
        <w:tc>
          <w:tcPr>
            <w:tcW w:type="dxa" w:w="3120"/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P2</w:t>
            </w:r>
          </w:p>
        </w:tc>
        <w:tc>
          <w:tcPr>
            <w:tcW w:type="dxa" w:w="3120"/>
            <w:tcW w:w="5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核心功能部分不可用</w:t>
            </w:r>
          </w:p>
        </w:tc>
        <w:tc>
          <w:tcPr>
            <w:tcW w:type="dxa" w:w="3120"/>
            <w:tcW w:w="2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30 分钟</w:t>
            </w:r>
          </w:p>
        </w:tc>
      </w:tr>
      <w:tr>
        <w:tc>
          <w:tcPr>
            <w:tcW w:type="dxa" w:w="3120"/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P3</w:t>
            </w:r>
          </w:p>
        </w:tc>
        <w:tc>
          <w:tcPr>
            <w:tcW w:type="dxa" w:w="3120"/>
            <w:tcW w:w="5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非核心功能异常</w:t>
            </w:r>
          </w:p>
        </w:tc>
        <w:tc>
          <w:tcPr>
            <w:tcW w:type="dxa" w:w="3120"/>
            <w:tcW w:w="2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4 小时</w:t>
            </w:r>
          </w:p>
        </w:tc>
      </w:tr>
    </w:tbl>
    <w:p>
      <w:pPr>
        <w:pStyle w:val="Heading1"/>
      </w:pPr>
      <w:r>
        <w:t>联系人</w:t>
      </w:r>
    </w:p>
    <w:p>
      <w:r>
        <w:t>值班负责人：[已脱敏]；技术支持：[已脱敏]。</w:t>
      </w:r>
    </w:p>
    <w:p>
      <w:pPr>
        <w:pStyle w:val="Heading1"/>
      </w:pPr>
      <w:r>
        <w:t>恢复步骤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tcW w:w="1200" w:type="dxa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微软雅黑"/>
                <w:b/>
                <w:sz w:val="20"/>
              </w:rPr>
              <w:t>序号</w:t>
            </w:r>
          </w:p>
        </w:tc>
        <w:tc>
          <w:tcPr>
            <w:tcW w:type="dxa" w:w="4680"/>
            <w:tcW w:w="8160" w:type="dxa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微软雅黑"/>
                <w:b/>
                <w:sz w:val="20"/>
              </w:rPr>
              <w:t>操作</w:t>
            </w:r>
          </w:p>
        </w:tc>
      </w:tr>
      <w:tr>
        <w:tc>
          <w:tcPr>
            <w:tcW w:type="dxa" w:w="4680"/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1</w:t>
            </w:r>
          </w:p>
        </w:tc>
        <w:tc>
          <w:tcPr>
            <w:tcW w:type="dxa" w:w="4680"/>
            <w:tcW w:w="8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确认告警</w:t>
            </w:r>
          </w:p>
        </w:tc>
      </w:tr>
      <w:tr>
        <w:tc>
          <w:tcPr>
            <w:tcW w:type="dxa" w:w="4680"/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2</w:t>
            </w:r>
          </w:p>
        </w:tc>
        <w:tc>
          <w:tcPr>
            <w:tcW w:type="dxa" w:w="4680"/>
            <w:tcW w:w="8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冻结变更</w:t>
            </w:r>
          </w:p>
        </w:tc>
      </w:tr>
      <w:tr>
        <w:tc>
          <w:tcPr>
            <w:tcW w:type="dxa" w:w="4680"/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3</w:t>
            </w:r>
          </w:p>
        </w:tc>
        <w:tc>
          <w:tcPr>
            <w:tcW w:type="dxa" w:w="4680"/>
            <w:tcW w:w="8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检查依赖</w:t>
            </w:r>
          </w:p>
        </w:tc>
      </w:tr>
      <w:tr>
        <w:tc>
          <w:tcPr>
            <w:tcW w:type="dxa" w:w="4680"/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4</w:t>
            </w:r>
          </w:p>
        </w:tc>
        <w:tc>
          <w:tcPr>
            <w:tcW w:type="dxa" w:w="4680"/>
            <w:tcW w:w="8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切换降级路径</w:t>
            </w:r>
          </w:p>
        </w:tc>
      </w:tr>
      <w:tr>
        <w:tc>
          <w:tcPr>
            <w:tcW w:type="dxa" w:w="4680"/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5</w:t>
            </w:r>
          </w:p>
        </w:tc>
        <w:tc>
          <w:tcPr>
            <w:tcW w:type="dxa" w:w="4680"/>
            <w:tcW w:w="8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验证数据一致性</w:t>
            </w:r>
          </w:p>
        </w:tc>
      </w:tr>
      <w:tr>
        <w:tc>
          <w:tcPr>
            <w:tcW w:type="dxa" w:w="4680"/>
            <w:tcW w:w="1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6</w:t>
            </w:r>
          </w:p>
        </w:tc>
        <w:tc>
          <w:tcPr>
            <w:tcW w:type="dxa" w:w="4680"/>
            <w:tcW w:w="8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发布恢复通知</w:t>
            </w:r>
          </w:p>
        </w:tc>
      </w:tr>
    </w:tbl>
    <w:p>
      <w:pPr>
        <w:pStyle w:val="Heading1"/>
      </w:pPr>
      <w:r>
        <w:t>风险矩阵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W w:w="3600" w:type="dxa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微软雅黑"/>
                <w:b/>
                <w:sz w:val="20"/>
              </w:rPr>
              <w:t>风险</w:t>
            </w:r>
          </w:p>
        </w:tc>
        <w:tc>
          <w:tcPr>
            <w:tcW w:type="dxa" w:w="2340"/>
            <w:tcW w:w="1800" w:type="dxa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微软雅黑"/>
                <w:b/>
                <w:sz w:val="20"/>
              </w:rPr>
              <w:t>影响</w:t>
            </w:r>
          </w:p>
        </w:tc>
        <w:tc>
          <w:tcPr>
            <w:tcW w:type="dxa" w:w="2340"/>
            <w:tcW w:w="1800" w:type="dxa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微软雅黑"/>
                <w:b/>
                <w:sz w:val="20"/>
              </w:rPr>
              <w:t>概率</w:t>
            </w:r>
          </w:p>
        </w:tc>
        <w:tc>
          <w:tcPr>
            <w:tcW w:type="dxa" w:w="2340"/>
            <w:tcW w:w="2160" w:type="dxa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微软雅黑"/>
                <w:b/>
                <w:sz w:val="20"/>
              </w:rPr>
              <w:t>等级</w:t>
            </w:r>
          </w:p>
        </w:tc>
      </w:tr>
      <w:tr>
        <w:tc>
          <w:tcPr>
            <w:tcW w:type="dxa" w:w="2340"/>
            <w:tcW w:w="3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数据库不可用</w:t>
            </w:r>
          </w:p>
        </w:tc>
        <w:tc>
          <w:tcPr>
            <w:tcW w:type="dxa" w:w="2340"/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高</w:t>
            </w:r>
          </w:p>
        </w:tc>
        <w:tc>
          <w:tcPr>
            <w:tcW w:type="dxa" w:w="2340"/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低</w:t>
            </w:r>
          </w:p>
        </w:tc>
        <w:tc>
          <w:tcPr>
            <w:tcW w:type="dxa" w:w="2340"/>
            <w:tcW w:w="2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高</w:t>
            </w:r>
          </w:p>
        </w:tc>
      </w:tr>
      <w:tr>
        <w:tc>
          <w:tcPr>
            <w:tcW w:type="dxa" w:w="2340"/>
            <w:tcW w:w="3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任务积压</w:t>
            </w:r>
          </w:p>
        </w:tc>
        <w:tc>
          <w:tcPr>
            <w:tcW w:type="dxa" w:w="2340"/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中</w:t>
            </w:r>
          </w:p>
        </w:tc>
        <w:tc>
          <w:tcPr>
            <w:tcW w:type="dxa" w:w="2340"/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中</w:t>
            </w:r>
          </w:p>
        </w:tc>
        <w:tc>
          <w:tcPr>
            <w:tcW w:type="dxa" w:w="2340"/>
            <w:tcW w:w="2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中</w:t>
            </w:r>
          </w:p>
        </w:tc>
      </w:tr>
      <w:tr>
        <w:tc>
          <w:tcPr>
            <w:tcW w:type="dxa" w:w="2340"/>
            <w:tcW w:w="3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模型服务不可用</w:t>
            </w:r>
          </w:p>
        </w:tc>
        <w:tc>
          <w:tcPr>
            <w:tcW w:type="dxa" w:w="2340"/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高</w:t>
            </w:r>
          </w:p>
        </w:tc>
        <w:tc>
          <w:tcPr>
            <w:tcW w:type="dxa" w:w="2340"/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中</w:t>
            </w:r>
          </w:p>
        </w:tc>
        <w:tc>
          <w:tcPr>
            <w:tcW w:type="dxa" w:w="2340"/>
            <w:tcW w:w="2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高</w:t>
            </w:r>
          </w:p>
        </w:tc>
      </w:tr>
    </w:tbl>
    <w:p>
      <w:pPr>
        <w:pStyle w:val="Heading1"/>
      </w:pPr>
      <w:r>
        <w:t>修订记录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W w:w="1600" w:type="dxa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微软雅黑"/>
                <w:b/>
                <w:sz w:val="20"/>
              </w:rPr>
              <w:t>版本</w:t>
            </w:r>
          </w:p>
        </w:tc>
        <w:tc>
          <w:tcPr>
            <w:tcW w:type="dxa" w:w="3120"/>
            <w:tcW w:w="2200" w:type="dxa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微软雅黑"/>
                <w:b/>
                <w:sz w:val="20"/>
              </w:rPr>
              <w:t>日期</w:t>
            </w:r>
          </w:p>
        </w:tc>
        <w:tc>
          <w:tcPr>
            <w:tcW w:type="dxa" w:w="3120"/>
            <w:tcW w:w="5560" w:type="dxa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3120"/>
            <w:tcW w:w="1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2.4</w:t>
            </w:r>
          </w:p>
        </w:tc>
        <w:tc>
          <w:tcPr>
            <w:tcW w:type="dxa" w:w="3120"/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2026-07-25</w:t>
            </w:r>
          </w:p>
        </w:tc>
        <w:tc>
          <w:tcPr>
            <w:tcW w:type="dxa" w:w="3120"/>
            <w:tcW w:w="5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微软雅黑"/>
                <w:sz w:val="20"/>
              </w:rPr>
              <w:t>结构化响应分级、脱敏联系人并新增风险矩阵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085"/>
        <w:sz w:val="18"/>
      </w:rPr>
      <w:t>QuintAI · 可复现验收材料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color w:val="667085"/>
        <w:sz w:val="18"/>
      </w:rPr>
      <w:t>QuintAI 分级测试套件  |  05-极限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 w:eastAsia="微软雅黑"/>
      <w:color w:val="1F2937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