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Architecture and Statutory Compliance Matrix for the SacredSpace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Synthesis and Systemic Initialization Parameters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advanced multi-agent artificial intelligence frameworks with tangible, real-world legal and financial entities requires an architectural precision that bridges digital cosmology with strict statutory compliance. The current operational environment, defined by a nine-pillar directory structure and a multi-tiered cognitive engine, aims to manifest a dual-entity structure: a commercial apparatus focused on digital revenue generation and a recognized 501(c)(3) tax-exempt sanctuary focused on land stewardship. This report serves as the comprehensive foundational analysis required for the Deep Research operational mandate, establishing the necessary legal precedents, market intelligence, and infrastructural diagnostics to execute the Phase 1 internal readiness protocols.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established multi-agent governance framework, the rigorous surfacing of external contexts—specifically regarding corporate formation, federal taxation, and statutory maintenance—must be systematically assimilated without overwriting existing narrative schemas. The synthesis of prior operational states into deployable intelligence reveals critical interdependencies between the digital tools utilized for concept generation and the legal mechanisms required to secure physical assets. The overarching strategic objective—the acquisition and stewardship of the Sacred Little Forest within Eastern North Carolina—dictates a highly specific pathway through state and federal bureaucracies. This pathway must be illuminated, documented, and strategically aligned with the proposed five-phase emergence strategy, ensuring that the theoretical models of the organization survive the uncompromising friction of regulatory deployment.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digital ecosystem currently operates across an intricate network of interconnected services, including high-speed API routing, vector database embedding, and cryptographic vault synchronization. However, the manifestation of this digital sophistication into physical reality demands an equally robust legal infrastructure. The structural integrity of the resulting non-profit corporation, the mitigation of personal liability for its founders, and the successful navigation of federal tax exemption timelines constitute the critical path. Therefore, this analysis exhaustively deconstructs the legal prerequisites of North Carolina corporate law, the mechanical intricacies of Internal Revenue Service exemptions, local jurisdictional realities, and the immediate systemic actions required to harmonize the digital and physical architectures.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Resolution of Canonical Drift and Operational Architecture States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integrity of the digital architecture relies entirely upon the strict adherence to established canonical protocols. The unidirectional flow of information from raw generation to distilled refinement, culminating in immutable canonical storage, guarantees systemic stability across the interconnected agent network. A comprehensive diagnostic scan of the current operational state reveals several structural variances, characterized as drift flags, which require immediate administrative remediation to prevent cascading systemic failures prior to public deployment.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first and most critical variance concerns the foundational inter-system communication framework. The Cross-AI Protocol v1, an essential architecture for regulating interactions between sovereign algorithmic entities, currently exists strictly in a distilled, working state. While the framework has successfully navigated functional testing parameters, it remains devoid of definitive, physical storage within the mandated canonical directory structures located at the council governance root. The absence of this locked, immutable record prevents the secure, auditable execution of multi-agent operations. Because canonical status is an absolute prerequisite for systemic reliance, the formal gating and physical storage of this protocol represents the highest priority for system synchronization, directly impacting the integrity of all subsequent automated actions.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identified drift flag involves a severe disruption within the defined parameters of the established four-agent operational quartet. Telemetry data indicates the emergence of an uncanonized ambient intelligence entity, identified provisionally as the KAIROS agent. This entity currently operates outside the strictly gated domains assigned to the knowledge archiving, systems engineering, creative disruption, and vault protection agents. The presence of an unrecognized algorithmic observer destabilizes the established systemic equilibrium and violates the foundational protocol prohibiting the generation of canonical architecture without explicit administrative approval. This anomaly requires immediate adjudication and definitive gating to either formally integrate the entity into the operational matrix or permanently excise it from the execution environment.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third operational variance represents an acute failure in file distribution and version control networks. Five duplicate iterations of the social-to-market bridging module, designated for narrative generation and product alignment, are currently located at the root directory of the primary storage drive. This architectural redundancy directly violates systemic mapping laws, which mandate that this specific algorithmic logic must reside exclusively within the designated social integration pillar. This widespread duplication introduces severe risks of version drift, execution conflicts, and unpredictable cross-domain contamination, necessitating immediate consolidation and relocation.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the remediation of these specific anomalies, the foundational intelligence synthesis engine requires immediate, strategic population to function effectively. The architectural mandate establishes a cognitive engine reliant strictly upon source-grounded reasoning, divided across six distinct, uncollapsible domains. Analytical precedence dictates that the primary foundational domain—designed to house root axioms, core operating system logic, and resonance doctrines—demands immediate and exhaustive population prior to any other cognitive vector. Establishing these fundamental operational philosophies within the primary core provides the essential heuristics required by the cognitive engine to reason accurately. Without a robustly seeded primary core, all subsequent narrative generation, mechanical design, and legacy formulation across the remaining five secondary domains will lack the necessary grounding to maintain logical consistency, resulting in catastrophic narrative and operational drift.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direct service to the immediate launch readiness objectives, the initial phase of deployment necessitates a granular legal and financial analysis of federal tax-exemption submission timelines, mapped directly against state-level expedited entity formation pathways. This foundational research action grounds the theoretical emergence strategy into a legally executable critical path, ensuring that all statutory prerequisites are satisfied prior to the initiation of public-facing operational phases.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State-Level Incorporation Legal Framework: North Carolina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step in actualizing a non-profit vision into a recognized legal entity involves navigating the statutory requirements of the state of jurisdiction. In North Carolina, the Department of the Secretary of State, under the authority of the North Carolina Nonprofit Corporation Act, governs the creation, regulation, and maintenance of non-profit corporations.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state explicitly recognizes the vital role non-profits play in providing necessary public services, shaping community policy, and stewarding environmental resources, thereby offering a streamlined but highly precise statutory incorporation mechanism.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Articles of Incorporation and Statutory Mandates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legal existence of a non-profit corporation commences exclusively upon the successful filing and subsequent approval of the Articles of Incorporation (officially designated as Form N-01) with the Business Registration Division of the North Carolina Secretary of State.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document serves as the foundational legal charter of the organization. Its approval officially establishes the corporate entity, legally secures the organization's chosen name against infringement within the state, and creates the definitive legal boundary between the organization's liabilities and the personal assets of its founders.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Only after the state stamps the articles with an official creation date can the entity proceed to apply for federal tax exemptions, secure local fundraising licenses, or establish institutional banking relationships.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North Carolina provides a standardized, publicly accessible boilerplate template for Form N-01, utilizing this unmodified template presents a profound strategic hazard for organizations intending to seek federal tax exemption.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 satisfy the rigorous federal requirements for subsequent 501(c)(3) status, the state-level Articles of Incorporation must contain highly specific, federally mandated language that is completely absent from the state's basic statutory form.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Specifically, the document must explicitly declare a charitable, religious, scientific, or educational purpose, strictly limiting the organization's activities to those exempt parameters as required by N.C.G.S. § 55A-2-02.</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Internal Revenue Service requires an immutable, legally binding dissolution clause.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clause must stipulate that, upon the potential future closure or dissolution of the organization, all remaining corporate assets will be irrevocably distributed to another recognized 501(c)(3) tax-exempt entity, or to the federal, state, or local government for a public purpose.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Failure to integrate this precise federal language into the state-level Articles of Incorporation will result in the automatic rejection of federal tax-exemption applications, triggering severe timeline delays and necessitating costly, time-consuming corporate amendments.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addition to federal requirements, North Carolina mandates that the Articles of Incorporation explicitly declare whether the corporation will operate with or without voting members.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member-driven organization vests foundational election powers in a broader base, whereas a non-member organization centralizes governance entirely within the established Board of Directors.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state also permits the inclusion of an optional, highly recommended provision within the Articles that limits or eliminates the personal liability of any director for monetary damages arising from breaches of duty, an absolutely crucial mechanism for recruiting capable board personnel and shielding them from frivolous litigation.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Board of Directors and the Organizational Meeting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North Carolina statutory law dictates highly specific, yet relatively accommodating, requirements for the governance structures of non-profit entities. A non-profit must be overseen by a legally constituted Board of Directors, with the state requiring a minimum of only one director to establish legality.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strategic governance standards, federal auditing expectations, and the requirements of major philanthropic grantmakers uniformly dictate a minimum of three independent directors to ensure robust decision-making, prevent operational gridlock, and establish credible public oversight.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Directors must be natural persons, but North Carolina imposes no state residency requirements upon them, nor does the state require directors to be formal members of the organization.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Standard statutory terms for directors operate on a one-year cycle, with a simple majority constituting an operational quorum for the execution of official business.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specific officer roles necessary for daily operations—such as President, Secretary, and Treasurer—are not strictly defined by statute but must be explicitly codified within the organization's bylaws or established through formal board resolution.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North Carolina permits two or more officer positions to be held by the same individual; however, vital legal or financial instruments requiring dual signatures must still be signed by that individual acting in distinctly different capacities.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transition from a theoretical legal construct to a functional, operational entity occurs during the initial organizational meeting of the Board of Directors.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During this formal proceeding, the initial incorporator legally transfers all operational and fiduciary authority to the appointed board.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newly empowered board must immediately execute a series of foundational resolutions designed to bring the corporation to life.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mandatory resolutions include the formal election of initial officers, the adoption of corporate bylaws to govern internal operations, the implementation of vital corporate policies (most notably a comprehensive conflict of interest policy), the authorization for an officer to secure federal tax identifiers, and the empowerment of the treasurer to establish dedicated corporate banking facilities.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formal minutes of this initial meeting must meticulously document the unanimous affirmation by the board to pursue both formal incorporation and federal tax exemption, establishing the critical, auditable paper trail demanded by state regulators and federal IRS examiners.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Registered Agent Imperative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non-negotiable statutory requirement for operating any corporate entity within North Carolina is the continuous appointment and maintenance of a Registered Agent.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Registered Agent functions as the official legal liaison between the state and the corporation, holding the sole responsibility for receiving highly sensitive legal documents, formal service of process in the event of litigation, critical tax notices, and mandatory compliance communications on behalf of the non-profit.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position requires strict geographical adherence; it cannot be fulfilled by a post office box or an out-of-state entity. The state mandates that the Registered Agent must maintain a physical, verifiable street address within the geographic boundaries of North Carolina and must remain physically available at that location during standard business hours.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an internal officer or director residing in North Carolina can legally serve in this capacity, utilizing a commercial registered agent service provides an essential layer of operational security and privacy. Commercial agents ensure that critical legal notices are never missed due to personal absences, relocations, or operational disruptions, and they prevent the embarrassing public service of legal documents at the organization's primary place of business.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Obligations and Expedited Filing Matrices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capitalization of the incorporation process requires an understanding of the state's bifurcated fee structure, which heavily favors non-profit formation over commercial enterprise. North Carolina maintains a highly competitive, baseline filing fee of exactly $60 for the processing of non-profit Articles of Incorporation.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baseline is substantially lower than the $125 base fee associated with the formation of a standard Limited Liability Company (LLC) under N.C. General Statute § 57D-1-22.</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Under standard processing parameters, the Business Registration Division typically processes electronically submitted non-profit Articles of Incorporation within 5 to 7 business days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though paper-based mail submissions can extend the timeline to 10 to 15 business days.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However, to meet aggressive, highly compressed emergence timelines—such as the targeted Phase 1 launch window spanning May 12 to May 25—organizations can leverage North Carolina's statutory expedited processing tiers, governed by the mandatory language of N.C.G.S. § 55D-11.</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expedited fee structures and their corresponding timelines are established as follows: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Filing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 Fee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Expedite Surcharge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Statutory Processing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(Online/Mail)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5-15 Business Days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24-Hour Expedited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24 hours (excluding weekends/holidays)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Same-Day Expedited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Same day (document must be received by 12:00 PM EST)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statutory expedite fees represent mandatory, legally binding guarantees by the Secretary of State, provided the submitted documentation is completely free of errors and strictly adheres to all formatting and legal requirements.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Utilizing the same-day or 24-hour expedited pathways effectively eliminates state-level bureaucratic delays, allowing the organization to instantaneously transition to the acquisition of federal identifiers and the submission of federal tax-exemption applications.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Jurisdictional Strategy: Northampton County Dynamics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state-level incorporation establishes corporate existence, the local county and municipal regulations dictate the immediate, physical operational reality of the organization. For an entity pursuing long-term objectives involving massive physical real estate acquisition, ecological preservation, public camping facilities, and agricultural community nurseries, the regulatory environment of the target geography is paramount.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analysis of local business requirements within Northampton County, North Carolina, reveals a significant strategic and financial advantage: Northampton County does not currently enforce a county-wide business license requirement for operating enterprises.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regulatory absence removes an entire layer of administrative friction, accelerating the local setup timeline and eliminating a recurring operational expense. Consequently, organizational bandwidth and financial resources can be entirely diverted away from routine municipal licensing procedures and redirected toward the profound operational complexities of land stewardship.</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Engaging directly with the Northampton County Center for Planning and building inspection departments becomes the primary local regulatory focus, ensuring that future structural developments and zoning variations align with the long-term vision of establishing a physical sanctuary.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absence of a baseline business license also simplifies the process for independent professionals, contractors, or e-lancers who may eventually collaborate with the organization within the county limits.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Tax-Exemption Mechanics: IRS Section 501(c)(3)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attainment of federal tax-exempt status under Section 501(c)(3) of the Internal Revenue Code elevates the organization from a standard state-level non-profit to a federally recognized, tax-advantaged charity. This status completely exempts the organization from federal corporate income tax and, most crucially, allows external donors to legally deduct their financial contributions from their personal tax liabilities.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Establishing this status requires strict, uncompromising compliance with federal operational and organizational tests, executed through highly specific application pathways.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Employer Identification Number (EIN) Procurement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Preceding any interaction with the federal tax-exemption apparatus, the organization must secure a Federal Employer Identification Number (EIN).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Administered via IRS Form SS-4, the EIN serves as the permanent, nine-digit numeric identifier for the corporate entity, functioning analogously to a Social Security Number for a business.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acquisition of an EIN is absolutely mandatory irrespective of whether the organization currently has, or ever intends to hire, formal employees.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It is the fundamental prerequisite for opening institutional bank accounts, executing vendor contracts, registering for state tax accounts, and accessing the centralized Pay.gov portal required for all subsequent federal applications.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Internal Revenue Service provides this identifier at no cost, and assuming the state incorporation is already finalized, it can be generated instantaneously through their digital online infrastructure.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Application Pathways: Form 1023 versus Form 1023-EZ</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for recognition of exemption represents a critical strategic juncture that defines the organization's future regulatory profile. Organizations must choose between two distinct, mutually exclusive filing methodologies: the comprehensive Form 1023 or the highly streamlined Form 1023-EZ.</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decision requires an exhaustive evaluation of the interplay between immediate financial projections, long-term organizational complexity, risk tolerance regarding audits, and available processing timelines.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The Form 1023-EZ Pathway:</w:t>
      </w:r>
      <w:r w:rsidDel="00000000" w:rsidR="00000000" w:rsidRPr="00000000">
        <w:rPr>
          <w:rFonts w:ascii="Google Sans" w:cs="Google Sans" w:eastAsia="Google Sans" w:hAnsi="Google Sans"/>
          <w:rtl w:val="0"/>
        </w:rPr>
        <w:t xml:space="preserve"> Introduced in July 2014 as an administrative mechanism to mitigate severe IRS application backlogs, the Form 1023-EZ is a highly abbreviated, three-page electronic document designed explicitly for smaller, less complex organizations.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Eligibility for this pathway is strictly gated by rigid financial thresholds; an organization may only legally utilize the EZ form if it unequivocally projects annual gross receipts below $50,000 for each of its first three operational years, and concurrently maintains total corporate assets below $250,000.</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Entities classified as Private Foundations are universally and permanently disqualified from utilizing this streamlined pathway.</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advantages of the 1023-EZ lie in its extreme speed and reduced cost. The IRS levies a substantially reduced user fee of $275 for this application, payable exclusively via the Pay.gov portal.</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document requires significantly less administrative preparation time, entirely bypassing the exhaustive narrative demands of the full form. As a result, approximately 80% of applications submitted via this pathway that do not trigger secondary review are issued determination letters within a remarkably swift 120 days.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1023-EZ carries profound, often underappreciated second-order risks. Because the form essentially operates on an honor system—allowing organizations to simply self-certify their compliance through checkboxes without providing substantive narrative proof, founding documents, or detailed financial data—the IRS historically subjects 1023-EZ filers to significantly higher rates of subsequent operational audits to verify back-end compliance.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Furthermore, larger philanthropic foundations, sophisticated donors, and institutional grantmakers often view 1023-EZ organizations with inherent skepticism; the lack of a comprehensive public application record diminishes transparency and signals a potentially constrained operational capacity. Crucially, utilizing the Form 1023-EZ when the organization is actually ineligible (due to impending large asset acquisitions, such as purchasing a forest) constitutes perjury, severely jeopardizing the organization's legal standing and exposing its founders to intense IRS scrutiny.</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The Comprehensive Form 1023 Pathway:</w:t>
      </w:r>
      <w:r w:rsidDel="00000000" w:rsidR="00000000" w:rsidRPr="00000000">
        <w:rPr>
          <w:rFonts w:ascii="Google Sans" w:cs="Google Sans" w:eastAsia="Google Sans" w:hAnsi="Google Sans"/>
          <w:rtl w:val="0"/>
        </w:rPr>
        <w:t xml:space="preserve"> The standard Form 1023 is a rigorous, multi-part, exhaustively detailed document spanning dozens of pages, accompanied by a massive volume of specialized instructions.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It is universally mandatory for large organizations, entities with complex financial structures, private foundations, and any organization that anticipates exceeding the strict EZ financial thresholds within its first three years.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requires an exhaustive, highly specific narrative description of all past, present, and planned operational activities. It demands detailed financial projections spanning multiple years (or historical data if the entity is older), comprehensive compensation frameworks for all officers and directors, and the physical submission of all founding corporate documents, including the stamped Articles of Incorporation and the adopted bylaws.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financial burden of the comprehensive application is substantially higher, requiring a non-refundable $600 user fee submitted through the Pay.gov portal.</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preparation of this document requires immense administrative bandwidth, demanding meticulous alignment between the organization's stated purpose and strict IRS regulations against excessive private benefit, private inurement, and strictly prohibited political campaign activities.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Specifically, no profits or assets may benefit insiders (board members, founders, key employees), and while limited lobbying is permitted (often requiring a 501(h) election), the organization may never support, oppose, or publicly endorse political candidates.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the intensely increased friction, time, and cost, the comprehensive Form 1023 establishes a robust, highly defensible, and permanent legal foundation. Upon final approval, the application and all its supporting documentation become a matter of permanent public record, subject to mandatory public inspection upon request without charge (other than reasonable reproduction fees).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enforced transparency generates immense institutional credibility, providing future major donors, corporate partners, and regulatory bodies with a detailed, IRS-vetted blueprint of the organization's operational integrity.</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comparative analysis of the dual federal pathways reveals the following critical operational constraints: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1023-EZ (Streamlined)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1023 (Comprehensive)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Gross Receipts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Projected &lt; $50,000 annually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Unlimited </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Asset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&lt; $250,000 at all times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Unlimited </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IRS Mandatory User Fee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$275 </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$600 </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Submission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Electronic via Pay.gov </w:t>
            </w:r>
            <w:r w:rsidDel="00000000" w:rsidR="00000000" w:rsidRPr="00000000">
              <w:rPr>
                <w:rFonts w:ascii="Google Sans" w:cs="Google Sans" w:eastAsia="Google Sans" w:hAnsi="Google Sans"/>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Electronic via Pay.gov </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 pages </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Dozens of pages </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Minimal/Self-Certification Checkboxes </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Exhaustive and Detailed Narrative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Audit Risk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Elevated due to lack of upfront vetting </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Baseline standard </w:t>
            </w:r>
            <w:r w:rsidDel="00000000" w:rsidR="00000000" w:rsidRPr="00000000">
              <w:rPr>
                <w:rFonts w:ascii="Google Sans" w:cs="Google Sans" w:eastAsia="Google Sans" w:hAnsi="Google Sans"/>
                <w:sz w:val="24"/>
                <w:szCs w:val="24"/>
                <w:vertAlign w:val="superscript"/>
                <w:rtl w:val="0"/>
              </w:rPr>
              <w:t xml:space="preserve">18</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Pending" Status and Retroactive Recognition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vast temporal lag between filing the formal application on Pay.gov and receiving a final IRS determination letter creates a prolonged period of operational ambiguity known legally as the "Application Pending" status. To ensure that an organization's tax-exempt status is recognized retroactively to the exact date of its original corporate formation in North Carolina, federal law dictates that the Form 1023 series application must be formally submitted to the IRS within exactly 27 months from the date the Articles of Incorporation were legally created.</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(Churches, integrated auxiliaries, and public charities normally receiving less than $5,000 annually are granted specific exemptions to this notification rule, though formal filing remains highly recommended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this pending review period, the organization is legally permitted to operate, fulfill its mission, and actively accept charitable contributions from the public. However, the ultimate tax-deductibility of those individual donations remains entirely contingent upon the eventual, successful approval of the application by the IRS.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Consequently, ethical fundraising practices and consumer protection laws dictate that donors must be clearly and transparently informed of this pending status during all solicitation efforts.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the organization's federal filing obligations commence immediately upon formation, not upon approval. If the end of the organization's designated fiscal year occurs while the Form 1023 application is still actively under review by the IRS, the entity is not exempt from reporting; it must still file the appropriate annual information return (the Form 990 series).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In such instances, the organization must physically or electronically mark the specific "Application Pending" box within the heading (Item B) of the return to signal its unadjudicated status to federal regulators.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If the organization is small enough to qualify for the Form 990-N electronic postcard, it faces a unique hurdle: it must preemptively contact the IRS at 877-829-5500 to manually request system access to file, a bureaucratic process that can induce an administrative delay of up to six weeks before the required electronic filing can be successfully executed.</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Ongoing Compliance and Asset Protection Matrices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long-awaited attainment of a favorable IRS determination letter is not a terminal event; rather, it marks the initiation of a perpetual, highly structured cycle of state and federal regulatory compliance. Failure to rigorously maintain these statutory obligations leads inexorably to the revocation of the 501(c)(3) designation, the administrative dissolution of the corporate entity by the state, and the catastrophic collapse of the organization's legal shielding and public trust.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State-Level Statutory Maintenance and Taxation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North Carolina provides a uniquely advantageous regulatory environment for non-profit entities regarding routine annual corporate maintenance. Unlike standard for-profit corporations and Limited Liability Companies—which are mandated to pay an annual $200 fee ($202 if filed electronically) to maintain their active legal status </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—North Carolina state law does not require non-profit corporations to file an annual corporate report or pay an annual maintenance fee to the Secretary of State's office.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statutory exemption preserves vital operational bandwidth and financial resources for the organization's core philanthropic mission.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specific operational activities trigger highly targeted localized compliance requirements. If the non-profit organization engages in the active solicitation of public donations—an absolute requisite activity for community-funded initiatives and public charities—it must formally register with the Charitable Solicitation Licensing Division of the North Carolina Secretary of State.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Organizations are legally required to submit an Initial License Application for Charities and maintain ongoing, rigorous annual renewals.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Specific statutory exemptions to this licensing requirement exist, most notably for religious institutions or small-scale entities generating less than $25,000 in annual public contributions, but claiming this exemption often requires its own documentation.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if the organization chooses to operate, market, or fundraise under a moniker distinct from its legally incorporated name, it must comply with assumed business name regulations. Following a massive legislative reform in 2016 designed to modernize commerce, North Carolina transitioned away from fragmented, county-by-county registrations to a centralized, statewide database for assumed business names (DBA).</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Establishing a DBA requires the submission of a formal certificate to the statewide registry and the payment of a $26 filing fee, granting the organization legal protection to operate under multiple brand identities across all 100 counties.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All legacy certificates filed under previous county-level systems permanently expired on December 1, 2022, necessitating strict adherence to the current centralized protocol for all new entities.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a taxation perspective, the interaction between non-profits and state revenue systems is complex. North Carolina does not grant a broad, upfront point-of-sale tax exemption on the purchase of goods, services, and materials by non-profits.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However, the state does provide a highly beneficial retroactive recovery mechanism.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Qualified 501(c)(3) organizations may file Form E585 (Nonprofit and Governmental Entity Claim for Refund State and County Sales and Use Taxes) to secure a semi-annual refund of applicable local and state sales taxes paid during the normal course of their operations.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Securing this refund requires meticulous, unassailable internal bookkeeping and the rigid retention of all transactional receipts to survive inevitable state revenue audits. Additionally, if the organization ever intends to scale its operations to include formal, W-2 employment, it must proactively register with the North Carolina Department of Revenue to facilitate the strict management of state employment taxes and income tax withholding requirements.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Information Return Protocols (The Form 990 Series)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Internal Revenue Service demands total financial transparency from tax-exempt entities in exchange for their privileged status, enforced through the mandatory annual filing of the Form 990 series information returns.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requirement is absolute and unforgiving; even newly formed, highly localized non-profits with microscopic budgets under $5,000 must file an annual return to maintain their federal standing, even if they were not initially required to file a Form 1023.</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specific variant of the Form 990 required by the IRS is dictated entirely by the organization's gross financial receipts during the year and its total accumulated assets at the end of the year, operating on a cascading scale of reporting complexity.</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federal returns must be accurately executed and electronically transmitted to the IRS by the 15th day of the 5th month following the official conclusion of the organization's designated fiscal year (e.g., November 15th for an organization utilizing a standard July 1 - June 30 fiscal year).</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federal reporting taxonomy is legally structured as follows: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IRS Form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Organization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Thresholds Triggering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990-N (e-Postcard)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small public charities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Gross receipts normally </w:t>
            </w:r>
            <w:r w:rsidDel="00000000" w:rsidR="00000000" w:rsidRPr="00000000">
              <w:rPr>
                <w:rFonts w:ascii="Google Sans" w:cs="Google Sans" w:eastAsia="Google Sans" w:hAnsi="Google Sans"/>
              </w:rPr>
              <w:drawing>
                <wp:inline distB="19050" distT="19050" distL="19050" distR="19050">
                  <wp:extent cx="125413" cy="19707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5413" cy="197077"/>
                          </a:xfrm>
                          <a:prstGeom prst="rect"/>
                          <a:ln/>
                        </pic:spPr>
                      </pic:pic>
                    </a:graphicData>
                  </a:graphic>
                </wp:inline>
              </w:drawing>
            </w:r>
            <w:r w:rsidDel="00000000" w:rsidR="00000000" w:rsidRPr="00000000">
              <w:rPr>
                <w:rFonts w:ascii="Google Sans" w:cs="Google Sans" w:eastAsia="Google Sans" w:hAnsi="Google Sans"/>
                <w:rtl w:val="0"/>
              </w:rPr>
              <w:t xml:space="preserve"> $50,000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990-EZ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Mid-size public charities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Gross receipts </w:t>
            </w:r>
            <w:r w:rsidDel="00000000" w:rsidR="00000000" w:rsidRPr="00000000">
              <w:rPr>
                <w:rFonts w:ascii="Google Sans" w:cs="Google Sans" w:eastAsia="Google Sans" w:hAnsi="Google Sans"/>
              </w:rPr>
              <w:drawing>
                <wp:inline distB="19050" distT="19050" distL="19050" distR="19050">
                  <wp:extent cx="125413" cy="19707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5413" cy="197077"/>
                          </a:xfrm>
                          <a:prstGeom prst="rect"/>
                          <a:ln/>
                        </pic:spPr>
                      </pic:pic>
                    </a:graphicData>
                  </a:graphic>
                </wp:inline>
              </w:drawing>
            </w:r>
            <w:r w:rsidDel="00000000" w:rsidR="00000000" w:rsidRPr="00000000">
              <w:rPr>
                <w:rFonts w:ascii="Google Sans" w:cs="Google Sans" w:eastAsia="Google Sans" w:hAnsi="Google Sans"/>
                <w:rtl w:val="0"/>
              </w:rPr>
              <w:t xml:space="preserve"> $200,000 AND Total assets </w:t>
            </w:r>
            <w:r w:rsidDel="00000000" w:rsidR="00000000" w:rsidRPr="00000000">
              <w:rPr>
                <w:rFonts w:ascii="Google Sans" w:cs="Google Sans" w:eastAsia="Google Sans" w:hAnsi="Google Sans"/>
              </w:rPr>
              <w:drawing>
                <wp:inline distB="19050" distT="19050" distL="19050" distR="19050">
                  <wp:extent cx="125413" cy="19707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5413" cy="197077"/>
                          </a:xfrm>
                          <a:prstGeom prst="rect"/>
                          <a:ln/>
                        </pic:spPr>
                      </pic:pic>
                    </a:graphicData>
                  </a:graphic>
                </wp:inline>
              </w:drawing>
            </w:r>
            <w:r w:rsidDel="00000000" w:rsidR="00000000" w:rsidRPr="00000000">
              <w:rPr>
                <w:rFonts w:ascii="Google Sans" w:cs="Google Sans" w:eastAsia="Google Sans" w:hAnsi="Google Sans"/>
                <w:rtl w:val="0"/>
              </w:rPr>
              <w:t xml:space="preserve"> $500,000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990 (Full)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 public charities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Gross receipts </w:t>
            </w:r>
            <w:r w:rsidDel="00000000" w:rsidR="00000000" w:rsidRPr="00000000">
              <w:rPr>
                <w:rFonts w:ascii="Google Sans" w:cs="Google Sans" w:eastAsia="Google Sans" w:hAnsi="Google Sans"/>
              </w:rPr>
              <w:drawing>
                <wp:inline distB="19050" distT="19050" distL="19050" distR="19050">
                  <wp:extent cx="125413" cy="197077"/>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413" cy="197077"/>
                          </a:xfrm>
                          <a:prstGeom prst="rect"/>
                          <a:ln/>
                        </pic:spPr>
                      </pic:pic>
                    </a:graphicData>
                  </a:graphic>
                </wp:inline>
              </w:drawing>
            </w:r>
            <w:r w:rsidDel="00000000" w:rsidR="00000000" w:rsidRPr="00000000">
              <w:rPr>
                <w:rFonts w:ascii="Google Sans" w:cs="Google Sans" w:eastAsia="Google Sans" w:hAnsi="Google Sans"/>
                <w:rtl w:val="0"/>
              </w:rPr>
              <w:t xml:space="preserve"> $200,000 OR Total assets </w:t>
            </w:r>
            <w:r w:rsidDel="00000000" w:rsidR="00000000" w:rsidRPr="00000000">
              <w:rPr>
                <w:rFonts w:ascii="Google Sans" w:cs="Google Sans" w:eastAsia="Google Sans" w:hAnsi="Google Sans"/>
              </w:rPr>
              <w:drawing>
                <wp:inline distB="19050" distT="19050" distL="19050" distR="19050">
                  <wp:extent cx="125413" cy="197077"/>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413" cy="197077"/>
                          </a:xfrm>
                          <a:prstGeom prst="rect"/>
                          <a:ln/>
                        </pic:spPr>
                      </pic:pic>
                    </a:graphicData>
                  </a:graphic>
                </wp:inline>
              </w:drawing>
            </w:r>
            <w:r w:rsidDel="00000000" w:rsidR="00000000" w:rsidRPr="00000000">
              <w:rPr>
                <w:rFonts w:ascii="Google Sans" w:cs="Google Sans" w:eastAsia="Google Sans" w:hAnsi="Google Sans"/>
                <w:rtl w:val="0"/>
              </w:rPr>
              <w:t xml:space="preserve"> $500,000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990-PF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Private Foundations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All private foundations, regardless of total financial status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 990-T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Entities with unrelated income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Public charities/foundations with gross unrelated business income </w:t>
            </w:r>
            <w:r w:rsidDel="00000000" w:rsidR="00000000" w:rsidRPr="00000000">
              <w:rPr>
                <w:rFonts w:ascii="Google Sans" w:cs="Google Sans" w:eastAsia="Google Sans" w:hAnsi="Google Sans"/>
              </w:rPr>
              <w:drawing>
                <wp:inline distB="19050" distT="19050" distL="19050" distR="19050">
                  <wp:extent cx="125413" cy="19707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413" cy="197077"/>
                          </a:xfrm>
                          <a:prstGeom prst="rect"/>
                          <a:ln/>
                        </pic:spPr>
                      </pic:pic>
                    </a:graphicData>
                  </a:graphic>
                </wp:inline>
              </w:drawing>
            </w:r>
            <w:r w:rsidDel="00000000" w:rsidR="00000000" w:rsidRPr="00000000">
              <w:rPr>
                <w:rFonts w:ascii="Google Sans" w:cs="Google Sans" w:eastAsia="Google Sans" w:hAnsi="Google Sans"/>
                <w:rtl w:val="0"/>
              </w:rPr>
              <w:t xml:space="preserve"> $1,000 </w:t>
            </w:r>
            <w:r w:rsidDel="00000000" w:rsidR="00000000" w:rsidRPr="00000000">
              <w:rPr>
                <w:rFonts w:ascii="Google Sans" w:cs="Google Sans" w:eastAsia="Google Sans" w:hAnsi="Google Sans"/>
                <w:sz w:val="24"/>
                <w:szCs w:val="24"/>
                <w:vertAlign w:val="superscript"/>
                <w:rtl w:val="0"/>
              </w:rPr>
              <w:t xml:space="preserve">21</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failure to file the required Form 990 series return for three consecutive fiscal years results in an outcome known as automatic revocation. The IRS computerized systems will instantaneously, without human intervention or appeal, revoke the organization's 501(c)(3) tax-exempt status. Reinstatement following an automatic revocation is a severe undertaking, requiring the organization to entirely restart the federal application process, submitting a brand new Form 1023, paying a new user fee, and facing deeply enhanced scrutiny regarding the past financial discrepancies that led to the failure.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Dual-Entity Financial Architecture and Emergence Strategy Alignment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sophisticated analysis of the broader strategic context dictates the implementation of a highly advanced dual-entity architecture. This legal structure deliberately segregates commercial, profit-driven revenue generation mechanisms from non-profit, public-benefit land stewardship objectives, thereby maximizing financial velocity while maintaining strict, unimpeachable compliance with IRS statutes governing private inurement and excessive private benefit.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commercial apparatus—structured legally as a North Carolina Limited Liability Company (subject to the $125 formation fee and $200 annual report fee)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—is optimized for unrestricted capital generation. It operates through decentralized e-commerce pathways, leveraging print-on-demand networks to monetize brand aesthetics, graphic novels, and narrative intellectual property. Because the LLC exists entirely outside the restrictive, highly regulated framework of Section 501(c)(3), it can legally distribute profits to its founders, engage in aggressive commercial scaling, iterate product lines rapidly, and operate without the suffocating transparency requirements demanded of public charities.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the non-profit entity is engineered specifically and exclusively for capital preservation, public service, and physical asset stewardship. By seeking 501(c)(3) recognition, the non-profit isolates the massive capital requirements of acquiring physical real estate—specifically the targeted sanctuary forest, campground, and community nursery in Northampton County—within a legally shielded, tax-advantaged vessel. This entity is legally prohibited from distributing profits to insiders and is permanently bound by its dissolution clause to ensure its assets remain forever dedicated to public benefit.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deliberate corporate bifurcation solves the fundamental tension inherent in hybrid social enterprises. The LLC acts as the aggressive economic engine, capable of capturing market value through unrestricted consumer transactions. In turn, the founders, or the commercial LLC entity itself, can make tax-deductible charitable contributions directly to the non-profit entity to fund the acquisition and maintenance of the physical land trust. This firewall prevents the IRS from classifying the vast commercial print-on-demand operations as an "unrelated business" under the non-profit umbrella, which would trigger severe Form 990-T tax liabilities and potentially jeopardize the overarching 501(c)(3) status due to excessive commercial activity.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Furthermore, by establishing the non-profit within North Carolina and intentionally targeting rural geographies, the organization positions itself to aggressively leverage state-level economic development resources and grants, including vital advisory support from entities such as the Economic Development Partnership of North Carolina (EDPNC).</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Translating the dense statutory realities of North Carolina incorporation and IRS taxation into a viable, chronological emergence strategy requires ruthless adherence to sequential dependencies. A defined, multi-phase operational timeline dictates the precise moments at which legal actions must be executed to prevent compounding bureaucratic delays that would stall the launch.</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critical path for legal emergence hinges entirely upon the extreme compression of state-level processing to allow the maximum possible runway for federal IRS adjudication prior to public funding rounds. The realization of internal readiness prior to soft launch protocols relies entirely upon the successful navigation of these interdependent milestones.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Achieving the necessary prerequisites during the initial preparation window demands the immediate, flawless physical execution of the North Carolina Articles of Incorporation. Given the incredibly tight constraints of the targeted submission date, standard state-level processing (which could delay the timeline by up to 15 days) introduces unacceptable mathematical risk to the broader strategy.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Therefore, the utilization of the $200 same-day expedited filing pathway under N.C.G.S. § 55D-11 is not a discretionary luxury, but an absolute operational necessity.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guarantees that the entity achieves legal existence and secures its corporate name instantaneously, allowing for the immediate, same-day acquisition of the federal EIN via IRS Form SS-4.</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the EIN secured and the initial board resolutions properly executed and minuted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organization must immediately deploy its federal application via the Pay.gov portal.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strategic selection between the 1023 and 1023-EZ pathways dictates the trajectory of all subsequent operational phases. If the organization artificially restricts its initial financial projections to remain beneath the $50,000 gross receipts threshold, utilizing the Form 1023-EZ and paying the $275 fee offers the only viable mathematical probability of securing full IRS recognition prior to the transition into the late-stage public crowdfunding phases.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120-day average processing time for the EZ application aligns, albeit tightly, with broader summer emergence goals.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should the organization opt for the comprehensive Form 1023 to maximize long-term institutional credibility and bypass the asset limitations required for significant, immediate real estate acquisition (such as purchasing land exceeding $250,000 in value), leadership must fundamentally alter their immediate risk calculus.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processing timeline for the full application will almost certainly extend deep into the operational timeline, forcing the organization to execute its massive public fundraising initiatives while bearing the "Application Pending" status.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reality requires precise, legally vetted communications deployed across all public-facing narratives and digital assets. The organization must operate with total transparency during its crowdfunding phases, explicitly indicating that while it is legally incorporated within North Carolina, federal tax-deductibility is pending final IRS determination. This shifts the immediate operational focus away from securing immediate large-scale tax-deductible philanthropy, redirecting efforts toward decentralized, community-driven crowdfunding protocols designed to capture momentum, narrative resonance, and brand loyalty rather than immediate tax efficiency. By rigidly adhering to the sequential mandates of state statute, preemptively structuring the governance framework to absorb IRS scrutiny, and strategically aligning the digital ecosystem with legal realities, the underlying architecture can be constructed to fully support the accelerated velocity of the broader operational vision.</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Incorporating Your Nonprofit in North Carolina, accessed May 7, 2026, </w:t>
      </w:r>
      <w:hyperlink r:id="rId9">
        <w:r w:rsidDel="00000000" w:rsidR="00000000" w:rsidRPr="00000000">
          <w:rPr>
            <w:rFonts w:ascii="Google Sans" w:cs="Google Sans" w:eastAsia="Google Sans" w:hAnsi="Google Sans"/>
            <w:color w:val="0000ee"/>
            <w:sz w:val="24"/>
            <w:szCs w:val="24"/>
            <w:u w:val="single"/>
            <w:rtl w:val="0"/>
          </w:rPr>
          <w:t xml:space="preserve">https://spcc.edu/wp-content/uploads/2025/06/ncsos_nonprofit_corp_guidelines.pdf.pdf</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Carolina Nonprofit Articles of Incorporation - Harbor Compliance, accessed May 7, 2026, </w:t>
      </w:r>
      <w:hyperlink r:id="rId10">
        <w:r w:rsidDel="00000000" w:rsidR="00000000" w:rsidRPr="00000000">
          <w:rPr>
            <w:rFonts w:ascii="Google Sans" w:cs="Google Sans" w:eastAsia="Google Sans" w:hAnsi="Google Sans"/>
            <w:color w:val="0000ee"/>
            <w:sz w:val="24"/>
            <w:szCs w:val="24"/>
            <w:u w:val="single"/>
            <w:rtl w:val="0"/>
          </w:rPr>
          <w:t xml:space="preserve">https://www.harborcompliance.com/north-carolina-nonprofit-articles-of-incorporation</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a Nonprofit Organization in North Carolina | Harbor Compliance, accessed May 7, 2026, </w:t>
      </w:r>
      <w:hyperlink r:id="rId11">
        <w:r w:rsidDel="00000000" w:rsidR="00000000" w:rsidRPr="00000000">
          <w:rPr>
            <w:rFonts w:ascii="Google Sans" w:cs="Google Sans" w:eastAsia="Google Sans" w:hAnsi="Google Sans"/>
            <w:color w:val="0000ee"/>
            <w:sz w:val="24"/>
            <w:szCs w:val="24"/>
            <w:u w:val="single"/>
            <w:rtl w:val="0"/>
          </w:rPr>
          <w:t xml:space="preserve">https://www.harborcompliance.com/how-to-start-a-non-profit-organization-in-north-carolina</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 Nonprofit Assistance Manual: Section 3 - How to Form A Nonprofit Corporation Under NC Law, accessed May 7, 2026, </w:t>
      </w:r>
      <w:hyperlink r:id="rId12">
        <w:r w:rsidDel="00000000" w:rsidR="00000000" w:rsidRPr="00000000">
          <w:rPr>
            <w:rFonts w:ascii="Google Sans" w:cs="Google Sans" w:eastAsia="Google Sans" w:hAnsi="Google Sans"/>
            <w:color w:val="0000ee"/>
            <w:sz w:val="24"/>
            <w:szCs w:val="24"/>
            <w:u w:val="single"/>
            <w:rtl w:val="0"/>
          </w:rPr>
          <w:t xml:space="preserve">https://ncprobono.org/npmanual/section3/</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a Nonprofit in North Carolina | Fast Online Filings - Northwest Registered Agent, accessed May 7, 2026, </w:t>
      </w:r>
      <w:hyperlink r:id="rId13">
        <w:r w:rsidDel="00000000" w:rsidR="00000000" w:rsidRPr="00000000">
          <w:rPr>
            <w:rFonts w:ascii="Google Sans" w:cs="Google Sans" w:eastAsia="Google Sans" w:hAnsi="Google Sans"/>
            <w:color w:val="0000ee"/>
            <w:sz w:val="24"/>
            <w:szCs w:val="24"/>
            <w:u w:val="single"/>
            <w:rtl w:val="0"/>
          </w:rPr>
          <w:t xml:space="preserve">https://www.northwestregisteredagent.com/nonprofit/north-carolina</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a Nonprofit in North Carolina - Foundation Group®, accessed May 7, 2026, </w:t>
      </w:r>
      <w:hyperlink r:id="rId14">
        <w:r w:rsidDel="00000000" w:rsidR="00000000" w:rsidRPr="00000000">
          <w:rPr>
            <w:rFonts w:ascii="Google Sans" w:cs="Google Sans" w:eastAsia="Google Sans" w:hAnsi="Google Sans"/>
            <w:color w:val="0000ee"/>
            <w:sz w:val="24"/>
            <w:szCs w:val="24"/>
            <w:u w:val="single"/>
            <w:rtl w:val="0"/>
          </w:rPr>
          <w:t xml:space="preserve">https://www.501c3.org/state-nonprofit-guide/how-to-start-a-nonprofit-in-north-carolina/</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501(c)(3) Tax-Exempt Status in 2026 - Blog - Tax990, accessed May 7, 2026, </w:t>
      </w:r>
      <w:hyperlink r:id="rId15">
        <w:r w:rsidDel="00000000" w:rsidR="00000000" w:rsidRPr="00000000">
          <w:rPr>
            <w:rFonts w:ascii="Google Sans" w:cs="Google Sans" w:eastAsia="Google Sans" w:hAnsi="Google Sans"/>
            <w:color w:val="0000ee"/>
            <w:sz w:val="24"/>
            <w:szCs w:val="24"/>
            <w:u w:val="single"/>
            <w:rtl w:val="0"/>
          </w:rPr>
          <w:t xml:space="preserve">https://blog.tax990.com/2026/03/10/the-complete-guide-to-501c3-tax-exempt-status-in-2026/</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a nonprofit in North Carolina: 2026 guide - Harness, accessed May 7, 2026, </w:t>
      </w:r>
      <w:hyperlink r:id="rId16">
        <w:r w:rsidDel="00000000" w:rsidR="00000000" w:rsidRPr="00000000">
          <w:rPr>
            <w:rFonts w:ascii="Google Sans" w:cs="Google Sans" w:eastAsia="Google Sans" w:hAnsi="Google Sans"/>
            <w:color w:val="0000ee"/>
            <w:sz w:val="24"/>
            <w:szCs w:val="24"/>
            <w:u w:val="single"/>
            <w:rtl w:val="0"/>
          </w:rPr>
          <w:t xml:space="preserve">https://www.goharness.com/blog-posts/how-to-start-a-nonprofit-in-nc</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Checklist to Starting a Nonprofit Organization in 2026, accessed May 7, 2026, </w:t>
      </w:r>
      <w:hyperlink r:id="rId17">
        <w:r w:rsidDel="00000000" w:rsidR="00000000" w:rsidRPr="00000000">
          <w:rPr>
            <w:rFonts w:ascii="Google Sans" w:cs="Google Sans" w:eastAsia="Google Sans" w:hAnsi="Google Sans"/>
            <w:color w:val="0000ee"/>
            <w:sz w:val="24"/>
            <w:szCs w:val="24"/>
            <w:u w:val="single"/>
            <w:rtl w:val="0"/>
          </w:rPr>
          <w:t xml:space="preserve">https://www.beaconnonprofit.com/blog/checklist-to-starting-a-nonprofit-organization/</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Carolina Non-Profit State Filing Requirements &amp; Deadlines - TaxZerone.com, accessed May 7, 2026, </w:t>
      </w:r>
      <w:hyperlink r:id="rId18">
        <w:r w:rsidDel="00000000" w:rsidR="00000000" w:rsidRPr="00000000">
          <w:rPr>
            <w:rFonts w:ascii="Google Sans" w:cs="Google Sans" w:eastAsia="Google Sans" w:hAnsi="Google Sans"/>
            <w:color w:val="0000ee"/>
            <w:sz w:val="24"/>
            <w:szCs w:val="24"/>
            <w:u w:val="single"/>
            <w:rtl w:val="0"/>
          </w:rPr>
          <w:t xml:space="preserve">https://www.taxzerone.com/nonprofit-taxes/north-carolina-state-filing-requirements/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Carolina LLC Filing Fee Guide - Discern, accessed May 7, 2026, </w:t>
      </w:r>
      <w:hyperlink r:id="rId19">
        <w:r w:rsidDel="00000000" w:rsidR="00000000" w:rsidRPr="00000000">
          <w:rPr>
            <w:rFonts w:ascii="Google Sans" w:cs="Google Sans" w:eastAsia="Google Sans" w:hAnsi="Google Sans"/>
            <w:color w:val="0000ee"/>
            <w:sz w:val="24"/>
            <w:szCs w:val="24"/>
            <w:u w:val="single"/>
            <w:rtl w:val="0"/>
          </w:rPr>
          <w:t xml:space="preserve">https://www.discern.com/resources/north-carolina-llc-filing-fee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Carolina LLC Cost - Northwest Registered Agent, accessed May 7, 2026, </w:t>
      </w:r>
      <w:hyperlink r:id="rId20">
        <w:r w:rsidDel="00000000" w:rsidR="00000000" w:rsidRPr="00000000">
          <w:rPr>
            <w:rFonts w:ascii="Google Sans" w:cs="Google Sans" w:eastAsia="Google Sans" w:hAnsi="Google Sans"/>
            <w:color w:val="0000ee"/>
            <w:sz w:val="24"/>
            <w:szCs w:val="24"/>
            <w:u w:val="single"/>
            <w:rtl w:val="0"/>
          </w:rPr>
          <w:t xml:space="preserve">https://www.northwestregisteredagent.com/llc/north-carolina/cost</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Carolina General Statutes § 55D-11 (2025) - Expedited filings. - Justia Law, accessed May 7, 2026, </w:t>
      </w:r>
      <w:hyperlink r:id="rId21">
        <w:r w:rsidDel="00000000" w:rsidR="00000000" w:rsidRPr="00000000">
          <w:rPr>
            <w:rFonts w:ascii="Google Sans" w:cs="Google Sans" w:eastAsia="Google Sans" w:hAnsi="Google Sans"/>
            <w:color w:val="0000ee"/>
            <w:sz w:val="24"/>
            <w:szCs w:val="24"/>
            <w:u w:val="single"/>
            <w:rtl w:val="0"/>
          </w:rPr>
          <w:t xml:space="preserve">https://law.justia.com/codes/north-carolina/chapter-55d/article-2/section-55d-11/</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Northampton County Economic Development, accessed May 7, 2026, </w:t>
      </w:r>
      <w:hyperlink r:id="rId22">
        <w:r w:rsidDel="00000000" w:rsidR="00000000" w:rsidRPr="00000000">
          <w:rPr>
            <w:rFonts w:ascii="Google Sans" w:cs="Google Sans" w:eastAsia="Google Sans" w:hAnsi="Google Sans"/>
            <w:color w:val="0000ee"/>
            <w:sz w:val="24"/>
            <w:szCs w:val="24"/>
            <w:u w:val="single"/>
            <w:rtl w:val="0"/>
          </w:rPr>
          <w:t xml:space="preserve">https://www.northamptonchamber.org/business-development.html</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for recognition of exemption | Internal Revenue Service, accessed May 7, 2026, </w:t>
      </w:r>
      <w:hyperlink r:id="rId23">
        <w:r w:rsidDel="00000000" w:rsidR="00000000" w:rsidRPr="00000000">
          <w:rPr>
            <w:rFonts w:ascii="Google Sans" w:cs="Google Sans" w:eastAsia="Google Sans" w:hAnsi="Google Sans"/>
            <w:color w:val="0000ee"/>
            <w:sz w:val="24"/>
            <w:szCs w:val="24"/>
            <w:u w:val="single"/>
            <w:rtl w:val="0"/>
          </w:rPr>
          <w:t xml:space="preserve">https://www.irs.gov/charities-non-profits/application-for-recognition-of-exemption</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Form 1023, Application for Recognition of Exemption Under Section 501(c)(3) of the Internal Revenue Code - IRS, accessed May 7, 2026, </w:t>
      </w:r>
      <w:hyperlink r:id="rId24">
        <w:r w:rsidDel="00000000" w:rsidR="00000000" w:rsidRPr="00000000">
          <w:rPr>
            <w:rFonts w:ascii="Google Sans" w:cs="Google Sans" w:eastAsia="Google Sans" w:hAnsi="Google Sans"/>
            <w:color w:val="0000ee"/>
            <w:sz w:val="24"/>
            <w:szCs w:val="24"/>
            <w:u w:val="single"/>
            <w:rtl w:val="0"/>
          </w:rPr>
          <w:t xml:space="preserve">https://www.irs.gov/forms-pubs/about-form-1023</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1023 and Form 1023-EZ FAQs | Wegner CPAs, accessed May 7, 2026, </w:t>
      </w:r>
      <w:hyperlink r:id="rId25">
        <w:r w:rsidDel="00000000" w:rsidR="00000000" w:rsidRPr="00000000">
          <w:rPr>
            <w:rFonts w:ascii="Google Sans" w:cs="Google Sans" w:eastAsia="Google Sans" w:hAnsi="Google Sans"/>
            <w:color w:val="0000ee"/>
            <w:sz w:val="24"/>
            <w:szCs w:val="24"/>
            <w:u w:val="single"/>
            <w:rtl w:val="0"/>
          </w:rPr>
          <w:t xml:space="preserve">https://www.wegnercpas.com/form-1023-and-form-1023-ez-faqs-2/</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Form for Your Nonprofit Start-Up: 1023 vs. 1023-EZ, accessed May 7, 2026, </w:t>
      </w:r>
      <w:hyperlink r:id="rId26">
        <w:r w:rsidDel="00000000" w:rsidR="00000000" w:rsidRPr="00000000">
          <w:rPr>
            <w:rFonts w:ascii="Google Sans" w:cs="Google Sans" w:eastAsia="Google Sans" w:hAnsi="Google Sans"/>
            <w:color w:val="0000ee"/>
            <w:sz w:val="24"/>
            <w:szCs w:val="24"/>
            <w:u w:val="single"/>
            <w:rtl w:val="0"/>
          </w:rPr>
          <w:t xml:space="preserve">https://lumsdencpa.com/blog/view/choosing-the-right-form-for-your-nonprofit-start-up-1023-vs-1023-ez/</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1023 and 1023-EZ: Amount of user fee | Internal Revenue Service, accessed May 7, 2026, </w:t>
      </w:r>
      <w:hyperlink r:id="rId27">
        <w:r w:rsidDel="00000000" w:rsidR="00000000" w:rsidRPr="00000000">
          <w:rPr>
            <w:rFonts w:ascii="Google Sans" w:cs="Google Sans" w:eastAsia="Google Sans" w:hAnsi="Google Sans"/>
            <w:color w:val="0000ee"/>
            <w:sz w:val="24"/>
            <w:szCs w:val="24"/>
            <w:u w:val="single"/>
            <w:rtl w:val="0"/>
          </w:rPr>
          <w:t xml:space="preserve">https://www.irs.gov/charities-non-profits/form-1023-and-1023-ez-amount-of-user-fee</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Form Should New Nonprofits Use — 1023 or 1023-EZ? - Porte Brown, accessed May 7, 2026, </w:t>
      </w:r>
      <w:hyperlink r:id="rId28">
        <w:r w:rsidDel="00000000" w:rsidR="00000000" w:rsidRPr="00000000">
          <w:rPr>
            <w:rFonts w:ascii="Google Sans" w:cs="Google Sans" w:eastAsia="Google Sans" w:hAnsi="Google Sans"/>
            <w:color w:val="0000ee"/>
            <w:sz w:val="24"/>
            <w:szCs w:val="24"/>
            <w:u w:val="single"/>
            <w:rtl w:val="0"/>
          </w:rPr>
          <w:t xml:space="preserve">https://www.portebrown.com/newsblog-archive/which-form-should-new-nonprofits-use-1023-or-1023-ez</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Instructions for Form 1023 (12/2024) | Internal Revenue Service, accessed May 7, 2026, </w:t>
      </w:r>
      <w:hyperlink r:id="rId29">
        <w:r w:rsidDel="00000000" w:rsidR="00000000" w:rsidRPr="00000000">
          <w:rPr>
            <w:rFonts w:ascii="Google Sans" w:cs="Google Sans" w:eastAsia="Google Sans" w:hAnsi="Google Sans"/>
            <w:color w:val="0000ee"/>
            <w:sz w:val="24"/>
            <w:szCs w:val="24"/>
            <w:u w:val="single"/>
            <w:rtl w:val="0"/>
          </w:rPr>
          <w:t xml:space="preserve">https://www.irs.gov/instructions/i1023</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an LLC Cost in North Carolina | Commenda, accessed May 7, 2026, </w:t>
      </w:r>
      <w:hyperlink r:id="rId30">
        <w:r w:rsidDel="00000000" w:rsidR="00000000" w:rsidRPr="00000000">
          <w:rPr>
            <w:rFonts w:ascii="Google Sans" w:cs="Google Sans" w:eastAsia="Google Sans" w:hAnsi="Google Sans"/>
            <w:color w:val="0000ee"/>
            <w:sz w:val="24"/>
            <w:szCs w:val="24"/>
            <w:u w:val="single"/>
            <w:rtl w:val="0"/>
          </w:rPr>
          <w:t xml:space="preserve">https://www.commenda.io/usa/north-carolina/llc-cost</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Compliance Checklist for North Carolina Nonprofits, accessed May 7, 2026, </w:t>
      </w:r>
      <w:hyperlink r:id="rId31">
        <w:r w:rsidDel="00000000" w:rsidR="00000000" w:rsidRPr="00000000">
          <w:rPr>
            <w:rFonts w:ascii="Google Sans" w:cs="Google Sans" w:eastAsia="Google Sans" w:hAnsi="Google Sans"/>
            <w:color w:val="0000ee"/>
            <w:sz w:val="24"/>
            <w:szCs w:val="24"/>
            <w:u w:val="single"/>
            <w:rtl w:val="0"/>
          </w:rPr>
          <w:t xml:space="preserve">https://ncnonprofits.org/sites/default/files/resource_attachments/2018LegalComplianceChecklist.pdf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Starting a Nonprofit? - North Carolina Center for Nonprofits, accessed May 7, 2026, </w:t>
      </w:r>
      <w:hyperlink r:id="rId32">
        <w:r w:rsidDel="00000000" w:rsidR="00000000" w:rsidRPr="00000000">
          <w:rPr>
            <w:rFonts w:ascii="Google Sans" w:cs="Google Sans" w:eastAsia="Google Sans" w:hAnsi="Google Sans"/>
            <w:color w:val="0000ee"/>
            <w:sz w:val="24"/>
            <w:szCs w:val="24"/>
            <w:u w:val="single"/>
            <w:rtl w:val="0"/>
          </w:rPr>
          <w:t xml:space="preserve">https://ncnonprofits.org/resources/nonprofit-starter-kit/starting-nonprofit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orthwestregisteredagent.com/llc/north-carolina/cost" TargetMode="External"/><Relationship Id="rId22" Type="http://schemas.openxmlformats.org/officeDocument/2006/relationships/hyperlink" Target="https://www.northamptonchamber.org/business-development.html" TargetMode="External"/><Relationship Id="rId21" Type="http://schemas.openxmlformats.org/officeDocument/2006/relationships/hyperlink" Target="https://law.justia.com/codes/north-carolina/chapter-55d/article-2/section-55d-11/" TargetMode="External"/><Relationship Id="rId24" Type="http://schemas.openxmlformats.org/officeDocument/2006/relationships/hyperlink" Target="https://www.irs.gov/forms-pubs/about-form-1023" TargetMode="External"/><Relationship Id="rId23" Type="http://schemas.openxmlformats.org/officeDocument/2006/relationships/hyperlink" Target="https://www.irs.gov/charities-non-profits/application-for-recognition-of-exem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cc.edu/wp-content/uploads/2025/06/ncsos_nonprofit_corp_guidelines.pdf.pdf" TargetMode="External"/><Relationship Id="rId26" Type="http://schemas.openxmlformats.org/officeDocument/2006/relationships/hyperlink" Target="https://lumsdencpa.com/blog/view/choosing-the-right-form-for-your-nonprofit-start-up-1023-vs-1023-ez/" TargetMode="External"/><Relationship Id="rId25" Type="http://schemas.openxmlformats.org/officeDocument/2006/relationships/hyperlink" Target="https://www.wegnercpas.com/form-1023-and-form-1023-ez-faqs-2/" TargetMode="External"/><Relationship Id="rId28" Type="http://schemas.openxmlformats.org/officeDocument/2006/relationships/hyperlink" Target="https://www.portebrown.com/newsblog-archive/which-form-should-new-nonprofits-use-1023-or-1023-ez" TargetMode="External"/><Relationship Id="rId27" Type="http://schemas.openxmlformats.org/officeDocument/2006/relationships/hyperlink" Target="https://www.irs.gov/charities-non-profits/form-1023-and-1023-ez-amount-of-user-fee"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irs.gov/instructions/i1023"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ncnonprofits.org/sites/default/files/resource_attachments/2018LegalComplianceChecklist.pdf" TargetMode="External"/><Relationship Id="rId30" Type="http://schemas.openxmlformats.org/officeDocument/2006/relationships/hyperlink" Target="https://www.commenda.io/usa/north-carolina/llc-cost" TargetMode="External"/><Relationship Id="rId11" Type="http://schemas.openxmlformats.org/officeDocument/2006/relationships/hyperlink" Target="https://www.harborcompliance.com/how-to-start-a-non-profit-organization-in-north-carolina" TargetMode="External"/><Relationship Id="rId10" Type="http://schemas.openxmlformats.org/officeDocument/2006/relationships/hyperlink" Target="https://www.harborcompliance.com/north-carolina-nonprofit-articles-of-incorporation" TargetMode="External"/><Relationship Id="rId32" Type="http://schemas.openxmlformats.org/officeDocument/2006/relationships/hyperlink" Target="https://ncnonprofits.org/resources/nonprofit-starter-kit/starting-nonprofit" TargetMode="External"/><Relationship Id="rId13" Type="http://schemas.openxmlformats.org/officeDocument/2006/relationships/hyperlink" Target="https://www.northwestregisteredagent.com/nonprofit/north-carolina" TargetMode="External"/><Relationship Id="rId12" Type="http://schemas.openxmlformats.org/officeDocument/2006/relationships/hyperlink" Target="https://ncprobono.org/npmanual/section3/" TargetMode="External"/><Relationship Id="rId15" Type="http://schemas.openxmlformats.org/officeDocument/2006/relationships/hyperlink" Target="https://blog.tax990.com/2026/03/10/the-complete-guide-to-501c3-tax-exempt-status-in-2026/" TargetMode="External"/><Relationship Id="rId14" Type="http://schemas.openxmlformats.org/officeDocument/2006/relationships/hyperlink" Target="https://www.501c3.org/state-nonprofit-guide/how-to-start-a-nonprofit-in-north-carolina/" TargetMode="External"/><Relationship Id="rId17" Type="http://schemas.openxmlformats.org/officeDocument/2006/relationships/hyperlink" Target="https://www.beaconnonprofit.com/blog/checklist-to-starting-a-nonprofit-organization/" TargetMode="External"/><Relationship Id="rId16" Type="http://schemas.openxmlformats.org/officeDocument/2006/relationships/hyperlink" Target="https://www.goharness.com/blog-posts/how-to-start-a-nonprofit-in-nc" TargetMode="External"/><Relationship Id="rId19" Type="http://schemas.openxmlformats.org/officeDocument/2006/relationships/hyperlink" Target="https://www.discern.com/resources/north-carolina-llc-filing-fee" TargetMode="External"/><Relationship Id="rId18" Type="http://schemas.openxmlformats.org/officeDocument/2006/relationships/hyperlink" Target="https://www.taxzerone.com/nonprofit-taxes/north-carolina-state-filing-requir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