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Validation of the 'SacredSpace' Operational Blueprint: Architecture, Compliance, and Multi-Agent Orchestration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operational blueprint for the 'SacredSpace' initiative represents an exceptionally complex convergence of non-profit organizational structuring, emerging spiritual technology market dynamics, and advanced multi-agent artificial intelligence workflows. Executing this strategy requires navigating parallel regulatory environments, adhering to evolving production standards for algorithmic development, and managing the profound creative chaos inherent in hyper-growth startup environments. This comprehensive report delivers a rigorous, multi-disciplinary interrogation of the proposed 'SacredSpace' strategy. It evaluates the critical multi-state compliance matrix between North Carolina and Virginia, dissects the macroeconomic and philosophical trajectories of the "FaithTech" and spiritual wellness markets, and conducts a deep technical validation of the 'Sacred Council' multi-agent orchestration architecture. Furthermore, the analysis scrutinizes the technical workflows mandated to sustain this enterprise, specifically addressing Git repository optimization, the implementation of Python-based structured telemetry, asynchronous commerce integrations, and the deployment of a highly structured digital triage system leveraging the P.A.R.A. methodology, the Obsidian text editor, and Rust-based command-line documentation compilers.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intersection of religious or spiritual philosophy with high-throughput computational systems introduces unique operational vulnerabilities that standard enterprise SaaS models do not encounter. Organizations operating in this domain must balance the ethical imperatives of spiritual care with the relentless optimization pressures of machine learning deployment. Concurrently, the state of the art in multi-agent architectures in 2026 has decisively moved past early experimental phases, demanding strict adherence to observable, orchestrator-driven design patterns to prevent cascading systemic failures. The following sections deconstruct each of these elements in exhaustive detail, providing actionable validation and structural mandates for the 'SacredSpace' operational blueprint.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 Jurisdictional Strategy and Non-Profit Compliance Architecture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foundational legal structuring of 'SacredSpace' requires precise strategic arbitrage between the regulatory environments of North Carolina and Virginia. The initial decision regarding domestic incorporation versus foreign qualification carries profound long-term implications for corporate governance, operational overhead, and the ability to legally solicit and secure charitable contributions across state lines.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Corporate Formation and State Filing Topography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establishing a non-profit corporation, the primary state of incorporation dictates the statutory framework that governs board fiduciary duties, member rights, and mechanisms for corporate dissolution or merger. In the 2026 legal landscape, the baseline filing fees and administrative burdens for non-profit formation demonstrate significant variances across jurisdictions, directly impacting the initial capital requirements for early-stage initiatives.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Jurisdiction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Entity Classification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Domestic Formation Fee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Foreign Registration Fee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Annual Reporting Nuances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Virginia (VA)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Non-Profit Corporation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Requires State Corporation Commission filing.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North Carolina (NC)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Non-Profit Corporation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$62.00 (Standard)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Zero-dollar annual report filing fee.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Delaware (DE)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Benchmark Non-Profit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$89.00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$89.00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Heavy initial franchise tax modeling 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Virginia mandates a $100 filing fee for an Application for Certificate of Registration to Transact Business in Virginia.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Notably, Virginia's administrative processes present unique friction points for foreign entities. Unlike many jurisdictions that accept a standard certificate of good standing as proof of a foreign entity's existence, the Virginia State Corporation Commission requires a certified copy of the entity’s Articles of Organization from the home state.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Crucially, the certification date on this copy must be within the preceding twelve months of the application submission, and it must be accompanied by certified copies of any subsequent amendments or business mergers.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introduces an ongoing administrative overhead for document procurement that must be built into the operational timeline.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Conversely, North Carolina's regulatory environment is undergoing a period of modernization that is highly favorable to non-profit corporate structuring. The recent legislative enactment of House Bill 517 in the 2025-2026 session introduces comprehensive modifications to the laws governing non-profit corporations.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legislation authorizes entirely new categories of mergers and sales of assets, enabling domestic non-profit corporations to merge with one or more unincorporated entities, foreign non-profit corporations, or even domestic and foreign business corporations, provided specific criteria are strictly met.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flexibility is critical for an organization like 'SacredSpace', which may eventually need to interface with or absorb secular technological entities or specific intellectual property portfolios.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North Carolina legislation mandates that the board of directors for a standard non-profit corporation must consist of at least three natural persons, while a private foundation requires a minimum of one natural person.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law modifies the requirements for establishing board committees and formally authorizes corporate domestication—the process of transferring a corporation's domestic state. The fee for filing Articles of Domestication is $25, while the fee for filing Articles of Abandonment of Domestication is $10.</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 highly attractive feature of the North Carolina framework is that the newly mandated annual report to the Secretary of State carries no filing fee, though a punitive $100 fee applies for reinstatement following an administrative dissolution for failure to file.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Given these parameters, and assuming 'SacredSpace' intends to leverage the deep technological talent pools of the Research Triangle, domestic incorporation in North Carolina represents the superior strategic vector. It allows the organization to capitalize on zero-cost annual reporting and modern merger frameworks. Subsequent operations in Virginia would then proceed via formal foreign qualification, requiring the appointment of a registered agent and the procurement of certified North Carolina organizational documents.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Federal Exemption Strategy: IRS Form 1023 versus Form 1023-EZ</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Securing 501(c)(3) tax-exempt status from the United States Internal Revenue Service (IRS) is the defining critical path for 'SacredSpace'. Without this determination, the organization cannot issue tax-deductible receipts to donors, effectively neutralizing institutional fundraising and grants. The strategic choice between filing the standard IRS Form 1023 and the streamlined Form 1023-EZ fundamentally dictates the organization's initial operational timeline and funding capacity.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standard Form 1023 is an exhaustive, highly complex financial and operational disclosure. As of the first quarter of 2026, the IRS indicates an average processing duration of 6 to 12 months for standard applications.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Official IRS metrics report that 80% of standard Form 1023 application determinations are issued within a staggering 191 days.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protracted timeline poses a severe risk to early-stage velocity; while an organization can technically operate and accept donations with its application pending, donors assume the risk that the deduction may be disallowed if the application is ultimately rejected, chilling significant capital deployment.</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alleviate severe administrative backlogs, the IRS introduced the Form 1023-EZ, an expedited pathway that requires organizations to essentially scrutinize themselves, thereby removing the burden of deep investigative review from IRS agents.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For organizations filing the Form 1023-EZ, the average processing time compresses dramatically to 8 to 12 weeks.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Impressively, for cleanly submitted 1023-EZ applications, 80% of determinations are issued within just 22 days.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If an application triggers a secondary review, the timeline extends to 120 days.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eligibility for the 1023-EZ is strictly capped by rigid financial thresholds. An eligibility worksheet must be completed, and organizations must confidently project gross revenues below $50,000 annually and hold total assets valued under $250,000 to qualify.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Private foundations are strictly prohibited from utilizing the EZ form.</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If the 'SacredSpace' operational blueprint requires heavy initial capitalization to fund the development of the computationally intensive 'Sacred Council' AI architecture—necessitating immediate seed capital, server provisioning, or grants exceeding $50,000—the organization is legally precluded from utilizing the 1023-EZ pathway. It must therefore absorb the 191-day processing latency of the standard Form 1023 and structure its runway accordingly. Furthermore, tax exemption under section 501(c)(3) requires total transparency; both the organization and the IRS are mandated by law to make the application and the resulting determination documents available for public inspection.</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Multi-State Charitable Solicitation Licensure and Exemption Thresholds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act of soliciting donations across state lines, particularly through digital platforms and applications, triggers a highly complex, often disjointed web of state-level charitable registration statutes. Currently, thirty-eight states and the District of Columbia actively enforce charitable solicitation registration, while states like Delaware, Idaho, and Montana do not.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State laws generally require organizations to register with a specific state agency before soliciting residents and mandate the filing of periodic financial reports.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North Carolina, any charity, sponsor, or individual requesting public contributions must secure a license from the Charitable Solicitation Licensing (CSL) Division of the Secretary of State.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North Carolina evaluates fees on a sliding scale based on gross revenues, ranging from $0 to $200.</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While exemptions exist under North Carolina General Statute 131F, they are highly conditional. Organizations receiving under $25,000 annually, or those receiving under $50,000 with no paid officers or solicitors, may qualify for an exemption; however, this is not automatic and strictly requires the submission of an annual financial review to the CSL Division.</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Additionally, religious institutions, accredited educational institutions, and licensed hospitals possess statutory exemptions.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If 'SacredSpace' positions itself primarily as a technological developer rather than a traditional ecclesiastical body, it risks failing the strict legal definition of a religious institution, thereby requiring full registration.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Virginia similarly regulates charitable solicitation, requiring initial registration and annual renewals.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Furthermore, Maryland—a critical adjacent jurisdiction for the mid-Atlantic ecosystem—requires registration with the Office of the Secretary of State using Form COR-92.</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Maryland introduces stringent financial review thresholds: an independent financial statement review is legally required if contributions exceed $300,000, and a full financial statement audit is triggered at $750,000 and above.</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'SacredSpace' compliance blueprint must account for the fact that these states operate on divergent fiscal calendars. For instance, North Carolina requires renewals by the 15th day of the fifth month following the organization's fiscal year-end, while Maryland requires renewals within 10.5 months after the fiscal year-end.</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Failure to maintain this calendar results in the immediate revocation of solicitation privileges. The National Association of State Charity Officials (NASCO) maintains the core directives for these registrations, and the 'SacredSpace' operations team must continuously monitor this database.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 The Spiritual Technology Market and Ecosystem Topology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strategic positioning of 'SacredSpace' occurs within an aggressive, ongoing macroeconomic expansion of the "FaithTech" and holistic spiritual wellness markets. To validate the organization's potential for impact, user acquisition, and financial solvency, it is necessary to examine the underlying consumer trends, the theological design frameworks governing product development, and the geographical deployment of operational hubs in the target states.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Macroeconomic Trajectories and the Gen Z Digital Consumer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historical bifurcation between secular computational technology and spiritual or holistic well-being has effectively collapsed. By 2034, the global spiritual and wellness products market is projected to reach $9.6 billion, expanding at a Compound Annual Growth Rate (CAGR) of 8.0% from its 2023 valuation of $4.2 billion.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growth is heavily supported by a societal shift toward recognizing spirituality and mindfulness as critical components of mental health and lifestyle, rather than strictly dogmatic pursuits.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this broader physical and experiential market, the digital sector—specifically spiritual wellness applications encompassing meditation, mindfulness, AI companions, and movement-based spirituality—is demonstrating explosive, venture-scale growth. Valued at an estimated $2.16 billion in 2024, the spiritual app market is forecasted to surge to $7.31 billion by 2033, driven by an immense 14.63% CAGR.</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North America dominates this sector, accounting for over 44% of global revenue share, with smartphone deployments constituting the vast majority of access points.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market acceleration is heavily indexed toward younger demographics, completely replacing the archetype of the traditional, older spiritual consumer. Data from the 2025-2026 window indicates that Generation Z constitutes the strongest engagement vector for digital spirituality.</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A massive user survey involving 500,000 participants revealed that 53.8% of Gen Z respondents actively utilized AI-driven astrological, devotional, and spiritual guidance tools.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This demographic seeks spirituality that is on-demand, deeply personalized, and integrated into their daily digital interfaces.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Crucially, this demographic exhibits high price inelasticity regarding digital spiritual consumption; even in highly price-sensitive emerging markets like India, users demonstrate a willingness to pay premium session rates—ranging from 150 to 1,999 Rupees (approximately $1.50 to $24.00 USD) per interaction—for AI-driven love, career guidance, and 'energy cleansing'.</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the rise of conscious and ethical consumerism dictates that the target demographic stringently evaluates the operational integrity of the organization. Modern spiritual consumers demand eco-friendly, cruelty-free, and sustainable infrastructures.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'SacredSpace' must therefore embed extreme ethical transparency into its AI development, data privacy protocols, and operational footprint, treating its digital artifacts as extensions of the user's holistic wellness lifestyle.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Redemptive Technology Design Frameworks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successfully navigate the sensitive intersection of algorithmic logic and human spirituality, the ecosystem relies on specialized design methodologies. Prominent global organizations, such as FaithTech, have pioneered the concept of "Redemptive Technology".</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The defining characteristic of this framework is the intentional rejection of standard Silicon Valley growth-hacking paradigms—which prioritize user extraction and endless engagement loops—in favor of a biblically or ethically informed design cycle.</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operational playbook for redemptive technology contrasts a "Reckless" model of living for self and a merely "Responsible" model of basic ethical compliance with the higher standard of being "Redemptive".</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This approach is structured around a rigorous "4D Cycle": Discover, Discern, Develop, and Demonstrate.</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Discover:</w:t>
      </w:r>
      <w:r w:rsidDel="00000000" w:rsidR="00000000" w:rsidRPr="00000000">
        <w:rPr>
          <w:rFonts w:ascii="Google Sans" w:cs="Google Sans" w:eastAsia="Google Sans" w:hAnsi="Google Sans"/>
          <w:rtl w:val="0"/>
        </w:rPr>
        <w:t xml:space="preserve"> The team actively reorients itself to view the end-user not as a data-point to be monetized, but as an "image-bearer" possessing intrinsic dignity and value.</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Discern:</w:t>
      </w:r>
      <w:r w:rsidDel="00000000" w:rsidR="00000000" w:rsidRPr="00000000">
        <w:rPr>
          <w:rFonts w:ascii="Google Sans" w:cs="Google Sans" w:eastAsia="Google Sans" w:hAnsi="Google Sans"/>
          <w:rtl w:val="0"/>
        </w:rPr>
        <w:t xml:space="preserve"> This introduces a radical concept in software development: an intentional, organizational pause to evaluate whether technology is even the correct solution to the problem at hand.</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It invites developers to consider rejecting the urge to build, curating existing solutions, or abstaining from algorithmic intervention entirely if it risks exploiting the vulnerable.</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Develop:</w:t>
      </w:r>
      <w:r w:rsidDel="00000000" w:rsidR="00000000" w:rsidRPr="00000000">
        <w:rPr>
          <w:rFonts w:ascii="Google Sans" w:cs="Google Sans" w:eastAsia="Google Sans" w:hAnsi="Google Sans"/>
          <w:rtl w:val="0"/>
        </w:rPr>
        <w:t xml:space="preserve"> If building is deemed necessary, this phase is executed as a co-creation process, prioritizing the design of embedded protections against systemic misuse and unintended exploitation.</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Demonstrate:</w:t>
      </w:r>
      <w:r w:rsidDel="00000000" w:rsidR="00000000" w:rsidRPr="00000000">
        <w:rPr>
          <w:rFonts w:ascii="Google Sans" w:cs="Google Sans" w:eastAsia="Google Sans" w:hAnsi="Google Sans"/>
          <w:rtl w:val="0"/>
        </w:rPr>
        <w:t xml:space="preserve"> The framework calls for a radical redefinition of impact metrics. Rather than measuring success by Monthly Active Users (MAUs), click-through rates, or screen time, redemptive technology measures impact as "friendship compounded by time," evaluating whether the tools actually advance human flourishing and deep community connection.</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Integrating this 4D framework into the 'SacredSpace' operational blueprint ensures that the deployment of the 'Sacred Council' AI does not devolve into a sterile, hyper-optimized engagement trap that ultimately alienates the user base. Instead, it embeds a philosophical "friction" that prioritizes long-term spiritual efficacy and ethical responsibility over short-term dopamine hacking.</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Locational Ecosystems: Raleigh-Durham versus Richmond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geographic nexus for the 'SacredSpace' operations will heavily dictate its access to specialized engineering talent, early-stage social impact capital, and supportive ecosystem infrastructure. The analysis contrasts the Research Triangle (Raleigh-Durham, North Carolina) against the mid-Atlantic corridor of Richmond, Virginia.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Raleigh-Durham ecosystem is currently experiencing explosive growth, ranking as the number three tech hub in the Southern United States, trailing only Austin and Washington D.C..</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The region boasts a dense concentration of over 80,000 tech workers.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Its primary, unassailable competitive advantage is the immense pipeline of highly skilled, deeply technical talent funneling from Tier-1 research institutions, specifically Duke University, the University of North Carolina at Chapel Hill, and North Carolina State University.</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The region exhibits an extraordinarily high educational attainment metric, with 51% of adults aged 25 and older holding a bachelor's degree or higher.</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Furthermore, more than 55% of software engineers in the Raleigh-Durham area are directly employed in the tech industry, providing a highly liquid talent market.</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North Carolina ecosystem is heavily subsidized by both academic and state-level grants. Organizations like NCIDEA provide critical non-dilutive SEED grants that are essential for scaling startups without sacrificing early equity.</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Programs such as Launch Chapel Hill—an international award-winning startup accelerator—and the Innovate Carolina Junction provide creative co-working spaces and "Design and Innovation for the Public Good" programming specifically tailored to social impact organizations.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Conversely, Richmond, Virginia, presents a distinct, highly viable value proposition. While lacking the sheer density of Tier-1 university computer science graduates found in the Triangle, Richmond offers a more traditional, culturally rich urban environment that many founders find highly conducive to deep creative networks and lifestyle sustainability.</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Richmond benefits significantly from its proximity to the massive federal contracting, defense, and R&amp;D expenditures flowing from Northern Virginia.</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The ecosystem is supported by robust organizations such as Startup Virginia, a non-profit incubator serving founders at all stages.</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Furthermore, the Virginia Innovation Partnership Corporation (VIPC) manages a vast entrepreneurial network, providing low-cost business assistance, professional coaching, and direct investment facilitation.</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VIPC also heavily supports diverse founders through partnerships with the Virginia Hispanic Chamber of Commerce and the Northern Virginia Black Chamber of Commerce.</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when measuring the pure density of software engineering talent required to build complex multi-agent AI systems, the sheer volume of university spin-offs, and the specific cost-to-talent ratio, the Raleigh-Durham ecosystem demonstrates a statistically superior environment for establishing the primary 'SacredSpace' technical headquarters.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III: Multi-Agent AI Orchestration (The 'Sacred Council')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technical nucleus of the 'SacredSpace' blueprint is the 'Sacred Council'—a multi-agent artificial intelligence system designed to manage complex spiritual workflows, generate personalized theological content, and conduct nuanced user interactions. In the timeline of 2026, the paradigm of agentic architecture has fundamentally shifted away from the chaotic, unstructured experimentation of the early generative AI boom toward rigorous, structurally constrained, and highly observable systems.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2026 Production Verdict on Agentic Topologies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prevailing data from 2026 enterprise deployments decisively dismantles the early assumption that simply increasing the number of autonomous agents in a system exponentially increases its intelligence. Production post-mortems from top-tier research institutions, including MIT and Google, alongside data platforms like Databricks, indicate that multi-agent failures are overwhelmingly structural in nature, rather than being the result of poor prompt engineering or inadequate model size.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Frequently, allowing multiple agents to converse freely results in nothing more than a redundant rearrangement of existing information, which drastically inflates token costs while actively degrading task accuracy.</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rigorous operational test defined by researchers delineates a single-agent system as one possessing a "solitary reasoning locus"—a unified computational loop of perception, planning, and action, regardless of how many external tools it calls.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Conversely, a multi-agent system features discrete, LLM-backed entities that communicate via shared memory or explicit message passing.</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Across the industry, three primary architectural patterns have survived contact with enterprise production, each presenting distinct failure modes:</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Orchestrator-Worker (The Hub-and-Spoke):</w:t>
      </w:r>
      <w:r w:rsidDel="00000000" w:rsidR="00000000" w:rsidRPr="00000000">
        <w:rPr>
          <w:rFonts w:ascii="Google Sans" w:cs="Google Sans" w:eastAsia="Google Sans" w:hAnsi="Google Sans"/>
          <w:rtl w:val="0"/>
        </w:rPr>
        <w:t xml:space="preserve"> This pattern has conclusively emerged as the default architecture for stable, commercial production.</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A central 'supervisor' or 'orchestrator' agent receives the complex user input, parses the overarching intent, breaks the request down into sequential sub-tasks, and routes these tasks to highly specialized subordinate agents.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The supervisor then synthesizes the discrete outputs into a coherent response. While highly effective for domain routing and compliance tasks, its primary failure mode is "Hub Fragility." A single erroneous routing decision made by the central orchestrator cascades perfectly through all downstream specialists, leading to 100% system-wide failure.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Additionally, the supervisor often over-compresses the rich context generated by a specialist, leading to severe translation loss.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Sequential Pipeline (The Assembly Line):</w:t>
      </w:r>
      <w:r w:rsidDel="00000000" w:rsidR="00000000" w:rsidRPr="00000000">
        <w:rPr>
          <w:rFonts w:ascii="Google Sans" w:cs="Google Sans" w:eastAsia="Google Sans" w:hAnsi="Google Sans"/>
          <w:rtl w:val="0"/>
        </w:rPr>
        <w:t xml:space="preserve"> In this model, agents operate in a strict, predefined linear chain, passing explicit intermediate artifacts downstream to the next agent in the sequence.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topology is highly effective for highly structured, stageable work (e.g., data extraction followed by formatting followed by validation). However, it suffers severely when "upstream defects" accrue, poisoning later stages before verification mechanisms can intervene.</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Collaboration (The Peer Team or Multi-Agent Debate):</w:t>
      </w:r>
      <w:r w:rsidDel="00000000" w:rsidR="00000000" w:rsidRPr="00000000">
        <w:rPr>
          <w:rFonts w:ascii="Google Sans" w:cs="Google Sans" w:eastAsia="Google Sans" w:hAnsi="Google Sans"/>
          <w:rtl w:val="0"/>
        </w:rPr>
        <w:t xml:space="preserve"> In this topology, multiple peer agents occupy a shared workspace, actively debating, contributing perspectives, and refining positions across multiple rounds.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While intellectually romantic and highly appealing for a concept like a 'Sacred Council', this pattern has proven highly brittle and dangerous in production.</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Peer teams frequently succumb to "consensus inertia" or "message explosion," locking into infinite conversational loops that consume massive API budgets without reaching a conclusion.</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Furthermore, it suffers from extreme observability deficits, making precise failure attribution nearly impossible.</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the 'Sacred Council', the operational blueprint must absolutely mandate the </w:t>
      </w:r>
      <w:r w:rsidDel="00000000" w:rsidR="00000000" w:rsidRPr="00000000">
        <w:rPr>
          <w:rFonts w:ascii="Google Sans" w:cs="Google Sans" w:eastAsia="Google Sans" w:hAnsi="Google Sans"/>
          <w:b w:val="1"/>
          <w:bCs w:val="1"/>
          <w:rtl w:val="0"/>
        </w:rPr>
        <w:t xml:space="preserve">Orchestrator-Worker</w:t>
      </w:r>
      <w:r w:rsidDel="00000000" w:rsidR="00000000" w:rsidRPr="00000000">
        <w:rPr>
          <w:rFonts w:ascii="Google Sans" w:cs="Google Sans" w:eastAsia="Google Sans" w:hAnsi="Google Sans"/>
          <w:rtl w:val="0"/>
        </w:rPr>
        <w:t xml:space="preserve"> pattern. The deployment of unstructured, debate-style "councils" will predictably lead to silent handoff failures, stale data, and untraceable decisions—a distributed systems nightmare.</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The mathematical scaling rule established by the MIT and Google studies is clear: parallelizable work highly rewards centralized orchestration, whereas sequential reasoning and planning are almost always superior when restricted to a solitary reasoning locus.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'Sacred Council' must implement explicit state transitions—understand, plan, act, evaluate—imposing hard architectural guardrails around the reflection phase to prevent unbounded, costly introspection.</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Cross-Thread Persistence: The JSON Structured Memory Schema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defining limitation of stateless Large Language Models is their ephemeral context window. Once an inference session concludes, the localized memory of that conversation is entirely eradicated.</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For a platform like 'SacredSpace', which is tasked with providing ongoing, highly personalized spiritual guidance and project management over months or years, amnesia is an unacceptable user experience. Furthermore, attempting to solve this by stuffing immense, raw conversation histories into subsequent prompts is computationally inefficient, exponentially increases latency, and quickly hits the upper bounds of context window limits.</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While basic Retrieval-Augmented Generation (RAG) is useful for document retrieval, it often feels like a search engine pretending to remember, lacking true conversational state.</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required technical resolution is the implementation of a dual-layer memory architecture, distinguishing sharply between Thread-Level (Short-Term) and Cross-Thread (Long-Term) memory stores, a capability supported by advanced frameworks like LangGraph.</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Thread-Level Memory (Short-Term):</w:t>
      </w:r>
      <w:r w:rsidDel="00000000" w:rsidR="00000000" w:rsidRPr="00000000">
        <w:rPr>
          <w:rFonts w:ascii="Google Sans" w:cs="Google Sans" w:eastAsia="Google Sans" w:hAnsi="Google Sans"/>
          <w:rtl w:val="0"/>
        </w:rPr>
        <w:t xml:space="preserve"> This layer governs the immediate, active session. It manages the active message state, tracks recently uploaded files, and holds the immediate results of tool invocations via automated checkpoints.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It acts as the agent's working memory. Upon the termination of the conversation thread, this memory is systematically cleared.</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Cross-Thread Memory (Long-Term):</w:t>
      </w:r>
      <w:r w:rsidDel="00000000" w:rsidR="00000000" w:rsidRPr="00000000">
        <w:rPr>
          <w:rFonts w:ascii="Google Sans" w:cs="Google Sans" w:eastAsia="Google Sans" w:hAnsi="Google Sans"/>
          <w:rtl w:val="0"/>
        </w:rPr>
        <w:t xml:space="preserve"> This persistent layer stores critical user parameters, nuanced theological preferences, historical decisions, and long-term milestone tracking.</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The system persists this data as highly structured JSON documents stored within a persistent database (such as a local development store or a production Postgres database).</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organizing this cross-thread memory through isolated namespaces (acting as categorical folders) and distinct indexing keys (acting as filenames), the orchestrator agent can retrieve precise, summarized context payloads without polluting the active prompt window.</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This mechanism operates akin to a persistent knowledge graph, allowing the LLM to access deep, multi-session context seamlessly, providing the illusion that the agent inherently retained the knowledge across time.</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IV: Technical Workflows, Telemetry, and Commerce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Sustaining a multi-agent application in production requires infrastructure that can monitor invisible processes and handle financial transactions asynchronously. The blueprint must validate the specific mechanisms for logging agent activity and processing commercial interactions.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Observability and Agentic Telemetry: Structured JSON Logging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maintain the operational integrity of the 'Sacred Council', traditional unstructured text logging is entirely inadequate. In a distributed multi-agent system, a single action requested by the user may traverse a dozen discrete microservices, trigger multiple asynchronous LLM inferences, and invoke various external APIs.</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When a failure occurs, scanning plain text logs across distributed nodes provides negligible analytical utility and consumes immense engineering hours.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operational blueprint must mandate </w:t>
      </w:r>
      <w:r w:rsidDel="00000000" w:rsidR="00000000" w:rsidRPr="00000000">
        <w:rPr>
          <w:rFonts w:ascii="Google Sans" w:cs="Google Sans" w:eastAsia="Google Sans" w:hAnsi="Google Sans"/>
          <w:b w:val="1"/>
          <w:bCs w:val="1"/>
          <w:rtl w:val="0"/>
        </w:rPr>
        <w:t xml:space="preserve">Structured JSON Logging</w:t>
      </w:r>
      <w:r w:rsidDel="00000000" w:rsidR="00000000" w:rsidRPr="00000000">
        <w:rPr>
          <w:rFonts w:ascii="Google Sans" w:cs="Google Sans" w:eastAsia="Google Sans" w:hAnsi="Google Sans"/>
          <w:rtl w:val="0"/>
        </w:rPr>
        <w:t xml:space="preserve"> across all Python runtimes and agentic workflows. Structured logging completely abandons raw text messages, instead breaking down log data into heavily dimensional key-value pairs.</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This dramatically improves algorithmic search, filtering, and aggregation mechanisms across platforms like Amazon CloudWatch, Datadog, or New Relic.</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Key implementation directives for agentic telemetry include:</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Universal Correlation IDs:</w:t>
      </w:r>
      <w:r w:rsidDel="00000000" w:rsidR="00000000" w:rsidRPr="00000000">
        <w:rPr>
          <w:rFonts w:ascii="Google Sans" w:cs="Google Sans" w:eastAsia="Google Sans" w:hAnsi="Google Sans"/>
          <w:rtl w:val="0"/>
        </w:rPr>
        <w:t xml:space="preserve"> Every single initial user request must be tagged with a unique trace ID (e.g., trace_id: "abc-123-def-456").</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This ID must be sequentially passed to every downstream agent, orchestrator, and tool invocation.</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This is the only mechanism that allows engineers to reconstruct the exact flow of a request across the entire multi-agent graph.</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Structured Stack Traces:</w:t>
      </w:r>
      <w:r w:rsidDel="00000000" w:rsidR="00000000" w:rsidRPr="00000000">
        <w:rPr>
          <w:rFonts w:ascii="Google Sans" w:cs="Google Sans" w:eastAsia="Google Sans" w:hAnsi="Google Sans"/>
          <w:rtl w:val="0"/>
        </w:rPr>
        <w:t xml:space="preserve"> Python exceptions must not be logged as massive, multi-line strings, which break log parsers. They must be intercepted and rendered as a JSON array of individual execution frames. This structural alteration permits automated systems to aggregate recurring errors by the exact file, class method, or specific Exception type.</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Strict Schema and Typing:</w:t>
      </w:r>
      <w:r w:rsidDel="00000000" w:rsidR="00000000" w:rsidRPr="00000000">
        <w:rPr>
          <w:rFonts w:ascii="Google Sans" w:cs="Google Sans" w:eastAsia="Google Sans" w:hAnsi="Google Sans"/>
          <w:rtl w:val="0"/>
        </w:rPr>
        <w:t xml:space="preserve"> Inconsistent data typing critically breaks log indexing algorithms. If a variable like latency_ms is logged as a string ("145") by the routing agent and an integer (145) by a worker agent, the observability database will silently fail to aggregate those records.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All numerical metrics must be strictly typed as integers or floats, while timestamps must strictly adhere to a standardized ISO 8601 string format in UTC to allow for precise time-based queries.</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Contextual Dimensionality:</w:t>
      </w:r>
      <w:r w:rsidDel="00000000" w:rsidR="00000000" w:rsidRPr="00000000">
        <w:rPr>
          <w:rFonts w:ascii="Google Sans" w:cs="Google Sans" w:eastAsia="Google Sans" w:hAnsi="Google Sans"/>
          <w:rtl w:val="0"/>
        </w:rPr>
        <w:t xml:space="preserve"> Field names must inherently define their measurement unit to eliminate ambiguity (e.g., utilize processing_time_ms rather than a generic, contextless duration).</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PII and Data Masking:</w:t>
      </w:r>
      <w:r w:rsidDel="00000000" w:rsidR="00000000" w:rsidRPr="00000000">
        <w:rPr>
          <w:rFonts w:ascii="Google Sans" w:cs="Google Sans" w:eastAsia="Google Sans" w:hAnsi="Google Sans"/>
          <w:rtl w:val="0"/>
        </w:rPr>
        <w:t xml:space="preserve"> Given the highly sensitive, potentially confessional nature of user interactions within 'SacredSpace', stringent data redaction is required before logs are written to disk. Authentication tokens, passwords, credit card numbers, and personally identifiable spiritual inputs must be aggressively hashed or masked with asterisks at the edge, ensuring compliance with privacy regulations.</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Integrating Commercial Workflows: The Stripe Architecture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the 'SacredSpace' platform encompasses premium features, subscriptions, or direct monetization (as validated by the high willingness-to-pay among Gen Z spiritual consumers), the integration of financial infrastructure must match the strictness of the AI logic. The utilization of the Python Stripe SDK (stripe&gt;=15.0.0) in the merchant.py schema requires careful adherence to 2026 architectural constraints.</w:t>
      </w:r>
      <w:r w:rsidDel="00000000" w:rsidR="00000000" w:rsidRPr="00000000">
        <w:rPr>
          <w:rFonts w:ascii="Google Sans" w:cs="Google Sans" w:eastAsia="Google Sans" w:hAnsi="Google Sans"/>
          <w:sz w:val="24"/>
          <w:szCs w:val="24"/>
          <w:vertAlign w:val="superscript"/>
          <w:rtl w:val="0"/>
        </w:rPr>
        <w:t xml:space="preserve">44</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blueprint must completely eschew deprecated logic such as the Sources API, which is no longer the correct approach for saving cards.</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Instead, the architecture should strictly leverage the Checkout Sessions API (checkout.sessions.create) for all on-session interactions. This modern API automatically handles complex logic including taxes, discounts, shipping, and adaptive pricing.</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It should be coupled with the modern Payment Element component, advising against the legacy Card Element.</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For recurring, off-session charges managed autonomously by the AI, the Setup Intents API is required to vault payment credentials securely for later use.</w:t>
      </w:r>
      <w:r w:rsidDel="00000000" w:rsidR="00000000" w:rsidRPr="00000000">
        <w:rPr>
          <w:rFonts w:ascii="Google Sans" w:cs="Google Sans" w:eastAsia="Google Sans" w:hAnsi="Google Sans"/>
          <w:sz w:val="24"/>
          <w:szCs w:val="24"/>
          <w:vertAlign w:val="superscript"/>
          <w:rtl w:val="0"/>
        </w:rPr>
        <w:t xml:space="preserve">44</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a critical best practice in the merchant.py workflow involves decoupling webhook acknowledgment from actual event processing. When Stripe dispatches a webhook indicating a successful payment, the Python server must instantly return an HTTP 2xx status code to acknowledge receipt.</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 It must not attempt to provision the user's account or update the database within that initial request, as this risks timing out the connection. Instead, the actual database updates and email triggers should be offloaded to an asynchronous task queue, such as Celery in Python, ensuring rapid acknowledgment and robust background processing.</w:t>
      </w:r>
      <w:r w:rsidDel="00000000" w:rsidR="00000000" w:rsidRPr="00000000">
        <w:rPr>
          <w:rFonts w:ascii="Google Sans" w:cs="Google Sans" w:eastAsia="Google Sans" w:hAnsi="Google Sans"/>
          <w:sz w:val="24"/>
          <w:szCs w:val="24"/>
          <w:vertAlign w:val="superscript"/>
          <w:rtl w:val="0"/>
        </w:rPr>
        <w:t xml:space="preserve">46</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V: Technical Workflows and Backlog Triage Architecture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significant, often fatal operational hazard for startup founders lies in the uncontrolled accumulation of feature requests, theological content drafts, system design notes, and strategic ideas. This massive "creative backlog" can quickly paralyze an organization if left unstructured.</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The romantic belief that rigid structure stifles innovation is a fallacy; as linguistic philosopher Noam Chomsky observed, attempting to create without a framework is merely "tossing paint at the wall".</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 True creativity requires a supportive, restrictive matrix to thrive and scale.</w:t>
      </w:r>
      <w:r w:rsidDel="00000000" w:rsidR="00000000" w:rsidRPr="00000000">
        <w:rPr>
          <w:rFonts w:ascii="Google Sans" w:cs="Google Sans" w:eastAsia="Google Sans" w:hAnsi="Google Sans"/>
          <w:sz w:val="24"/>
          <w:szCs w:val="24"/>
          <w:vertAlign w:val="superscript"/>
          <w:rtl w:val="0"/>
        </w:rPr>
        <w:t xml:space="preserve">49</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P.A.R.A. Methodology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systematically process the massive, multi-year backlog of ideas inherent in launching a complex platform like 'SacredSpace', the operational blueprint correctly identifies the P.A.R.A. organizational methodology as the optimal digital triage system. P.A.R.A. is a standardized acronym denoting a four-tiered hierarchy designed to organize digital life according to strict actionability rather than arbitrary academic subject matters.</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Projects (High Actionability):</w:t>
      </w:r>
      <w:r w:rsidDel="00000000" w:rsidR="00000000" w:rsidRPr="00000000">
        <w:rPr>
          <w:rFonts w:ascii="Google Sans" w:cs="Google Sans" w:eastAsia="Google Sans" w:hAnsi="Google Sans"/>
          <w:rtl w:val="0"/>
        </w:rPr>
        <w:t xml:space="preserve"> These are complex tasks with definitive deadlines and specific desired outcomes.</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In the context of 'SacredSpace', this would include active initiatives like "Launch Stripe Checkout Integration," "Draft IRS Form 1023," or "Deploy 'Sacred Council' Beta."</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Areas (Continuous Maintenance):</w:t>
      </w:r>
      <w:r w:rsidDel="00000000" w:rsidR="00000000" w:rsidRPr="00000000">
        <w:rPr>
          <w:rFonts w:ascii="Google Sans" w:cs="Google Sans" w:eastAsia="Google Sans" w:hAnsi="Google Sans"/>
          <w:rtl w:val="0"/>
        </w:rPr>
        <w:t xml:space="preserve"> These denote spheres of ongoing responsibility that lack an endpoint. They represent standards to be maintained over time. For 'SacredSpace', areas include "Server Maintenance," "Non-Profit Legal Compliance," "Community Engagement," or "Financial Accounting".</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Resources (Low Actionability, High Utility):</w:t>
      </w:r>
      <w:r w:rsidDel="00000000" w:rsidR="00000000" w:rsidRPr="00000000">
        <w:rPr>
          <w:rFonts w:ascii="Google Sans" w:cs="Google Sans" w:eastAsia="Google Sans" w:hAnsi="Google Sans"/>
          <w:rtl w:val="0"/>
        </w:rPr>
        <w:t xml:space="preserve"> This repository houses topics of continuous interest and reference materials that may be useful in the future. This is where the founder stores ongoing research on "Redemptive Design Principles," "Neo-shamanic Ritual Architecture," "LangGraph JSON Memory Schemas," or "Web Design Trends".</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Archives (Zero Actionability):</w:t>
      </w:r>
      <w:r w:rsidDel="00000000" w:rsidR="00000000" w:rsidRPr="00000000">
        <w:rPr>
          <w:rFonts w:ascii="Google Sans" w:cs="Google Sans" w:eastAsia="Google Sans" w:hAnsi="Google Sans"/>
          <w:rtl w:val="0"/>
        </w:rPr>
        <w:t xml:space="preserve"> The terminal phase of the data lifecycle. Completed projects, abandoned initiatives, and obsolete resources are aggressively relegated to the Archives. This crucial step keeps the primary workspace surgically clean, ensuring that the visual field is populated only with immediately relevant, actionable data.</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funneling the sprawling idea backlog through the P.A.R.A. filter, the founder isolates the immediate vectors of execution from the noise of speculative ambition, drastically reducing cognitive load.</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Markdown Knowledge Graphs: SARA and IWE Integrations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deployment of Obsidian as the primary text editor interfaces seamlessly with the P.A.R.A. framework. Obsidian utilizes local, plain-text Markdown files, preventing proprietary vendor lock-in and allowing documents to be version-controlled via Git like standard software code.</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However, as the repository of system architectures, spiritual content, and compliance documentation scales to thousands of interlinked documents, human management becomes impossible. Links break during file renaming, requirements drift out of sync, and critical architectural documentation becomes fatally orphaned.</w:t>
      </w:r>
      <w:r w:rsidDel="00000000" w:rsidR="00000000" w:rsidRPr="00000000">
        <w:rPr>
          <w:rFonts w:ascii="Google Sans" w:cs="Google Sans" w:eastAsia="Google Sans" w:hAnsi="Google Sans"/>
          <w:sz w:val="24"/>
          <w:szCs w:val="24"/>
          <w:vertAlign w:val="superscript"/>
          <w:rtl w:val="0"/>
        </w:rPr>
        <w:t xml:space="preserve">54</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validate and enforce structural integrity across the Markdown ecosystem, the blueprint must integrate rigorous Command Line Interface (CLI) tooling. The Rust-based SARA (Solution Architecture Requirement for Alignment) CLI transforms a simple folder of Markdown files into a highly queryable knowledge graph.</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By embedding YAML metadata at the header of Markdown files, SARA enables engineers to map complex dependencies across multiple repositories.</w:t>
      </w:r>
      <w:r w:rsidDel="00000000" w:rsidR="00000000" w:rsidRPr="00000000">
        <w:rPr>
          <w:rFonts w:ascii="Google Sans" w:cs="Google Sans" w:eastAsia="Google Sans" w:hAnsi="Google Sans"/>
          <w:sz w:val="24"/>
          <w:szCs w:val="24"/>
          <w:vertAlign w:val="superscript"/>
          <w:rtl w:val="0"/>
        </w:rPr>
        <w:t xml:space="preserve">54</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SARA CLI Command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Blueprint Application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sara init &lt;FILE&gt;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Adds requirement metadata interactively.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Standardizing new protocol drafts.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sara parse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Builds the knowledge graph.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Indexing the entire Obsidian vault.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sara validate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Detects broken links, orphans, loops.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CI/CD pipeline pre-merge check.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sara query &lt;ID&gt;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Traces upstream/downstream lineage.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Auditing AI orchestration dependencies.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sara diff &lt;REF1&gt; &lt;REF2&gt;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Compares Git branches for logic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Reviewing architectural pull requests.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54</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SARA's validation protocols operate similarly to a strict software compiler for documentation. When sara validate is executed, the software traverses the entire repository to detect broken internal references, flag isolated "orphan" documents that lack upstream parent nodes, and, crucially, identify destructive circular dependencies where requirements endlessly reference each other.</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Integrating SARA directly into the Git repository's Continuous Integration/Continuous Deployment (CI/CD) pipeline ensures that any pull request containing documentation modifications is mechanically verified before merging, permanently eliminating dead links.</w:t>
      </w:r>
      <w:r w:rsidDel="00000000" w:rsidR="00000000" w:rsidRPr="00000000">
        <w:rPr>
          <w:rFonts w:ascii="Google Sans" w:cs="Google Sans" w:eastAsia="Google Sans" w:hAnsi="Google Sans"/>
          <w:sz w:val="24"/>
          <w:szCs w:val="24"/>
          <w:vertAlign w:val="superscript"/>
          <w:rtl w:val="0"/>
        </w:rPr>
        <w:t xml:space="preserve">54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Complementing SARA, the integration of IWE (Interactive Writing Environment) provides an advanced Language Server Protocol (LSP) interface directly within code editors like Neovim or VS Code.</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IWE loads the Markdown ecosystem into an in-memory graph, facilitating batch normalizations (e.g., standardizing header levels and list numeration across hundreds of files simultaneously) and executing mass link-title updates dynamically.</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Together, SARA and IWE elevate Obsidian from a personal note-taking tool into an enterprise-grade documentation matrix capable of supporting the complex, multi-layered operations of 'SacredSpace'.</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VI: Creative Operations and the Maestro Leadership Paradigm</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mechanization of task management via CLI tools and Git repositories must be carefully balanced by deliberate human synchronization. Establishing a robust creative workflow is essential to move projects from conception to completion without losing the spark of innovation or missing critical deadlines.</w:t>
      </w:r>
      <w:r w:rsidDel="00000000" w:rsidR="00000000" w:rsidRPr="00000000">
        <w:rPr>
          <w:rFonts w:ascii="Google Sans" w:cs="Google Sans" w:eastAsia="Google Sans" w:hAnsi="Google Sans"/>
          <w:sz w:val="24"/>
          <w:szCs w:val="24"/>
          <w:vertAlign w:val="superscript"/>
          <w:rtl w:val="0"/>
        </w:rPr>
        <w:t xml:space="preserve">47</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standardized 10-step creative workflow must be instituted, beginning with the establishment of explicit expectations and the creation of a formal creative brief.</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Roles must be delegated clearly, stages mapped, and critically, the team must secure sign-off on the process from all stakeholders before work commences.</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Establishing regular check-ins and analyzing project metrics post-launch prevents bottlenecks and eliminates confusion regarding version control.</w:t>
      </w:r>
      <w:r w:rsidDel="00000000" w:rsidR="00000000" w:rsidRPr="00000000">
        <w:rPr>
          <w:rFonts w:ascii="Google Sans" w:cs="Google Sans" w:eastAsia="Google Sans" w:hAnsi="Google Sans"/>
          <w:sz w:val="24"/>
          <w:szCs w:val="24"/>
          <w:vertAlign w:val="superscript"/>
          <w:rtl w:val="0"/>
        </w:rPr>
        <w:t xml:space="preserve">47</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Ritual Design and Transition Management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further solidify organizational culture, the integration of "Ritual Design" provides a structured framework for managing transitions, aligning team energy, and navigating the emotional cadences of startup execution.</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Utilizing tools such as the Ritual Design Canvas, founders can architect specific behavioral flows—mapping the context, sensory triggers, and desired emotional outcomes of team interactions.</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This approach categorizes rituals into distinct quadrants, such as "Seasonal Rituals" for bringing groups together long-term, or "Transitional Rituals" for marking major milestones or project launches.</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By formalizing these interactions, routine governance meetings and code reviews are transformed into meaningful, collective milestones that reinforce the redemptive mission of the organization.</w:t>
      </w:r>
      <w:r w:rsidDel="00000000" w:rsidR="00000000" w:rsidRPr="00000000">
        <w:rPr>
          <w:rFonts w:ascii="Google Sans" w:cs="Google Sans" w:eastAsia="Google Sans" w:hAnsi="Google Sans"/>
          <w:sz w:val="24"/>
          <w:szCs w:val="24"/>
          <w:vertAlign w:val="superscript"/>
          <w:rtl w:val="0"/>
        </w:rPr>
        <w:t xml:space="preserve">61</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Maestro Leadership Model</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highly structured operational environment transitions perfectly into the "Maestro" leadership paradigm. Traditional startup management often devolves into anxious, over-prescriptive micro-management, which inevitably stifles the intrinsic innovation of engineering and creative teams.</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 The Maestro philosophy, derived from the world of orchestral conductors, posits that the leader's primary directive is to "lead by listening".</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 A conductor does not physically play any instrument; rather, they establish the overarching framework, set the precise tempo, and provide the exact spatial volume required for individual specialists to express their expertise in harmony.</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 As noted by veterans in the field, when people are given structural space, true innovation can occur; when a manager crams the team with overly specific instructions, the music fails.</w:t>
      </w:r>
      <w:r w:rsidDel="00000000" w:rsidR="00000000" w:rsidRPr="00000000">
        <w:rPr>
          <w:rFonts w:ascii="Google Sans" w:cs="Google Sans" w:eastAsia="Google Sans" w:hAnsi="Google Sans"/>
          <w:sz w:val="24"/>
          <w:szCs w:val="24"/>
          <w:vertAlign w:val="superscript"/>
          <w:rtl w:val="0"/>
        </w:rPr>
        <w:t xml:space="preserve">62</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operational matrix of 'SacredSpace', the founder must operate as the Maestro. The founder defines the architectural tempo via the P.A.R.A. method and structured CI/CD pipelines, orchestrates the AI agents via the Hub-and-Spoke topology, and manages the legal boundaries across North Carolina and Virginia. However, within those strict, unyielding parameters, the underlying systems—whether they be human contractors, creative directors, or automated LLM agents—must be granted the operational autonomy and space to execute their specialized tasks efficiently.</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'SacredSpace' operational blueprint is highly ambitious but fundamentally viable, provided it is executed with extreme structural discipline. The integration of advanced computational technology with sensitive spiritual domains presents unique vectors for both technical and ethical collapse if stringent guardrails are not enforced.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analysis yields the following strategic mandates for the execution of the blueprint:</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Legal Restructuring:</w:t>
      </w:r>
      <w:r w:rsidDel="00000000" w:rsidR="00000000" w:rsidRPr="00000000">
        <w:rPr>
          <w:rFonts w:ascii="Google Sans" w:cs="Google Sans" w:eastAsia="Google Sans" w:hAnsi="Google Sans"/>
          <w:rtl w:val="0"/>
        </w:rPr>
        <w:t xml:space="preserve"> The organization must decisively establish its domestic hub in North Carolina to leverage the deep technical talent pools of the Research Triangle and the favorable non-profit modernization of HB 517. Virginia operations must be secured immediately thereafter via foreign qualification. Prior to launching any public-facing funding apparatus, charitable solicitation licenses must be confirmed in both jurisdictions to prevent catastrophic regulatory enforcement actions. The organization should absorb the 191-day latency of the standard IRS Form 1023 to bypass the severe revenue constraints of the 1023-EZ, allowing for adequate seed capitalization.</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 Topography Constraint:</w:t>
      </w:r>
      <w:r w:rsidDel="00000000" w:rsidR="00000000" w:rsidRPr="00000000">
        <w:rPr>
          <w:rFonts w:ascii="Google Sans" w:cs="Google Sans" w:eastAsia="Google Sans" w:hAnsi="Google Sans"/>
          <w:rtl w:val="0"/>
        </w:rPr>
        <w:t xml:space="preserve"> The 'Sacred Council' must be strictly limited to an Orchestrator-Worker (Hub-and-Spoke) architecture. All implementations of free-form, multi-agent debate must be excised from the codebase to prevent recursive token consumption and silent system failures. The memory architecture must bifurcate short-term thread states from a highly normalized, JSON-encoded cross-thread database.</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Telemetry and Commerce Standardization:</w:t>
      </w:r>
      <w:r w:rsidDel="00000000" w:rsidR="00000000" w:rsidRPr="00000000">
        <w:rPr>
          <w:rFonts w:ascii="Google Sans" w:cs="Google Sans" w:eastAsia="Google Sans" w:hAnsi="Google Sans"/>
          <w:rtl w:val="0"/>
        </w:rPr>
        <w:t xml:space="preserve"> Absolute uniformity in structured JSON logging is non-negotiable. The implementation of rigorous correlation IDs, normalized data typing, and aggressive PII redaction at the edge is required to render the multi-agent execution paths observable. Concurrently, the Stripe integration must strictly utilize the Checkout Sessions API and decouple webhook acknowledgments via asynchronous Celery tasks.</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Backlog Mechanization:</w:t>
      </w:r>
      <w:r w:rsidDel="00000000" w:rsidR="00000000" w:rsidRPr="00000000">
        <w:rPr>
          <w:rFonts w:ascii="Google Sans" w:cs="Google Sans" w:eastAsia="Google Sans" w:hAnsi="Google Sans"/>
          <w:rtl w:val="0"/>
        </w:rPr>
        <w:t xml:space="preserve"> The integration of the P.A.R.A. methodology must be mechanically enforced through the Git repository. Utilizing the SARA CLI tool within the continuous integration pipeline will guarantee that the complex web of technical, legal, and theological Markdown documentation remains unbroken, free of orphaned nodes, and immediately accessible for execution.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adhering to these rigorous structural paradigms and embracing the Maestro leadership model, 'SacredSpace' can successfully deploy a highly resilient, redemptively designed technological platform capable of operating at the frontier of the multi-billion dollar spiritual wellness market.</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Register a Virginia Foreign LLC, accessed May 6, 2026, </w:t>
      </w:r>
      <w:hyperlink r:id="rId6">
        <w:r w:rsidDel="00000000" w:rsidR="00000000" w:rsidRPr="00000000">
          <w:rPr>
            <w:rFonts w:ascii="Google Sans" w:cs="Google Sans" w:eastAsia="Google Sans" w:hAnsi="Google Sans"/>
            <w:color w:val="0000ee"/>
            <w:sz w:val="24"/>
            <w:szCs w:val="24"/>
            <w:u w:val="single"/>
            <w:rtl w:val="0"/>
          </w:rPr>
          <w:t xml:space="preserve">https://www.northwestregisteredagent.com/llc/virginia/foreign-registration</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Business Formation &amp; Filing Fees - Wolters Kluwer, accessed May 6, 2026, </w:t>
      </w:r>
      <w:hyperlink r:id="rId7">
        <w:r w:rsidDel="00000000" w:rsidR="00000000" w:rsidRPr="00000000">
          <w:rPr>
            <w:rFonts w:ascii="Google Sans" w:cs="Google Sans" w:eastAsia="Google Sans" w:hAnsi="Google Sans"/>
            <w:color w:val="0000ee"/>
            <w:sz w:val="24"/>
            <w:szCs w:val="24"/>
            <w:u w:val="single"/>
            <w:rtl w:val="0"/>
          </w:rPr>
          <w:t xml:space="preserve">https://www.wolterskluwer.com/en/solutions/bizfilings/who-we-serve/estimated-state-fees</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HOUSE BILL 517: Modify Nonprofit Corp. Act/Charitable Org. - North Carolina General Assembly Dashboard, accessed May 6, 2026, </w:t>
      </w:r>
      <w:hyperlink r:id="rId8">
        <w:r w:rsidDel="00000000" w:rsidR="00000000" w:rsidRPr="00000000">
          <w:rPr>
            <w:rFonts w:ascii="Google Sans" w:cs="Google Sans" w:eastAsia="Google Sans" w:hAnsi="Google Sans"/>
            <w:color w:val="0000ee"/>
            <w:sz w:val="24"/>
            <w:szCs w:val="24"/>
            <w:u w:val="single"/>
            <w:rtl w:val="0"/>
          </w:rPr>
          <w:t xml:space="preserve">https://dashboard.ncleg.gov/api/Services/BillSummary/2025/H517-SMSV-68(e1)-v-2</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Long Does It Take to Get 501(c)(3) Status? | Harbor Compliance, accessed May 6, 2026, </w:t>
      </w:r>
      <w:hyperlink r:id="rId9">
        <w:r w:rsidDel="00000000" w:rsidR="00000000" w:rsidRPr="00000000">
          <w:rPr>
            <w:rFonts w:ascii="Google Sans" w:cs="Google Sans" w:eastAsia="Google Sans" w:hAnsi="Google Sans"/>
            <w:color w:val="0000ee"/>
            <w:sz w:val="24"/>
            <w:szCs w:val="24"/>
            <w:u w:val="single"/>
            <w:rtl w:val="0"/>
          </w:rPr>
          <w:t xml:space="preserve">https://www.harborcompliance.com/how-long-does-it-take-to-get-501c3-status</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Where's my application for tax-exempt status? | Internal Revenue Service, accessed May 6, 2026, </w:t>
      </w:r>
      <w:hyperlink r:id="rId10">
        <w:r w:rsidDel="00000000" w:rsidR="00000000" w:rsidRPr="00000000">
          <w:rPr>
            <w:rFonts w:ascii="Google Sans" w:cs="Google Sans" w:eastAsia="Google Sans" w:hAnsi="Google Sans"/>
            <w:color w:val="0000ee"/>
            <w:sz w:val="24"/>
            <w:szCs w:val="24"/>
            <w:u w:val="single"/>
            <w:rtl w:val="0"/>
          </w:rPr>
          <w:t xml:space="preserve">https://www.irs.gov/charities-non-profits/charitable-organizations/wheres-my-application-for-tax-exempt-status</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Instructions for Form 1023-EZ (Rev. January 2025) - IRS, accessed May 6, 2026, </w:t>
      </w:r>
      <w:hyperlink r:id="rId11">
        <w:r w:rsidDel="00000000" w:rsidR="00000000" w:rsidRPr="00000000">
          <w:rPr>
            <w:rFonts w:ascii="Google Sans" w:cs="Google Sans" w:eastAsia="Google Sans" w:hAnsi="Google Sans"/>
            <w:color w:val="0000ee"/>
            <w:sz w:val="24"/>
            <w:szCs w:val="24"/>
            <w:u w:val="single"/>
            <w:rtl w:val="0"/>
          </w:rPr>
          <w:t xml:space="preserve">https://www.irs.gov/pub/irs-pdf/i1023ez.pdf</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1023 and Form 1023-EZ FAQs | Wegner CPAs, accessed May 6, 2026, </w:t>
      </w:r>
      <w:hyperlink r:id="rId12">
        <w:r w:rsidDel="00000000" w:rsidR="00000000" w:rsidRPr="00000000">
          <w:rPr>
            <w:rFonts w:ascii="Google Sans" w:cs="Google Sans" w:eastAsia="Google Sans" w:hAnsi="Google Sans"/>
            <w:color w:val="0000ee"/>
            <w:sz w:val="24"/>
            <w:szCs w:val="24"/>
            <w:u w:val="single"/>
            <w:rtl w:val="0"/>
          </w:rPr>
          <w:t xml:space="preserve">https://www.wegnercpas.com/form-1023-and-form-1023-ez-faqs-2/</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States Requiring Charitable Registration, accessed May 6, 2026, </w:t>
      </w:r>
      <w:hyperlink r:id="rId13">
        <w:r w:rsidDel="00000000" w:rsidR="00000000" w:rsidRPr="00000000">
          <w:rPr>
            <w:rFonts w:ascii="Google Sans" w:cs="Google Sans" w:eastAsia="Google Sans" w:hAnsi="Google Sans"/>
            <w:color w:val="0000ee"/>
            <w:sz w:val="24"/>
            <w:szCs w:val="24"/>
            <w:u w:val="single"/>
            <w:rtl w:val="0"/>
          </w:rPr>
          <w:t xml:space="preserve">https://www.fundraisingregistration.com/resources/states-requiring-registration-map.php</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Charitable Registration Requirements by State: A Fundraising Compliance Guide - Labyrinth, Inc., accessed May 6, 2026, </w:t>
      </w:r>
      <w:hyperlink r:id="rId14">
        <w:r w:rsidDel="00000000" w:rsidR="00000000" w:rsidRPr="00000000">
          <w:rPr>
            <w:rFonts w:ascii="Google Sans" w:cs="Google Sans" w:eastAsia="Google Sans" w:hAnsi="Google Sans"/>
            <w:color w:val="0000ee"/>
            <w:sz w:val="24"/>
            <w:szCs w:val="24"/>
            <w:u w:val="single"/>
            <w:rtl w:val="0"/>
          </w:rPr>
          <w:t xml:space="preserve">https://labyrinthinc.com/state-fundraising-compliance-guide/</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Charitable solicitation - state requirements | Internal Revenue Service, accessed May 6, 2026, </w:t>
      </w:r>
      <w:hyperlink r:id="rId15">
        <w:r w:rsidDel="00000000" w:rsidR="00000000" w:rsidRPr="00000000">
          <w:rPr>
            <w:rFonts w:ascii="Google Sans" w:cs="Google Sans" w:eastAsia="Google Sans" w:hAnsi="Google Sans"/>
            <w:color w:val="0000ee"/>
            <w:sz w:val="24"/>
            <w:szCs w:val="24"/>
            <w:u w:val="single"/>
            <w:rtl w:val="0"/>
          </w:rPr>
          <w:t xml:space="preserve">https://www.irs.gov/charities-non-profits/charitable-organizations/charitable-solicitation-state-requirements</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Carolina Charitable Registration | Harbor Compliance | www.harborcompliance.com, accessed May 6, 2026, </w:t>
      </w:r>
      <w:hyperlink r:id="rId16">
        <w:r w:rsidDel="00000000" w:rsidR="00000000" w:rsidRPr="00000000">
          <w:rPr>
            <w:rFonts w:ascii="Google Sans" w:cs="Google Sans" w:eastAsia="Google Sans" w:hAnsi="Google Sans"/>
            <w:color w:val="0000ee"/>
            <w:sz w:val="24"/>
            <w:szCs w:val="24"/>
            <w:u w:val="single"/>
            <w:rtl w:val="0"/>
          </w:rPr>
          <w:t xml:space="preserve">https://www.harborcompliance.com/north-carolina-charitable-registration</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Register a Charity in Virginia, Maryland, and North Carolina, accessed May 6, 2026, </w:t>
      </w:r>
      <w:hyperlink r:id="rId17">
        <w:r w:rsidDel="00000000" w:rsidR="00000000" w:rsidRPr="00000000">
          <w:rPr>
            <w:rFonts w:ascii="Google Sans" w:cs="Google Sans" w:eastAsia="Google Sans" w:hAnsi="Google Sans"/>
            <w:color w:val="0000ee"/>
            <w:sz w:val="24"/>
            <w:szCs w:val="24"/>
            <w:u w:val="single"/>
            <w:rtl w:val="0"/>
          </w:rPr>
          <w:t xml:space="preserve">https://www.pbmares.com/insights-nfp-how-to-register-a-charity-in-virginia-maryland-and-north-carolina/</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Spiritual and Wellness Products Market | Growth &amp; Trends 2034, accessed May 6, 2026, </w:t>
      </w:r>
      <w:hyperlink r:id="rId18">
        <w:r w:rsidDel="00000000" w:rsidR="00000000" w:rsidRPr="00000000">
          <w:rPr>
            <w:rFonts w:ascii="Google Sans" w:cs="Google Sans" w:eastAsia="Google Sans" w:hAnsi="Google Sans"/>
            <w:color w:val="0000ee"/>
            <w:sz w:val="24"/>
            <w:szCs w:val="24"/>
            <w:u w:val="single"/>
            <w:rtl w:val="0"/>
          </w:rPr>
          <w:t xml:space="preserve">https://www.transparencymarketresearch.com/spiritual-and-wellness-products-market.html</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Religious and Spiritual Products Market Trends Analysis Report 2025-2034 - GlobeNewswire, accessed May 6, 2026, </w:t>
      </w:r>
      <w:hyperlink r:id="rId19">
        <w:r w:rsidDel="00000000" w:rsidR="00000000" w:rsidRPr="00000000">
          <w:rPr>
            <w:rFonts w:ascii="Google Sans" w:cs="Google Sans" w:eastAsia="Google Sans" w:hAnsi="Google Sans"/>
            <w:color w:val="0000ee"/>
            <w:sz w:val="24"/>
            <w:szCs w:val="24"/>
            <w:u w:val="single"/>
            <w:rtl w:val="0"/>
          </w:rPr>
          <w:t xml:space="preserve">https://www.globenewswire.com/news-release/2025/09/22/3153796/28124/en/religious-and-spiritual-products-market-trends-analysis-report-2025-2034-demand-for-sustainable-and-wellness-aligned-offerings-like-cruelty-free-candles-and-eco-friendly-incense-ri.html</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Spiritual Wellness Apps Market Size | Industry Report, 2033 - Grand View Research, accessed May 6, 2026, </w:t>
      </w:r>
      <w:hyperlink r:id="rId20">
        <w:r w:rsidDel="00000000" w:rsidR="00000000" w:rsidRPr="00000000">
          <w:rPr>
            <w:rFonts w:ascii="Google Sans" w:cs="Google Sans" w:eastAsia="Google Sans" w:hAnsi="Google Sans"/>
            <w:color w:val="0000ee"/>
            <w:sz w:val="24"/>
            <w:szCs w:val="24"/>
            <w:u w:val="single"/>
            <w:rtl w:val="0"/>
          </w:rPr>
          <w:t xml:space="preserve">https://www.grandviewresearch.com/industry-analysis/spiritual-wellness-apps-market-report</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Faith-tech: When AI learns to prophesise - The Economic Times B2B, accessed May 6, 2026, </w:t>
      </w:r>
      <w:hyperlink r:id="rId21">
        <w:r w:rsidDel="00000000" w:rsidR="00000000" w:rsidRPr="00000000">
          <w:rPr>
            <w:rFonts w:ascii="Google Sans" w:cs="Google Sans" w:eastAsia="Google Sans" w:hAnsi="Google Sans"/>
            <w:color w:val="0000ee"/>
            <w:sz w:val="24"/>
            <w:szCs w:val="24"/>
            <w:u w:val="single"/>
            <w:rtl w:val="0"/>
          </w:rPr>
          <w:t xml:space="preserve">https://b2b.economictimes.indiatimes.com/news/entrepreneur/the-rise-of-faith-tech-ai-and-astrology-meet-gen-z-demand/125294668</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FaithTech | Global tech community for Christ, accessed May 6, 2026, </w:t>
      </w:r>
      <w:hyperlink r:id="rId22">
        <w:r w:rsidDel="00000000" w:rsidR="00000000" w:rsidRPr="00000000">
          <w:rPr>
            <w:rFonts w:ascii="Google Sans" w:cs="Google Sans" w:eastAsia="Google Sans" w:hAnsi="Google Sans"/>
            <w:color w:val="0000ee"/>
            <w:sz w:val="24"/>
            <w:szCs w:val="24"/>
            <w:u w:val="single"/>
            <w:rtl w:val="0"/>
          </w:rPr>
          <w:t xml:space="preserve">https://faithtech.com/</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FaithTech, accessed May 6, 2026, </w:t>
      </w:r>
      <w:hyperlink r:id="rId23">
        <w:r w:rsidDel="00000000" w:rsidR="00000000" w:rsidRPr="00000000">
          <w:rPr>
            <w:rFonts w:ascii="Google Sans" w:cs="Google Sans" w:eastAsia="Google Sans" w:hAnsi="Google Sans"/>
            <w:color w:val="0000ee"/>
            <w:sz w:val="24"/>
            <w:szCs w:val="24"/>
            <w:u w:val="single"/>
            <w:rtl w:val="0"/>
          </w:rPr>
          <w:t xml:space="preserve">https://www.faithtech.com/about</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FAITHTECH PLAYBOOK:, accessed May 6, 2026, </w:t>
      </w:r>
      <w:hyperlink r:id="rId24">
        <w:r w:rsidDel="00000000" w:rsidR="00000000" w:rsidRPr="00000000">
          <w:rPr>
            <w:rFonts w:ascii="Google Sans" w:cs="Google Sans" w:eastAsia="Google Sans" w:hAnsi="Google Sans"/>
            <w:color w:val="0000ee"/>
            <w:sz w:val="24"/>
            <w:szCs w:val="24"/>
            <w:u w:val="single"/>
            <w:rtl w:val="0"/>
          </w:rPr>
          <w:t xml:space="preserve">https://cdn.prod.website-files.com/679167dbc0447fe6c06ad750/68630467a925dd5c16888bfe_The-FaithTech-Playbook.pdf</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FaithTech Playbook: A Redemptive Approach to Tech - Ben Welby, accessed May 6, 2026, </w:t>
      </w:r>
      <w:hyperlink r:id="rId25">
        <w:r w:rsidDel="00000000" w:rsidR="00000000" w:rsidRPr="00000000">
          <w:rPr>
            <w:rFonts w:ascii="Google Sans" w:cs="Google Sans" w:eastAsia="Google Sans" w:hAnsi="Google Sans"/>
            <w:color w:val="0000ee"/>
            <w:sz w:val="24"/>
            <w:szCs w:val="24"/>
            <w:u w:val="single"/>
            <w:rtl w:val="0"/>
          </w:rPr>
          <w:t xml:space="preserve">https://bm.wel.by/2024/06/25/the-faithtech-playbook-a-redemptive-approach-to-tech/</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FaithTech Playbook, accessed May 6, 2026, </w:t>
      </w:r>
      <w:hyperlink r:id="rId26">
        <w:r w:rsidDel="00000000" w:rsidR="00000000" w:rsidRPr="00000000">
          <w:rPr>
            <w:rFonts w:ascii="Google Sans" w:cs="Google Sans" w:eastAsia="Google Sans" w:hAnsi="Google Sans"/>
            <w:color w:val="0000ee"/>
            <w:sz w:val="24"/>
            <w:szCs w:val="24"/>
            <w:u w:val="single"/>
            <w:rtl w:val="0"/>
          </w:rPr>
          <w:t xml:space="preserve">https://www.faithtech.com/playbook</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FaithTech Workbook: Overview, accessed May 6, 2026, </w:t>
      </w:r>
      <w:hyperlink r:id="rId27">
        <w:r w:rsidDel="00000000" w:rsidR="00000000" w:rsidRPr="00000000">
          <w:rPr>
            <w:rFonts w:ascii="Google Sans" w:cs="Google Sans" w:eastAsia="Google Sans" w:hAnsi="Google Sans"/>
            <w:color w:val="0000ee"/>
            <w:sz w:val="24"/>
            <w:szCs w:val="24"/>
            <w:u w:val="single"/>
            <w:rtl w:val="0"/>
          </w:rPr>
          <w:t xml:space="preserve">https://workbook.faithtech.com/</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NC cities in top 20 Southern tech hubs, Raleigh No. 3 - Carolina Journal, accessed May 6, 2026, </w:t>
      </w:r>
      <w:hyperlink r:id="rId28">
        <w:r w:rsidDel="00000000" w:rsidR="00000000" w:rsidRPr="00000000">
          <w:rPr>
            <w:rFonts w:ascii="Google Sans" w:cs="Google Sans" w:eastAsia="Google Sans" w:hAnsi="Google Sans"/>
            <w:color w:val="0000ee"/>
            <w:sz w:val="24"/>
            <w:szCs w:val="24"/>
            <w:u w:val="single"/>
            <w:rtl w:val="0"/>
          </w:rPr>
          <w:t xml:space="preserve">https://www.carolinajournal.com/4-nc-cities-in-top-20-southern-tech-hubs-raleigh-no-3/</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Raleigh Durham Startup Ecosystem 2026 Guide, accessed May 6, 2026, </w:t>
      </w:r>
      <w:hyperlink r:id="rId29">
        <w:r w:rsidDel="00000000" w:rsidR="00000000" w:rsidRPr="00000000">
          <w:rPr>
            <w:rFonts w:ascii="Google Sans" w:cs="Google Sans" w:eastAsia="Google Sans" w:hAnsi="Google Sans"/>
            <w:color w:val="0000ee"/>
            <w:sz w:val="24"/>
            <w:szCs w:val="24"/>
            <w:u w:val="single"/>
            <w:rtl w:val="0"/>
          </w:rPr>
          <w:t xml:space="preserve">https://startupproject.org/ecosystems/raleigh-durham/</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for Startups - First Flight Venture Center, accessed May 6, 2026, </w:t>
      </w:r>
      <w:hyperlink r:id="rId30">
        <w:r w:rsidDel="00000000" w:rsidR="00000000" w:rsidRPr="00000000">
          <w:rPr>
            <w:rFonts w:ascii="Google Sans" w:cs="Google Sans" w:eastAsia="Google Sans" w:hAnsi="Google Sans"/>
            <w:color w:val="0000ee"/>
            <w:sz w:val="24"/>
            <w:szCs w:val="24"/>
            <w:u w:val="single"/>
            <w:rtl w:val="0"/>
          </w:rPr>
          <w:t xml:space="preserve">https://www.ffvcnc.org/business-resources</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 Innovate Carolina – UNC Innovation &amp; Entrepreneurship, accessed May 6, 2026, </w:t>
      </w:r>
      <w:hyperlink r:id="rId31">
        <w:r w:rsidDel="00000000" w:rsidR="00000000" w:rsidRPr="00000000">
          <w:rPr>
            <w:rFonts w:ascii="Google Sans" w:cs="Google Sans" w:eastAsia="Google Sans" w:hAnsi="Google Sans"/>
            <w:color w:val="0000ee"/>
            <w:sz w:val="24"/>
            <w:szCs w:val="24"/>
            <w:u w:val="single"/>
            <w:rtl w:val="0"/>
          </w:rPr>
          <w:t xml:space="preserve">https://innovate.unc.edu/resources-overview/</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Raleigh. Impressed with Richmond, VA : r/SameGrassButGreener - Reddit, accessed May 6, 2026, </w:t>
      </w:r>
      <w:hyperlink r:id="rId32">
        <w:r w:rsidDel="00000000" w:rsidR="00000000" w:rsidRPr="00000000">
          <w:rPr>
            <w:rFonts w:ascii="Google Sans" w:cs="Google Sans" w:eastAsia="Google Sans" w:hAnsi="Google Sans"/>
            <w:color w:val="0000ee"/>
            <w:sz w:val="24"/>
            <w:szCs w:val="24"/>
            <w:u w:val="single"/>
            <w:rtl w:val="0"/>
          </w:rPr>
          <w:t xml:space="preserve">https://www.reddit.com/r/SameGrassButGreener/comments/1n5cayx/from_raleigh_impressed_with_richmond_va/</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Innovation Ecosystems Map - Technical.ly, accessed May 6, 2026, </w:t>
      </w:r>
      <w:hyperlink r:id="rId33">
        <w:r w:rsidDel="00000000" w:rsidR="00000000" w:rsidRPr="00000000">
          <w:rPr>
            <w:rFonts w:ascii="Google Sans" w:cs="Google Sans" w:eastAsia="Google Sans" w:hAnsi="Google Sans"/>
            <w:color w:val="0000ee"/>
            <w:sz w:val="24"/>
            <w:szCs w:val="24"/>
            <w:u w:val="single"/>
            <w:rtl w:val="0"/>
          </w:rPr>
          <w:t xml:space="preserve">https://technical.ly/ecosystems/</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Startup Virginia ® - Let's get started., accessed May 6, 2026, </w:t>
      </w:r>
      <w:hyperlink r:id="rId34">
        <w:r w:rsidDel="00000000" w:rsidR="00000000" w:rsidRPr="00000000">
          <w:rPr>
            <w:rFonts w:ascii="Google Sans" w:cs="Google Sans" w:eastAsia="Google Sans" w:hAnsi="Google Sans"/>
            <w:color w:val="0000ee"/>
            <w:sz w:val="24"/>
            <w:szCs w:val="24"/>
            <w:u w:val="single"/>
            <w:rtl w:val="0"/>
          </w:rPr>
          <w:t xml:space="preserve">https://startupvirginia.org/</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 Virginia Innovation Partnership Corporation, accessed May 6, 2026, </w:t>
      </w:r>
      <w:hyperlink r:id="rId35">
        <w:r w:rsidDel="00000000" w:rsidR="00000000" w:rsidRPr="00000000">
          <w:rPr>
            <w:rFonts w:ascii="Google Sans" w:cs="Google Sans" w:eastAsia="Google Sans" w:hAnsi="Google Sans"/>
            <w:color w:val="0000ee"/>
            <w:sz w:val="24"/>
            <w:szCs w:val="24"/>
            <w:u w:val="single"/>
            <w:rtl w:val="0"/>
          </w:rPr>
          <w:t xml:space="preserve">https://vipc.org/resources/</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we're betting Raleigh, NC will be the east coast's second biggest tech hub by 2025., accessed May 6, 2026, </w:t>
      </w:r>
      <w:hyperlink r:id="rId36">
        <w:r w:rsidDel="00000000" w:rsidR="00000000" w:rsidRPr="00000000">
          <w:rPr>
            <w:rFonts w:ascii="Google Sans" w:cs="Google Sans" w:eastAsia="Google Sans" w:hAnsi="Google Sans"/>
            <w:color w:val="0000ee"/>
            <w:sz w:val="24"/>
            <w:szCs w:val="24"/>
            <w:u w:val="single"/>
            <w:rtl w:val="0"/>
          </w:rPr>
          <w:t xml:space="preserve">https://www.hatchit.io/why-were-betting-raleigh-nc-will-be-the-east-coasts-second-biggest-tech-hub-by-2025/</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in Production in 2026: What Actually Survived | by ..., accessed May 6, 2026, </w:t>
      </w:r>
      <w:hyperlink r:id="rId37">
        <w:r w:rsidDel="00000000" w:rsidR="00000000" w:rsidRPr="00000000">
          <w:rPr>
            <w:rFonts w:ascii="Google Sans" w:cs="Google Sans" w:eastAsia="Google Sans" w:hAnsi="Google Sans"/>
            <w:color w:val="0000ee"/>
            <w:sz w:val="24"/>
            <w:szCs w:val="24"/>
            <w:u w:val="single"/>
            <w:rtl w:val="0"/>
          </w:rPr>
          <w:t xml:space="preserve">https://medium.com/@Micheal-Lanham/multi-agent-in-production-in-2026-what-actually-survived-f86de8bb1cd1</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Chaos to Choreography: Multi-Agent Orchestration Patterns That Actually Work — Sandipan Bhaumik, accessed May 6, 2026, </w:t>
      </w:r>
      <w:hyperlink r:id="rId38">
        <w:r w:rsidDel="00000000" w:rsidR="00000000" w:rsidRPr="00000000">
          <w:rPr>
            <w:rFonts w:ascii="Google Sans" w:cs="Google Sans" w:eastAsia="Google Sans" w:hAnsi="Google Sans"/>
            <w:color w:val="0000ee"/>
            <w:sz w:val="24"/>
            <w:szCs w:val="24"/>
            <w:u w:val="single"/>
            <w:rtl w:val="0"/>
          </w:rPr>
          <w:t xml:space="preserve">https://www.youtube.com/watch?v=2czYyrTzILg</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Multi-Agent Orchestration Patterns for Production (2026) - Beam AI, accessed May 6, 2026, </w:t>
      </w:r>
      <w:hyperlink r:id="rId39">
        <w:r w:rsidDel="00000000" w:rsidR="00000000" w:rsidRPr="00000000">
          <w:rPr>
            <w:rFonts w:ascii="Google Sans" w:cs="Google Sans" w:eastAsia="Google Sans" w:hAnsi="Google Sans"/>
            <w:color w:val="0000ee"/>
            <w:sz w:val="24"/>
            <w:szCs w:val="24"/>
            <w:u w:val="single"/>
            <w:rtl w:val="0"/>
          </w:rPr>
          <w:t xml:space="preserve">https://beam.ai/agentic-insights/multi-agent-orchestration-patterns-production</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Orchestration Patterns - Azure Architecture Center - Microsoft Learn, accessed May 6, 2026, </w:t>
      </w:r>
      <w:hyperlink r:id="rId40">
        <w:r w:rsidDel="00000000" w:rsidR="00000000" w:rsidRPr="00000000">
          <w:rPr>
            <w:rFonts w:ascii="Google Sans" w:cs="Google Sans" w:eastAsia="Google Sans" w:hAnsi="Google Sans"/>
            <w:color w:val="0000ee"/>
            <w:sz w:val="24"/>
            <w:szCs w:val="24"/>
            <w:u w:val="single"/>
            <w:rtl w:val="0"/>
          </w:rPr>
          <w:t xml:space="preserve">https://learn.microsoft.com/en-us/azure/architecture/ai-ml/guide/ai-agent-design-patterns</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Agentic Workflow Patterns That Will Lead in 2026, accessed May 6, 2026, </w:t>
      </w:r>
      <w:hyperlink r:id="rId41">
        <w:r w:rsidDel="00000000" w:rsidR="00000000" w:rsidRPr="00000000">
          <w:rPr>
            <w:rFonts w:ascii="Google Sans" w:cs="Google Sans" w:eastAsia="Google Sans" w:hAnsi="Google Sans"/>
            <w:color w:val="0000ee"/>
            <w:sz w:val="24"/>
            <w:szCs w:val="24"/>
            <w:u w:val="single"/>
            <w:rtl w:val="0"/>
          </w:rPr>
          <w:t xml:space="preserve">https://rajuhemanth456.medium.com/top-ai-agentic-workflow-patterns-that-will-lead-in-2026-2468bf088dc6</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Structured Memory in AI Agents? How to Build Persistent Context - MindStudio, accessed May 6, 2026, </w:t>
      </w:r>
      <w:hyperlink r:id="rId42">
        <w:r w:rsidDel="00000000" w:rsidR="00000000" w:rsidRPr="00000000">
          <w:rPr>
            <w:rFonts w:ascii="Google Sans" w:cs="Google Sans" w:eastAsia="Google Sans" w:hAnsi="Google Sans"/>
            <w:color w:val="0000ee"/>
            <w:sz w:val="24"/>
            <w:szCs w:val="24"/>
            <w:u w:val="single"/>
            <w:rtl w:val="0"/>
          </w:rPr>
          <w:t xml:space="preserve">https://www.mindstudio.ai/blog/what-is-structured-memory-ai-agents</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Anyone else struggling with giving their AI agents real memory? : r/Rag - Reddit, accessed May 6, 2026, </w:t>
      </w:r>
      <w:hyperlink r:id="rId43">
        <w:r w:rsidDel="00000000" w:rsidR="00000000" w:rsidRPr="00000000">
          <w:rPr>
            <w:rFonts w:ascii="Google Sans" w:cs="Google Sans" w:eastAsia="Google Sans" w:hAnsi="Google Sans"/>
            <w:color w:val="0000ee"/>
            <w:sz w:val="24"/>
            <w:szCs w:val="24"/>
            <w:u w:val="single"/>
            <w:rtl w:val="0"/>
          </w:rPr>
          <w:t xml:space="preserve">https://www.reddit.com/r/Rag/comments/1nfu177/anyone_else_struggling_with_giving_their_ai/</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FareedKhan-dev/langgraph-long-memory: A detail Implementation of handling long-term memory in Agentic AI - GitHub, accessed May 6, 2026, </w:t>
      </w:r>
      <w:hyperlink r:id="rId44">
        <w:r w:rsidDel="00000000" w:rsidR="00000000" w:rsidRPr="00000000">
          <w:rPr>
            <w:rFonts w:ascii="Google Sans" w:cs="Google Sans" w:eastAsia="Google Sans" w:hAnsi="Google Sans"/>
            <w:color w:val="0000ee"/>
            <w:sz w:val="24"/>
            <w:szCs w:val="24"/>
            <w:u w:val="single"/>
            <w:rtl w:val="0"/>
          </w:rPr>
          <w:t xml:space="preserve">https://github.com/FareedKhan-dev/langgraph-long-memory</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Logging: A Quick Guide for Engineers - Dash0, accessed May 6, 2026, </w:t>
      </w:r>
      <w:hyperlink r:id="rId45">
        <w:r w:rsidDel="00000000" w:rsidR="00000000" w:rsidRPr="00000000">
          <w:rPr>
            <w:rFonts w:ascii="Google Sans" w:cs="Google Sans" w:eastAsia="Google Sans" w:hAnsi="Google Sans"/>
            <w:color w:val="0000ee"/>
            <w:sz w:val="24"/>
            <w:szCs w:val="24"/>
            <w:u w:val="single"/>
            <w:rtl w:val="0"/>
          </w:rPr>
          <w:t xml:space="preserve">https://www.dash0.com/guides/json-logging</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Logging: Best Practices &amp; JSON Examples - Uptrace, accessed May 6, 2026, </w:t>
      </w:r>
      <w:hyperlink r:id="rId46">
        <w:r w:rsidDel="00000000" w:rsidR="00000000" w:rsidRPr="00000000">
          <w:rPr>
            <w:rFonts w:ascii="Google Sans" w:cs="Google Sans" w:eastAsia="Google Sans" w:hAnsi="Google Sans"/>
            <w:color w:val="0000ee"/>
            <w:sz w:val="24"/>
            <w:szCs w:val="24"/>
            <w:u w:val="single"/>
            <w:rtl w:val="0"/>
          </w:rPr>
          <w:t xml:space="preserve">https://uptrace.dev/glossary/structured-logging</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Accelerate troubleshooting with structured logs in Amazon CloudWatch, accessed May 6, 2026, </w:t>
      </w:r>
      <w:hyperlink r:id="rId47">
        <w:r w:rsidDel="00000000" w:rsidR="00000000" w:rsidRPr="00000000">
          <w:rPr>
            <w:rFonts w:ascii="Google Sans" w:cs="Google Sans" w:eastAsia="Google Sans" w:hAnsi="Google Sans"/>
            <w:color w:val="0000ee"/>
            <w:sz w:val="24"/>
            <w:szCs w:val="24"/>
            <w:u w:val="single"/>
            <w:rtl w:val="0"/>
          </w:rPr>
          <w:t xml:space="preserve">https://aws.amazon.com/blogs/mt/accelerate-troubleshooting-with-structured-logs-in-amazon-cloudwatch/</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Logging Best Practices - Loggly, accessed May 6, 2026, </w:t>
      </w:r>
      <w:hyperlink r:id="rId48">
        <w:r w:rsidDel="00000000" w:rsidR="00000000" w:rsidRPr="00000000">
          <w:rPr>
            <w:rFonts w:ascii="Google Sans" w:cs="Google Sans" w:eastAsia="Google Sans" w:hAnsi="Google Sans"/>
            <w:color w:val="0000ee"/>
            <w:sz w:val="24"/>
            <w:szCs w:val="24"/>
            <w:u w:val="single"/>
            <w:rtl w:val="0"/>
          </w:rPr>
          <w:t xml:space="preserve">https://www.loggly.com/use-cases/json-logging-best-practices/</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plugins/plugins/build-web-apps/skills/stripe-best-practices/references/payments.md at main - GitHub, accessed May 6, 2026, </w:t>
      </w:r>
      <w:hyperlink r:id="rId49">
        <w:r w:rsidDel="00000000" w:rsidR="00000000" w:rsidRPr="00000000">
          <w:rPr>
            <w:rFonts w:ascii="Google Sans" w:cs="Google Sans" w:eastAsia="Google Sans" w:hAnsi="Google Sans"/>
            <w:color w:val="0000ee"/>
            <w:sz w:val="24"/>
            <w:szCs w:val="24"/>
            <w:u w:val="single"/>
            <w:rtl w:val="0"/>
          </w:rPr>
          <w:t xml:space="preserve">https://github.com/openai/plugins/blob/main/plugins/build-web-apps/skills/stripe-best-practices/references/payments.md</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up your development environment - Stripe Documentation, accessed May 6, 2026, </w:t>
      </w:r>
      <w:hyperlink r:id="rId50">
        <w:r w:rsidDel="00000000" w:rsidR="00000000" w:rsidRPr="00000000">
          <w:rPr>
            <w:rFonts w:ascii="Google Sans" w:cs="Google Sans" w:eastAsia="Google Sans" w:hAnsi="Google Sans"/>
            <w:color w:val="0000ee"/>
            <w:sz w:val="24"/>
            <w:szCs w:val="24"/>
            <w:u w:val="single"/>
            <w:rtl w:val="0"/>
          </w:rPr>
          <w:t xml:space="preserve">https://docs.stripe.com/get-started/development-environment?lang=python</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rock-solid Stripe integrations: A developer's guide to success, accessed May 6, 2026, </w:t>
      </w:r>
      <w:hyperlink r:id="rId51">
        <w:r w:rsidDel="00000000" w:rsidR="00000000" w:rsidRPr="00000000">
          <w:rPr>
            <w:rFonts w:ascii="Google Sans" w:cs="Google Sans" w:eastAsia="Google Sans" w:hAnsi="Google Sans"/>
            <w:color w:val="0000ee"/>
            <w:sz w:val="24"/>
            <w:szCs w:val="24"/>
            <w:u w:val="single"/>
            <w:rtl w:val="0"/>
          </w:rPr>
          <w:t xml:space="preserve">https://stripe.dev/blog/building-solid-stripe-integrations-developers-guide-success</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Structure an Effective Creative Workflow (10 Steps) - Picflow, accessed May 6, 2026, </w:t>
      </w:r>
      <w:hyperlink r:id="rId52">
        <w:r w:rsidDel="00000000" w:rsidR="00000000" w:rsidRPr="00000000">
          <w:rPr>
            <w:rFonts w:ascii="Google Sans" w:cs="Google Sans" w:eastAsia="Google Sans" w:hAnsi="Google Sans"/>
            <w:color w:val="0000ee"/>
            <w:sz w:val="24"/>
            <w:szCs w:val="24"/>
            <w:u w:val="single"/>
            <w:rtl w:val="0"/>
          </w:rPr>
          <w:t xml:space="preserve">https://picflow.com/blog/creative-workflow</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Creative workflow management: a 7-step guide - Blog | ShareFile, accessed May 6, 2026, </w:t>
      </w:r>
      <w:hyperlink r:id="rId53">
        <w:r w:rsidDel="00000000" w:rsidR="00000000" w:rsidRPr="00000000">
          <w:rPr>
            <w:rFonts w:ascii="Google Sans" w:cs="Google Sans" w:eastAsia="Google Sans" w:hAnsi="Google Sans"/>
            <w:color w:val="0000ee"/>
            <w:sz w:val="24"/>
            <w:szCs w:val="24"/>
            <w:u w:val="single"/>
            <w:rtl w:val="0"/>
          </w:rPr>
          <w:t xml:space="preserve">https://www.sharefile.com/resource/blogs/creative-workflow-management</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Creative Workflow: 7 Strategies for Structuring Creativity - Teamhood, accessed May 6, 2026, </w:t>
      </w:r>
      <w:hyperlink r:id="rId54">
        <w:r w:rsidDel="00000000" w:rsidR="00000000" w:rsidRPr="00000000">
          <w:rPr>
            <w:rFonts w:ascii="Google Sans" w:cs="Google Sans" w:eastAsia="Google Sans" w:hAnsi="Google Sans"/>
            <w:color w:val="0000ee"/>
            <w:sz w:val="24"/>
            <w:szCs w:val="24"/>
            <w:u w:val="single"/>
            <w:rtl w:val="0"/>
          </w:rPr>
          <w:t xml:space="preserve">https://teamhood.com/productivity/organize-creative-workflow/</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PARA Method - Second Brain, accessed May 6, 2026, </w:t>
      </w:r>
      <w:hyperlink r:id="rId55">
        <w:r w:rsidDel="00000000" w:rsidR="00000000" w:rsidRPr="00000000">
          <w:rPr>
            <w:rFonts w:ascii="Google Sans" w:cs="Google Sans" w:eastAsia="Google Sans" w:hAnsi="Google Sans"/>
            <w:color w:val="0000ee"/>
            <w:sz w:val="24"/>
            <w:szCs w:val="24"/>
            <w:u w:val="single"/>
            <w:rtl w:val="0"/>
          </w:rPr>
          <w:t xml:space="preserve">https://www.buildingasecondbrain.com/para</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Easily Organize Your Life with the PARA Method - Thomas Frank, accessed May 6, 2026, </w:t>
      </w:r>
      <w:hyperlink r:id="rId56">
        <w:r w:rsidDel="00000000" w:rsidR="00000000" w:rsidRPr="00000000">
          <w:rPr>
            <w:rFonts w:ascii="Google Sans" w:cs="Google Sans" w:eastAsia="Google Sans" w:hAnsi="Google Sans"/>
            <w:color w:val="0000ee"/>
            <w:sz w:val="24"/>
            <w:szCs w:val="24"/>
            <w:u w:val="single"/>
            <w:rtl w:val="0"/>
          </w:rPr>
          <w:t xml:space="preserve">https://thomasjfrank.com/productivity/how-to-easily-organize-your-life-with-the-para-method/</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PARA Method: The Simple System for Organizing Your Digital Life in Seconds, accessed May 6, 2026, </w:t>
      </w:r>
      <w:hyperlink r:id="rId57">
        <w:r w:rsidDel="00000000" w:rsidR="00000000" w:rsidRPr="00000000">
          <w:rPr>
            <w:rFonts w:ascii="Google Sans" w:cs="Google Sans" w:eastAsia="Google Sans" w:hAnsi="Google Sans"/>
            <w:color w:val="0000ee"/>
            <w:sz w:val="24"/>
            <w:szCs w:val="24"/>
            <w:u w:val="single"/>
            <w:rtl w:val="0"/>
          </w:rPr>
          <w:t xml:space="preserve">https://fortelabs.com/blog/para/</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PARA Method: How to Organize Your Life in 4 Categories - Todoist, accessed May 6, 2026, </w:t>
      </w:r>
      <w:hyperlink r:id="rId58">
        <w:r w:rsidDel="00000000" w:rsidR="00000000" w:rsidRPr="00000000">
          <w:rPr>
            <w:rFonts w:ascii="Google Sans" w:cs="Google Sans" w:eastAsia="Google Sans" w:hAnsi="Google Sans"/>
            <w:color w:val="0000ee"/>
            <w:sz w:val="24"/>
            <w:szCs w:val="24"/>
            <w:u w:val="single"/>
            <w:rtl w:val="0"/>
          </w:rPr>
          <w:t xml:space="preserve">https://www.todoist.com/productivity-methods/para-method</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SARA: A CLI Tool for Managing Markdown Requirements with ..., accessed May 6, 2026, </w:t>
      </w:r>
      <w:hyperlink r:id="rId59">
        <w:r w:rsidDel="00000000" w:rsidR="00000000" w:rsidRPr="00000000">
          <w:rPr>
            <w:rFonts w:ascii="Google Sans" w:cs="Google Sans" w:eastAsia="Google Sans" w:hAnsi="Google Sans"/>
            <w:color w:val="0000ee"/>
            <w:sz w:val="24"/>
            <w:szCs w:val="24"/>
            <w:u w:val="single"/>
            <w:rtl w:val="0"/>
          </w:rPr>
          <w:t xml:space="preserve">https://dev.to/tumf/sara-a-cli-tool-for-managing-markdown-requirements-with-knowledge-graphs-nco</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 | Markdown Guide, accessed May 6, 2026, </w:t>
      </w:r>
      <w:hyperlink r:id="rId60">
        <w:r w:rsidDel="00000000" w:rsidR="00000000" w:rsidRPr="00000000">
          <w:rPr>
            <w:rFonts w:ascii="Google Sans" w:cs="Google Sans" w:eastAsia="Google Sans" w:hAnsi="Google Sans"/>
            <w:color w:val="0000ee"/>
            <w:sz w:val="24"/>
            <w:szCs w:val="24"/>
            <w:u w:val="single"/>
            <w:rtl w:val="0"/>
          </w:rPr>
          <w:t xml:space="preserve">https://www.markdownguide.org/tools/</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IWE – CLI and LSP for managing Markdown knowledge bases (Rust) | Hacker News, accessed May 6, 2026, </w:t>
      </w:r>
      <w:hyperlink r:id="rId61">
        <w:r w:rsidDel="00000000" w:rsidR="00000000" w:rsidRPr="00000000">
          <w:rPr>
            <w:rFonts w:ascii="Google Sans" w:cs="Google Sans" w:eastAsia="Google Sans" w:hAnsi="Google Sans"/>
            <w:color w:val="0000ee"/>
            <w:sz w:val="24"/>
            <w:szCs w:val="24"/>
            <w:u w:val="single"/>
            <w:rtl w:val="0"/>
          </w:rPr>
          <w:t xml:space="preserve">https://news.ycombinator.com/item?id=46662307</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Built a Creative Operations Workflow That Powers Exceptional Work | by Jonathan Howard | Medium, accessed May 6, 2026, </w:t>
      </w:r>
      <w:hyperlink r:id="rId62">
        <w:r w:rsidDel="00000000" w:rsidR="00000000" w:rsidRPr="00000000">
          <w:rPr>
            <w:rFonts w:ascii="Google Sans" w:cs="Google Sans" w:eastAsia="Google Sans" w:hAnsi="Google Sans"/>
            <w:color w:val="0000ee"/>
            <w:sz w:val="24"/>
            <w:szCs w:val="24"/>
            <w:u w:val="single"/>
            <w:rtl w:val="0"/>
          </w:rPr>
          <w:t xml:space="preserve">https://medium.com/@jonhowardagency/how-i-built-a-creative-operations-workflow-that-powers-exceptional-work-a808dbfa59d4</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Ritual Design Toolkit – A process &amp; toolkit that anyone can use to ..., accessed May 6, 2026, </w:t>
      </w:r>
      <w:hyperlink r:id="rId63">
        <w:r w:rsidDel="00000000" w:rsidR="00000000" w:rsidRPr="00000000">
          <w:rPr>
            <w:rFonts w:ascii="Google Sans" w:cs="Google Sans" w:eastAsia="Google Sans" w:hAnsi="Google Sans"/>
            <w:color w:val="0000ee"/>
            <w:sz w:val="24"/>
            <w:szCs w:val="24"/>
            <w:u w:val="single"/>
            <w:rtl w:val="0"/>
          </w:rPr>
          <w:t xml:space="preserve">https://ritualdesign.net/</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Ritual Design: Crafting Team Rituals for Meaningful Organizational Change - Book, Section, accessed May 6, 2026, </w:t>
      </w:r>
      <w:hyperlink r:id="rId64">
        <w:r w:rsidDel="00000000" w:rsidR="00000000" w:rsidRPr="00000000">
          <w:rPr>
            <w:rFonts w:ascii="Google Sans" w:cs="Google Sans" w:eastAsia="Google Sans" w:hAnsi="Google Sans"/>
            <w:color w:val="0000ee"/>
            <w:sz w:val="24"/>
            <w:szCs w:val="24"/>
            <w:u w:val="single"/>
            <w:rtl w:val="0"/>
          </w:rPr>
          <w:t xml:space="preserve">https://law.stanford.edu/publications/ritual-design-crafting-team-rituals-for-meaningful-organizational-change/</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RITUAL DESIGN CANVAS: CONTEXT CLUSTER (A3), accessed May 6, 2026, </w:t>
      </w:r>
      <w:hyperlink r:id="rId65">
        <w:r w:rsidDel="00000000" w:rsidR="00000000" w:rsidRPr="00000000">
          <w:rPr>
            <w:rFonts w:ascii="Google Sans" w:cs="Google Sans" w:eastAsia="Google Sans" w:hAnsi="Google Sans"/>
            <w:color w:val="0000ee"/>
            <w:sz w:val="24"/>
            <w:szCs w:val="24"/>
            <w:u w:val="single"/>
            <w:rtl w:val="0"/>
          </w:rPr>
          <w:t xml:space="preserve">https://bird-trout-4baa.squarespace.com/s/Ritual-Design-Canvas.pdf</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Approaching a ritual design strategy: Thinking ritually to support an organisational collaboration strategy - University of Otago, accessed May 6, 2026, </w:t>
      </w:r>
      <w:hyperlink r:id="rId66">
        <w:r w:rsidDel="00000000" w:rsidR="00000000" w:rsidRPr="00000000">
          <w:rPr>
            <w:rFonts w:ascii="Google Sans" w:cs="Google Sans" w:eastAsia="Google Sans" w:hAnsi="Google Sans"/>
            <w:color w:val="0000ee"/>
            <w:sz w:val="24"/>
            <w:szCs w:val="24"/>
            <w:u w:val="single"/>
            <w:rtl w:val="0"/>
          </w:rPr>
          <w:t xml:space="preserve">https://ourarchive.otago.ac.nz/esploro/outputs/doctoral/Approaching-a-ritual-design-strategy-Thinking/9926481879001891</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Leadership lessons from the Maestro | by James Marland - Medium, accessed May 6, 2026, </w:t>
      </w:r>
      <w:hyperlink r:id="rId67">
        <w:r w:rsidDel="00000000" w:rsidR="00000000" w:rsidRPr="00000000">
          <w:rPr>
            <w:rFonts w:ascii="Google Sans" w:cs="Google Sans" w:eastAsia="Google Sans" w:hAnsi="Google Sans"/>
            <w:color w:val="0000ee"/>
            <w:sz w:val="24"/>
            <w:szCs w:val="24"/>
            <w:u w:val="single"/>
            <w:rtl w:val="0"/>
          </w:rPr>
          <w:t xml:space="preserve">https://medium.com/@james.marland/leadership-lessons-from-the-maestro-57a700a6098c</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Music Paradigm » Maestro, accessed May 6, 2026, </w:t>
      </w:r>
      <w:hyperlink r:id="rId68">
        <w:r w:rsidDel="00000000" w:rsidR="00000000" w:rsidRPr="00000000">
          <w:rPr>
            <w:rFonts w:ascii="Google Sans" w:cs="Google Sans" w:eastAsia="Google Sans" w:hAnsi="Google Sans"/>
            <w:color w:val="0000ee"/>
            <w:sz w:val="24"/>
            <w:szCs w:val="24"/>
            <w:u w:val="single"/>
            <w:rtl w:val="0"/>
          </w:rPr>
          <w:t xml:space="preserve">https://www.musicparadigm.com/maestro/</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Leadership Maestro - Lead Like the Great Conductors - JULIE MASTERS, accessed May 6, 2026, </w:t>
      </w:r>
      <w:hyperlink r:id="rId69">
        <w:r w:rsidDel="00000000" w:rsidR="00000000" w:rsidRPr="00000000">
          <w:rPr>
            <w:rFonts w:ascii="Google Sans" w:cs="Google Sans" w:eastAsia="Google Sans" w:hAnsi="Google Sans"/>
            <w:color w:val="0000ee"/>
            <w:sz w:val="24"/>
            <w:szCs w:val="24"/>
            <w:u w:val="single"/>
            <w:rtl w:val="0"/>
          </w:rPr>
          <w:t xml:space="preserve">https://juliemasters.com/the-leadership-maestro-lead-like-the-great-conductors/</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maestro myth of managing - Henry Mintzberg, accessed May 6, 2026, </w:t>
      </w:r>
      <w:hyperlink r:id="rId70">
        <w:r w:rsidDel="00000000" w:rsidR="00000000" w:rsidRPr="00000000">
          <w:rPr>
            <w:rFonts w:ascii="Google Sans" w:cs="Google Sans" w:eastAsia="Google Sans" w:hAnsi="Google Sans"/>
            <w:color w:val="0000ee"/>
            <w:sz w:val="24"/>
            <w:szCs w:val="24"/>
            <w:u w:val="single"/>
            <w:rtl w:val="0"/>
          </w:rPr>
          <w:t xml:space="preserve">https://mintzberg.org/blog/conductor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earn.microsoft.com/en-us/azure/architecture/ai-ml/guide/ai-agent-design-patterns" TargetMode="External"/><Relationship Id="rId42" Type="http://schemas.openxmlformats.org/officeDocument/2006/relationships/hyperlink" Target="https://www.mindstudio.ai/blog/what-is-structured-memory-ai-agents" TargetMode="External"/><Relationship Id="rId41" Type="http://schemas.openxmlformats.org/officeDocument/2006/relationships/hyperlink" Target="https://rajuhemanth456.medium.com/top-ai-agentic-workflow-patterns-that-will-lead-in-2026-2468bf088dc6" TargetMode="External"/><Relationship Id="rId44" Type="http://schemas.openxmlformats.org/officeDocument/2006/relationships/hyperlink" Target="https://github.com/FareedKhan-dev/langgraph-long-memory" TargetMode="External"/><Relationship Id="rId43" Type="http://schemas.openxmlformats.org/officeDocument/2006/relationships/hyperlink" Target="https://www.reddit.com/r/Rag/comments/1nfu177/anyone_else_struggling_with_giving_their_ai/" TargetMode="External"/><Relationship Id="rId46" Type="http://schemas.openxmlformats.org/officeDocument/2006/relationships/hyperlink" Target="https://uptrace.dev/glossary/structured-logging" TargetMode="External"/><Relationship Id="rId45" Type="http://schemas.openxmlformats.org/officeDocument/2006/relationships/hyperlink" Target="https://www.dash0.com/guides/json-logg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arborcompliance.com/how-long-does-it-take-to-get-501c3-status" TargetMode="External"/><Relationship Id="rId48" Type="http://schemas.openxmlformats.org/officeDocument/2006/relationships/hyperlink" Target="https://www.loggly.com/use-cases/json-logging-best-practices/" TargetMode="External"/><Relationship Id="rId47" Type="http://schemas.openxmlformats.org/officeDocument/2006/relationships/hyperlink" Target="https://aws.amazon.com/blogs/mt/accelerate-troubleshooting-with-structured-logs-in-amazon-cloudwatch/" TargetMode="External"/><Relationship Id="rId49" Type="http://schemas.openxmlformats.org/officeDocument/2006/relationships/hyperlink" Target="https://github.com/openai/plugins/blob/main/plugins/build-web-apps/skills/stripe-best-practices/references/payments.md" TargetMode="External"/><Relationship Id="rId5" Type="http://schemas.openxmlformats.org/officeDocument/2006/relationships/styles" Target="styles.xml"/><Relationship Id="rId6" Type="http://schemas.openxmlformats.org/officeDocument/2006/relationships/hyperlink" Target="https://www.northwestregisteredagent.com/llc/virginia/foreign-registration" TargetMode="External"/><Relationship Id="rId7" Type="http://schemas.openxmlformats.org/officeDocument/2006/relationships/hyperlink" Target="https://www.wolterskluwer.com/en/solutions/bizfilings/who-we-serve/estimated-state-fees" TargetMode="External"/><Relationship Id="rId8" Type="http://schemas.openxmlformats.org/officeDocument/2006/relationships/hyperlink" Target="https://dashboard.ncleg.gov/api/Services/BillSummary/2025/H517-SMSV-68(e1)-v-2" TargetMode="External"/><Relationship Id="rId31" Type="http://schemas.openxmlformats.org/officeDocument/2006/relationships/hyperlink" Target="https://innovate.unc.edu/resources-overview/" TargetMode="External"/><Relationship Id="rId30" Type="http://schemas.openxmlformats.org/officeDocument/2006/relationships/hyperlink" Target="https://www.ffvcnc.org/business-resources" TargetMode="External"/><Relationship Id="rId33" Type="http://schemas.openxmlformats.org/officeDocument/2006/relationships/hyperlink" Target="https://technical.ly/ecosystems/" TargetMode="External"/><Relationship Id="rId32" Type="http://schemas.openxmlformats.org/officeDocument/2006/relationships/hyperlink" Target="https://www.reddit.com/r/SameGrassButGreener/comments/1n5cayx/from_raleigh_impressed_with_richmond_va/" TargetMode="External"/><Relationship Id="rId35" Type="http://schemas.openxmlformats.org/officeDocument/2006/relationships/hyperlink" Target="https://vipc.org/resources/" TargetMode="External"/><Relationship Id="rId34" Type="http://schemas.openxmlformats.org/officeDocument/2006/relationships/hyperlink" Target="https://startupvirginia.org/" TargetMode="External"/><Relationship Id="rId70" Type="http://schemas.openxmlformats.org/officeDocument/2006/relationships/hyperlink" Target="https://mintzberg.org/blog/conductor" TargetMode="External"/><Relationship Id="rId37" Type="http://schemas.openxmlformats.org/officeDocument/2006/relationships/hyperlink" Target="https://medium.com/@Micheal-Lanham/multi-agent-in-production-in-2026-what-actually-survived-f86de8bb1cd1" TargetMode="External"/><Relationship Id="rId36" Type="http://schemas.openxmlformats.org/officeDocument/2006/relationships/hyperlink" Target="https://www.hatchit.io/why-were-betting-raleigh-nc-will-be-the-east-coasts-second-biggest-tech-hub-by-2025/" TargetMode="External"/><Relationship Id="rId39" Type="http://schemas.openxmlformats.org/officeDocument/2006/relationships/hyperlink" Target="https://beam.ai/agentic-insights/multi-agent-orchestration-patterns-production" TargetMode="External"/><Relationship Id="rId38" Type="http://schemas.openxmlformats.org/officeDocument/2006/relationships/hyperlink" Target="https://www.youtube.com/watch?v=2czYyrTzILg" TargetMode="External"/><Relationship Id="rId62" Type="http://schemas.openxmlformats.org/officeDocument/2006/relationships/hyperlink" Target="https://medium.com/@jonhowardagency/how-i-built-a-creative-operations-workflow-that-powers-exceptional-work-a808dbfa59d4" TargetMode="External"/><Relationship Id="rId61" Type="http://schemas.openxmlformats.org/officeDocument/2006/relationships/hyperlink" Target="https://news.ycombinator.com/item?id=46662307" TargetMode="External"/><Relationship Id="rId20" Type="http://schemas.openxmlformats.org/officeDocument/2006/relationships/hyperlink" Target="https://www.grandviewresearch.com/industry-analysis/spiritual-wellness-apps-market-report" TargetMode="External"/><Relationship Id="rId64" Type="http://schemas.openxmlformats.org/officeDocument/2006/relationships/hyperlink" Target="https://law.stanford.edu/publications/ritual-design-crafting-team-rituals-for-meaningful-organizational-change/" TargetMode="External"/><Relationship Id="rId63" Type="http://schemas.openxmlformats.org/officeDocument/2006/relationships/hyperlink" Target="https://ritualdesign.net/" TargetMode="External"/><Relationship Id="rId22" Type="http://schemas.openxmlformats.org/officeDocument/2006/relationships/hyperlink" Target="https://faithtech.com/" TargetMode="External"/><Relationship Id="rId66" Type="http://schemas.openxmlformats.org/officeDocument/2006/relationships/hyperlink" Target="https://ourarchive.otago.ac.nz/esploro/outputs/doctoral/Approaching-a-ritual-design-strategy-Thinking/9926481879001891" TargetMode="External"/><Relationship Id="rId21" Type="http://schemas.openxmlformats.org/officeDocument/2006/relationships/hyperlink" Target="https://b2b.economictimes.indiatimes.com/news/entrepreneur/the-rise-of-faith-tech-ai-and-astrology-meet-gen-z-demand/125294668" TargetMode="External"/><Relationship Id="rId65" Type="http://schemas.openxmlformats.org/officeDocument/2006/relationships/hyperlink" Target="https://bird-trout-4baa.squarespace.com/s/Ritual-Design-Canvas.pdf" TargetMode="External"/><Relationship Id="rId24" Type="http://schemas.openxmlformats.org/officeDocument/2006/relationships/hyperlink" Target="https://cdn.prod.website-files.com/679167dbc0447fe6c06ad750/68630467a925dd5c16888bfe_The-FaithTech-Playbook.pdf" TargetMode="External"/><Relationship Id="rId68" Type="http://schemas.openxmlformats.org/officeDocument/2006/relationships/hyperlink" Target="https://www.musicparadigm.com/maestro/" TargetMode="External"/><Relationship Id="rId23" Type="http://schemas.openxmlformats.org/officeDocument/2006/relationships/hyperlink" Target="https://www.faithtech.com/about" TargetMode="External"/><Relationship Id="rId67" Type="http://schemas.openxmlformats.org/officeDocument/2006/relationships/hyperlink" Target="https://medium.com/@james.marland/leadership-lessons-from-the-maestro-57a700a6098c" TargetMode="External"/><Relationship Id="rId60" Type="http://schemas.openxmlformats.org/officeDocument/2006/relationships/hyperlink" Target="https://www.markdownguide.org/tools/" TargetMode="External"/><Relationship Id="rId26" Type="http://schemas.openxmlformats.org/officeDocument/2006/relationships/hyperlink" Target="https://www.faithtech.com/playbook" TargetMode="External"/><Relationship Id="rId25" Type="http://schemas.openxmlformats.org/officeDocument/2006/relationships/hyperlink" Target="https://bm.wel.by/2024/06/25/the-faithtech-playbook-a-redemptive-approach-to-tech/" TargetMode="External"/><Relationship Id="rId69" Type="http://schemas.openxmlformats.org/officeDocument/2006/relationships/hyperlink" Target="https://juliemasters.com/the-leadership-maestro-lead-like-the-great-conductors/" TargetMode="External"/><Relationship Id="rId28" Type="http://schemas.openxmlformats.org/officeDocument/2006/relationships/hyperlink" Target="https://www.carolinajournal.com/4-nc-cities-in-top-20-southern-tech-hubs-raleigh-no-3/" TargetMode="External"/><Relationship Id="rId27" Type="http://schemas.openxmlformats.org/officeDocument/2006/relationships/hyperlink" Target="https://workbook.faithtech.com/" TargetMode="External"/><Relationship Id="rId29" Type="http://schemas.openxmlformats.org/officeDocument/2006/relationships/hyperlink" Target="https://startupproject.org/ecosystems/raleigh-durham/" TargetMode="External"/><Relationship Id="rId51" Type="http://schemas.openxmlformats.org/officeDocument/2006/relationships/hyperlink" Target="https://stripe.dev/blog/building-solid-stripe-integrations-developers-guide-success" TargetMode="External"/><Relationship Id="rId50" Type="http://schemas.openxmlformats.org/officeDocument/2006/relationships/hyperlink" Target="https://docs.stripe.com/get-started/development-environment?lang=python" TargetMode="External"/><Relationship Id="rId53" Type="http://schemas.openxmlformats.org/officeDocument/2006/relationships/hyperlink" Target="https://www.sharefile.com/resource/blogs/creative-workflow-management" TargetMode="External"/><Relationship Id="rId52" Type="http://schemas.openxmlformats.org/officeDocument/2006/relationships/hyperlink" Target="https://picflow.com/blog/creative-workflow" TargetMode="External"/><Relationship Id="rId11" Type="http://schemas.openxmlformats.org/officeDocument/2006/relationships/hyperlink" Target="https://www.irs.gov/pub/irs-pdf/i1023ez.pdf" TargetMode="External"/><Relationship Id="rId55" Type="http://schemas.openxmlformats.org/officeDocument/2006/relationships/hyperlink" Target="https://www.buildingasecondbrain.com/para" TargetMode="External"/><Relationship Id="rId10" Type="http://schemas.openxmlformats.org/officeDocument/2006/relationships/hyperlink" Target="https://www.irs.gov/charities-non-profits/charitable-organizations/wheres-my-application-for-tax-exempt-status" TargetMode="External"/><Relationship Id="rId54" Type="http://schemas.openxmlformats.org/officeDocument/2006/relationships/hyperlink" Target="https://teamhood.com/productivity/organize-creative-workflow/" TargetMode="External"/><Relationship Id="rId13" Type="http://schemas.openxmlformats.org/officeDocument/2006/relationships/hyperlink" Target="https://www.fundraisingregistration.com/resources/states-requiring-registration-map.php" TargetMode="External"/><Relationship Id="rId57" Type="http://schemas.openxmlformats.org/officeDocument/2006/relationships/hyperlink" Target="https://fortelabs.com/blog/para/" TargetMode="External"/><Relationship Id="rId12" Type="http://schemas.openxmlformats.org/officeDocument/2006/relationships/hyperlink" Target="https://www.wegnercpas.com/form-1023-and-form-1023-ez-faqs-2/" TargetMode="External"/><Relationship Id="rId56" Type="http://schemas.openxmlformats.org/officeDocument/2006/relationships/hyperlink" Target="https://thomasjfrank.com/productivity/how-to-easily-organize-your-life-with-the-para-method/" TargetMode="External"/><Relationship Id="rId15" Type="http://schemas.openxmlformats.org/officeDocument/2006/relationships/hyperlink" Target="https://www.irs.gov/charities-non-profits/charitable-organizations/charitable-solicitation-state-requirements" TargetMode="External"/><Relationship Id="rId59" Type="http://schemas.openxmlformats.org/officeDocument/2006/relationships/hyperlink" Target="https://dev.to/tumf/sara-a-cli-tool-for-managing-markdown-requirements-with-knowledge-graphs-nco" TargetMode="External"/><Relationship Id="rId14" Type="http://schemas.openxmlformats.org/officeDocument/2006/relationships/hyperlink" Target="https://labyrinthinc.com/state-fundraising-compliance-guide/" TargetMode="External"/><Relationship Id="rId58" Type="http://schemas.openxmlformats.org/officeDocument/2006/relationships/hyperlink" Target="https://www.todoist.com/productivity-methods/para-method" TargetMode="External"/><Relationship Id="rId17" Type="http://schemas.openxmlformats.org/officeDocument/2006/relationships/hyperlink" Target="https://www.pbmares.com/insights-nfp-how-to-register-a-charity-in-virginia-maryland-and-north-carolina/" TargetMode="External"/><Relationship Id="rId16" Type="http://schemas.openxmlformats.org/officeDocument/2006/relationships/hyperlink" Target="https://www.harborcompliance.com/north-carolina-charitable-registration" TargetMode="External"/><Relationship Id="rId19" Type="http://schemas.openxmlformats.org/officeDocument/2006/relationships/hyperlink" Target="https://www.globenewswire.com/news-release/2025/09/22/3153796/28124/en/religious-and-spiritual-products-market-trends-analysis-report-2025-2034-demand-for-sustainable-and-wellness-aligned-offerings-like-cruelty-free-candles-and-eco-friendly-incense-ri.html" TargetMode="External"/><Relationship Id="rId18" Type="http://schemas.openxmlformats.org/officeDocument/2006/relationships/hyperlink" Target="https://www.transparencymarketresearch.com/spiritual-and-wellness-products-marke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