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1c1c" w:val="clear"/>
            <w:tcMar>
              <w:top w:w="200.0" w:type="dxa"/>
              <w:left w:w="320.0" w:type="dxa"/>
              <w:bottom w:w="200.0" w:type="dxa"/>
              <w:right w:w="320.0" w:type="dxa"/>
            </w:tcMar>
          </w:tcPr>
          <w:p w:rsidR="00000000" w:rsidDel="00000000" w:rsidP="00000000" w:rsidRDefault="00000000" w:rsidRPr="00000000" w14:paraId="00000002">
            <w:pPr>
              <w:spacing w:after="160" w:lineRule="auto"/>
              <w:jc w:val="center"/>
              <w:rPr/>
            </w:pPr>
            <w:r w:rsidDel="00000000" w:rsidR="00000000" w:rsidRPr="00000000">
              <w:rPr>
                <w:rFonts w:ascii="Cardo" w:cs="Cardo" w:eastAsia="Cardo" w:hAnsi="Cardo"/>
                <w:color w:val="c9a84c"/>
                <w:sz w:val="17"/>
                <w:szCs w:val="17"/>
                <w:rtl w:val="0"/>
              </w:rPr>
              <w:t xml:space="preserve">⟡  S∆CR3D.ARC∆N∆.STUDIØS  ⟡</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Unicode MS" w:cs="Arial Unicode MS" w:eastAsia="Arial Unicode MS" w:hAnsi="Arial Unicode MS"/>
                <w:b w:val="1"/>
                <w:bCs w:val="1"/>
                <w:color w:val="ffffff"/>
                <w:sz w:val="40"/>
                <w:szCs w:val="40"/>
                <w:rtl w:val="0"/>
              </w:rPr>
              <w:t xml:space="preserve">S∆CR3DSP∆CE: N3UR∆L FOR3ST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b8860b"/>
                <w:sz w:val="26"/>
                <w:szCs w:val="26"/>
                <w:rtl w:val="0"/>
              </w:rPr>
              <w:t xml:space="preserve">GRANT COPY MATRIX</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w:cs="Arial" w:eastAsia="Arial" w:hAnsi="Arial"/>
                <w:i w:val="1"/>
                <w:iCs w:val="1"/>
                <w:color w:val="aaaaaa"/>
                <w:sz w:val="21"/>
                <w:szCs w:val="21"/>
                <w:rtl w:val="0"/>
              </w:rPr>
              <w:t xml:space="preserve">Pre-Written Answers to the 10 Universal Grant Questions</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Fonts w:ascii="Arial" w:cs="Arial" w:eastAsia="Arial" w:hAnsi="Arial"/>
                <w:color w:val="666666"/>
                <w:sz w:val="17"/>
                <w:szCs w:val="17"/>
                <w:rtl w:val="0"/>
              </w:rPr>
              <w:t xml:space="preserve">Council Grove Synthesis  |  Claude · Gemini · ChatGPT  |  2026</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120" w:before="0" w:lineRule="auto"/>
        <w:rPr/>
      </w:pPr>
      <w:r w:rsidDel="00000000" w:rsidR="00000000" w:rsidRPr="00000000">
        <w:rPr>
          <w:rFonts w:ascii="Arial" w:cs="Arial" w:eastAsia="Arial" w:hAnsi="Arial"/>
          <w:b w:val="1"/>
          <w:bCs w:val="1"/>
          <w:color w:val="b8860b"/>
          <w:sz w:val="19"/>
          <w:szCs w:val="19"/>
          <w:rtl w:val="0"/>
        </w:rPr>
        <w:t xml:space="preserve">HOW TO USE THIS MATRIX</w:t>
      </w:r>
      <w:r w:rsidDel="00000000" w:rsidR="00000000" w:rsidRPr="00000000">
        <w:rPr>
          <w:rtl w:val="0"/>
        </w:rPr>
      </w:r>
    </w:p>
    <w:p w:rsidR="00000000" w:rsidDel="00000000" w:rsidP="00000000" w:rsidRDefault="00000000" w:rsidRPr="00000000" w14:paraId="00000009">
      <w:pPr>
        <w:spacing w:after="100" w:before="60" w:lineRule="auto"/>
        <w:rPr/>
      </w:pPr>
      <w:r w:rsidDel="00000000" w:rsidR="00000000" w:rsidRPr="00000000">
        <w:rPr>
          <w:rFonts w:ascii="Arial" w:cs="Arial" w:eastAsia="Arial" w:hAnsi="Arial"/>
          <w:color w:val="3a3a3a"/>
          <w:sz w:val="22"/>
          <w:szCs w:val="22"/>
          <w:rtl w:val="0"/>
        </w:rPr>
        <w:t xml:space="preserve">Each answer below is written in institutional grant language — precise, evidence-grounded, and calibrated for program officer review. Every answer is complete and submission-ready for its funder category. When entering a grant portal, locate the question closest to the Q-label, copy the answer, and adjust only the funder-specific framing (grant program name, submission date, contact name). Do not rewrite from scratch. Assemble from the matrix.</w:t>
      </w:r>
      <w:r w:rsidDel="00000000" w:rsidR="00000000" w:rsidRPr="00000000">
        <w:rPr>
          <w:rtl w:val="0"/>
        </w:rPr>
      </w:r>
    </w:p>
    <w:p w:rsidR="00000000" w:rsidDel="00000000" w:rsidP="00000000" w:rsidRDefault="00000000" w:rsidRPr="00000000" w14:paraId="0000000A">
      <w:pPr>
        <w:spacing w:after="100" w:before="60" w:lineRule="auto"/>
        <w:rPr/>
      </w:pPr>
      <w:r w:rsidDel="00000000" w:rsidR="00000000" w:rsidRPr="00000000">
        <w:rPr>
          <w:rFonts w:ascii="Arial" w:cs="Arial" w:eastAsia="Arial" w:hAnsi="Arial"/>
          <w:color w:val="3a3a3a"/>
          <w:sz w:val="22"/>
          <w:szCs w:val="22"/>
          <w:rtl w:val="0"/>
        </w:rPr>
        <w:t xml:space="preserve">Funder tags at the bottom of each answer indicate which funders weight that question most heavily. Prioritize the tagged funders when customizing. The answer text is valid for all funders unless otherwise noted.</w:t>
      </w:r>
      <w:r w:rsidDel="00000000" w:rsidR="00000000" w:rsidRPr="00000000">
        <w:rPr>
          <w:rtl w:val="0"/>
        </w:rPr>
      </w:r>
    </w:p>
    <w:p w:rsidR="00000000" w:rsidDel="00000000" w:rsidP="00000000" w:rsidRDefault="00000000" w:rsidRPr="00000000" w14:paraId="0000000B">
      <w:pPr>
        <w:pBdr>
          <w:bottom w:color="c9a84c" w:space="1" w:sz="5" w:val="single"/>
        </w:pBdr>
        <w:spacing w:after="180" w:before="1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b8860b"/>
                <w:sz w:val="30"/>
                <w:szCs w:val="30"/>
                <w:rtl w:val="0"/>
              </w:rPr>
              <w:t xml:space="preserve">Q1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0D">
            <w:pPr>
              <w:spacing w:after="60" w:lineRule="auto"/>
              <w:rPr/>
            </w:pPr>
            <w:r w:rsidDel="00000000" w:rsidR="00000000" w:rsidRPr="00000000">
              <w:rPr>
                <w:rFonts w:ascii="Arial" w:cs="Arial" w:eastAsia="Arial" w:hAnsi="Arial"/>
                <w:b w:val="1"/>
                <w:bCs w:val="1"/>
                <w:color w:val="ffffff"/>
                <w:sz w:val="24"/>
                <w:szCs w:val="24"/>
                <w:rtl w:val="0"/>
              </w:rPr>
              <w:t xml:space="preserve">Describe your project. What will you do, and what problem does it address?</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Arial" w:cs="Arial" w:eastAsia="Arial" w:hAnsi="Arial"/>
                <w:i w:val="1"/>
                <w:iCs w:val="1"/>
                <w:color w:val="888888"/>
                <w:sz w:val="18"/>
                <w:szCs w:val="18"/>
                <w:rtl w:val="0"/>
              </w:rPr>
              <w:t xml:space="preserve">Appears as: Project Description / Project Narrative / Project Overview / Program Summary</w:t>
            </w:r>
            <w:r w:rsidDel="00000000" w:rsidR="00000000" w:rsidRPr="00000000">
              <w:rPr>
                <w:rtl w:val="0"/>
              </w:rPr>
            </w:r>
          </w:p>
        </w:tc>
      </w:tr>
    </w:tbl>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Neural Forest is an immersive, AI-integrated ecological environment and community learning platform located in Northampton County, NC. The project constructs a living sanctuary space where ecological design, adaptive artificial intelligence, and STEAM education converge into a single, accessible public installation.</w:t>
      </w: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Arial" w:cs="Arial" w:eastAsia="Arial" w:hAnsi="Arial"/>
          <w:color w:val="3a3a3a"/>
          <w:sz w:val="22"/>
          <w:szCs w:val="22"/>
          <w:rtl w:val="0"/>
        </w:rPr>
        <w:t xml:space="preserve">The problem it addresses is structural: rural communities in historically underserved regions are increasingly excluded from both ecological connection and meaningful AI literacy. Standard digital education programs feel culturally alien to land-based communities. Environmental programs ignore the digital economy. The Neural Forest dissolves this binary by teaching AI systems thinking through the language of ecology — network architecture understood through root systems, data sovereignty framed through land stewardship, adaptive AI experienced through living light and sound.</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color w:val="3a3a3a"/>
          <w:sz w:val="22"/>
          <w:szCs w:val="22"/>
          <w:rtl w:val="0"/>
        </w:rPr>
        <w:t xml:space="preserve">The installation operates simultaneously as a physical ecological environment and a live, open-source AI operating system. Visitor presence triggers sensor inputs; the system queries a semantic knowledge graph (ChromaDB vector database); local AI inference (Ollama, running on-device) generates adaptive environmental responses — changes in light, sound, and atmosphere — that are archived as Memory Motes in a 13-table SQLite database. The feedback loop runs continuously. The environment learns from every interaction.</w:t>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color w:val="3a3a3a"/>
          <w:sz w:val="22"/>
          <w:szCs w:val="22"/>
          <w:rtl w:val="0"/>
        </w:rPr>
        <w:t xml:space="preserve">This is not a passive exhibit. It is a functional Living Field Simulator: a closed-loop system that ingests community input, updates its internal model, and modifies its outputs without human intervention between cycles — while remaining fully transparent, open-source, and replicable by any community with modest hardware.</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NEA, NEH, NSF, USDA, IMLS, Kresge, Mellon</w:t>
      </w:r>
      <w:r w:rsidDel="00000000" w:rsidR="00000000" w:rsidRPr="00000000">
        <w:rPr>
          <w:rtl w:val="0"/>
        </w:rPr>
      </w:r>
    </w:p>
    <w:p w:rsidR="00000000" w:rsidDel="00000000" w:rsidP="00000000" w:rsidRDefault="00000000" w:rsidRPr="00000000" w14:paraId="00000016">
      <w:pPr>
        <w:pBdr>
          <w:bottom w:color="c9a84c" w:space="1" w:sz="5" w:val="single"/>
        </w:pBdr>
        <w:spacing w:after="180" w:before="1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b8860b"/>
                <w:sz w:val="30"/>
                <w:szCs w:val="30"/>
                <w:rtl w:val="0"/>
              </w:rPr>
              <w:t xml:space="preserve">Q2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18">
            <w:pPr>
              <w:spacing w:after="60" w:lineRule="auto"/>
              <w:rPr/>
            </w:pPr>
            <w:r w:rsidDel="00000000" w:rsidR="00000000" w:rsidRPr="00000000">
              <w:rPr>
                <w:rFonts w:ascii="Arial" w:cs="Arial" w:eastAsia="Arial" w:hAnsi="Arial"/>
                <w:b w:val="1"/>
                <w:bCs w:val="1"/>
                <w:color w:val="ffffff"/>
                <w:sz w:val="24"/>
                <w:szCs w:val="24"/>
                <w:rtl w:val="0"/>
              </w:rPr>
              <w:t xml:space="preserve">Who does this project serve? Describe your target community and its needs.</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Arial" w:cs="Arial" w:eastAsia="Arial" w:hAnsi="Arial"/>
                <w:i w:val="1"/>
                <w:iCs w:val="1"/>
                <w:color w:val="888888"/>
                <w:sz w:val="18"/>
                <w:szCs w:val="18"/>
                <w:rtl w:val="0"/>
              </w:rPr>
              <w:t xml:space="preserve">Appears as: Target Population / Community Need / Who Will Benefit / Beneficiaries</w:t>
            </w:r>
            <w:r w:rsidDel="00000000" w:rsidR="00000000" w:rsidRPr="00000000">
              <w:rPr>
                <w:rtl w:val="0"/>
              </w:rPr>
            </w:r>
          </w:p>
        </w:tc>
      </w:tr>
    </w:tbl>
    <w:p w:rsidR="00000000" w:rsidDel="00000000" w:rsidP="00000000" w:rsidRDefault="00000000" w:rsidRPr="00000000" w14:paraId="0000001A">
      <w:pPr>
        <w:spacing w:after="100" w:lineRule="auto"/>
        <w:rPr/>
      </w:pPr>
      <w:r w:rsidDel="00000000" w:rsidR="00000000" w:rsidRPr="00000000">
        <w:rPr>
          <w:rtl w:val="0"/>
        </w:rPr>
      </w:r>
    </w:p>
    <w:p w:rsidR="00000000" w:rsidDel="00000000" w:rsidP="00000000" w:rsidRDefault="00000000" w:rsidRPr="00000000" w14:paraId="0000001B">
      <w:pPr>
        <w:spacing w:after="100" w:before="60" w:lineRule="auto"/>
        <w:rPr/>
      </w:pPr>
      <w:r w:rsidDel="00000000" w:rsidR="00000000" w:rsidRPr="00000000">
        <w:rPr>
          <w:rFonts w:ascii="Arial" w:cs="Arial" w:eastAsia="Arial" w:hAnsi="Arial"/>
          <w:color w:val="3a3a3a"/>
          <w:sz w:val="22"/>
          <w:szCs w:val="22"/>
          <w:rtl w:val="0"/>
        </w:rPr>
        <w:t xml:space="preserve">The primary community served is the rural population of Northampton County, NC and the broader Roanoke-Chowan region — a historically Black, predominantly rural area with limited access to both ecological public spaces and technology education infrastructure. The county's median household income falls significantly below state and national averages, and residents have documented limited access to broadband, maker spaces, and STEAM programming.</w:t>
      </w:r>
      <w:r w:rsidDel="00000000" w:rsidR="00000000" w:rsidRPr="00000000">
        <w:rPr>
          <w:rtl w:val="0"/>
        </w:rPr>
      </w:r>
    </w:p>
    <w:p w:rsidR="00000000" w:rsidDel="00000000" w:rsidP="00000000" w:rsidRDefault="00000000" w:rsidRPr="00000000" w14:paraId="0000001C">
      <w:pPr>
        <w:spacing w:after="100" w:before="60" w:lineRule="auto"/>
        <w:rPr/>
      </w:pPr>
      <w:r w:rsidDel="00000000" w:rsidR="00000000" w:rsidRPr="00000000">
        <w:rPr>
          <w:rFonts w:ascii="Arial" w:cs="Arial" w:eastAsia="Arial" w:hAnsi="Arial"/>
          <w:color w:val="3a3a3a"/>
          <w:sz w:val="22"/>
          <w:szCs w:val="22"/>
          <w:rtl w:val="0"/>
        </w:rPr>
        <w:t xml:space="preserve">Secondary communities served include K–12 students, post-secondary learners, and adult community members across a 120-mile regional network that spans the NC Triangle (Raleigh, Durham, Chapel Hill), Rocky Mount, Greenville NC, and Hampton Roads Virginia. A documented 79-business regional partner network has been mapped and assessed for alignment with the project's nine-pillar community architecture.</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color w:val="3a3a3a"/>
          <w:sz w:val="22"/>
          <w:szCs w:val="22"/>
          <w:rtl w:val="0"/>
        </w:rPr>
        <w:t xml:space="preserve">The need is threefold. First, ecological disconnection: rural communities with land-based heritage are losing active relationship with their natural environments. Second, technology exclusion: AI literacy programs designed in tech hubs do not translate to rural cultural contexts. Third, infrastructure gap: there is no existing regional model for nature-grounded, sovereignty-preserving, community-owned digital education infrastructure.</w:t>
      </w: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rFonts w:ascii="Arial" w:cs="Arial" w:eastAsia="Arial" w:hAnsi="Arial"/>
          <w:color w:val="3a3a3a"/>
          <w:sz w:val="22"/>
          <w:szCs w:val="22"/>
          <w:rtl w:val="0"/>
        </w:rPr>
        <w:t xml:space="preserve">The Neural Forest addresses all three simultaneously — using ecology as the curriculum delivery system, local-sovereign open-source technology as the infrastructure, and the physical sanctuary as the gathering place.</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USDA Rural Development, NEA, NEH, IMLS, Kresge, NC Arts Council</w:t>
      </w:r>
      <w:r w:rsidDel="00000000" w:rsidR="00000000" w:rsidRPr="00000000">
        <w:rPr>
          <w:rtl w:val="0"/>
        </w:rPr>
      </w:r>
    </w:p>
    <w:p w:rsidR="00000000" w:rsidDel="00000000" w:rsidP="00000000" w:rsidRDefault="00000000" w:rsidRPr="00000000" w14:paraId="00000021">
      <w:pPr>
        <w:pBdr>
          <w:bottom w:color="c9a84c" w:space="1" w:sz="5" w:val="single"/>
        </w:pBdr>
        <w:spacing w:after="180" w:before="1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b8860b"/>
                <w:sz w:val="30"/>
                <w:szCs w:val="30"/>
                <w:rtl w:val="0"/>
              </w:rPr>
              <w:t xml:space="preserve">Q3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23">
            <w:pPr>
              <w:spacing w:after="60" w:lineRule="auto"/>
              <w:rPr/>
            </w:pPr>
            <w:r w:rsidDel="00000000" w:rsidR="00000000" w:rsidRPr="00000000">
              <w:rPr>
                <w:rFonts w:ascii="Arial" w:cs="Arial" w:eastAsia="Arial" w:hAnsi="Arial"/>
                <w:b w:val="1"/>
                <w:bCs w:val="1"/>
                <w:color w:val="ffffff"/>
                <w:sz w:val="24"/>
                <w:szCs w:val="24"/>
                <w:rtl w:val="0"/>
              </w:rPr>
              <w:t xml:space="preserve">What are your measurable goals and outcomes? How will you evaluate success?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Arial" w:cs="Arial" w:eastAsia="Arial" w:hAnsi="Arial"/>
                <w:i w:val="1"/>
                <w:iCs w:val="1"/>
                <w:color w:val="888888"/>
                <w:sz w:val="18"/>
                <w:szCs w:val="18"/>
                <w:rtl w:val="0"/>
              </w:rPr>
              <w:t xml:space="preserve">Appears as: Goals &amp; Objectives / Measurable Outcomes / Evaluation Plan / Logic Model</w:t>
            </w:r>
            <w:r w:rsidDel="00000000" w:rsidR="00000000" w:rsidRPr="00000000">
              <w:rPr>
                <w:rtl w:val="0"/>
              </w:rPr>
            </w:r>
          </w:p>
        </w:tc>
      </w:tr>
    </w:tbl>
    <w:p w:rsidR="00000000" w:rsidDel="00000000" w:rsidP="00000000" w:rsidRDefault="00000000" w:rsidRPr="00000000" w14:paraId="00000025">
      <w:pPr>
        <w:spacing w:after="100" w:lineRule="auto"/>
        <w:rPr/>
      </w:pPr>
      <w:r w:rsidDel="00000000" w:rsidR="00000000" w:rsidRPr="00000000">
        <w:rPr>
          <w:rtl w:val="0"/>
        </w:rPr>
      </w:r>
    </w:p>
    <w:p w:rsidR="00000000" w:rsidDel="00000000" w:rsidP="00000000" w:rsidRDefault="00000000" w:rsidRPr="00000000" w14:paraId="00000026">
      <w:pPr>
        <w:spacing w:after="100" w:before="60" w:lineRule="auto"/>
        <w:rPr/>
      </w:pPr>
      <w:r w:rsidDel="00000000" w:rsidR="00000000" w:rsidRPr="00000000">
        <w:rPr>
          <w:rFonts w:ascii="Arial" w:cs="Arial" w:eastAsia="Arial" w:hAnsi="Arial"/>
          <w:color w:val="3a3a3a"/>
          <w:sz w:val="22"/>
          <w:szCs w:val="22"/>
          <w:rtl w:val="0"/>
        </w:rPr>
        <w:t xml:space="preserve">Year 1 (Tier I) — Prototype Activation: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1,000+ documented community interactions with the Neural Forest installation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10+ structured STEAM workshops delivered, curriculum documented and released open-source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Neural Forest v1.0 architecture published to GitHub (TaylorOakey/SacredSpace) — auditable, forkable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First peer-reviewed or conference submission on nature-based AI interaction research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Tier II grant qualification materials submitted to minimum three additional funders</w:t>
      </w:r>
    </w:p>
    <w:p w:rsidR="00000000" w:rsidDel="00000000" w:rsidP="00000000" w:rsidRDefault="00000000" w:rsidRPr="00000000" w14:paraId="0000002C">
      <w:pPr>
        <w:spacing w:after="60" w:lineRule="auto"/>
        <w:rPr/>
      </w:pPr>
      <w:r w:rsidDel="00000000" w:rsidR="00000000" w:rsidRPr="00000000">
        <w:rPr>
          <w:rtl w:val="0"/>
        </w:rPr>
      </w:r>
    </w:p>
    <w:p w:rsidR="00000000" w:rsidDel="00000000" w:rsidP="00000000" w:rsidRDefault="00000000" w:rsidRPr="00000000" w14:paraId="0000002D">
      <w:pPr>
        <w:spacing w:after="100" w:before="60" w:lineRule="auto"/>
        <w:rPr/>
      </w:pPr>
      <w:r w:rsidDel="00000000" w:rsidR="00000000" w:rsidRPr="00000000">
        <w:rPr>
          <w:rFonts w:ascii="Arial" w:cs="Arial" w:eastAsia="Arial" w:hAnsi="Arial"/>
          <w:color w:val="3a3a3a"/>
          <w:sz w:val="22"/>
          <w:szCs w:val="22"/>
          <w:rtl w:val="0"/>
        </w:rPr>
        <w:t xml:space="preserve">Year 2 (Tier II) — Modular Expansion: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First external modular Neural Forest deployment at a community partner site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3+ community organizations operating independent program cohorts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Published interaction research findings with pre/post participant digital literacy assessments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Sacred Little Forest site acquisition research initiated, Northampton County</w:t>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rFonts w:ascii="Arial" w:cs="Arial" w:eastAsia="Arial" w:hAnsi="Arial"/>
          <w:color w:val="3a3a3a"/>
          <w:sz w:val="22"/>
          <w:szCs w:val="22"/>
          <w:rtl w:val="0"/>
        </w:rPr>
        <w:t xml:space="preserve">Year 3 (Tier III) — Network Activation: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3+ linked Neural Forest nodes operating as a distributed sanctuary network</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10+ annual STEAM program cohorts serving documented participant populations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Sacred Little Forest land trust activated under 501(c)(3) stewardship</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Open-source replication guide published — enabling any community to deploy a node independently</w:t>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Arial" w:cs="Arial" w:eastAsia="Arial" w:hAnsi="Arial"/>
          <w:color w:val="3a3a3a"/>
          <w:sz w:val="22"/>
          <w:szCs w:val="22"/>
          <w:rtl w:val="0"/>
        </w:rPr>
        <w:t xml:space="preserve">Evaluation methodology: Quarterly milestone reports published to GitHub. Pre/post digital literacy assessments for all workshop participants. Annual community impact survey. All data stored in the sovereign local archive and available for funder review on request.</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All funders — required universally</w:t>
      </w:r>
      <w:r w:rsidDel="00000000" w:rsidR="00000000" w:rsidRPr="00000000">
        <w:rPr>
          <w:rtl w:val="0"/>
        </w:rPr>
      </w:r>
    </w:p>
    <w:p w:rsidR="00000000" w:rsidDel="00000000" w:rsidP="00000000" w:rsidRDefault="00000000" w:rsidRPr="00000000" w14:paraId="0000003C">
      <w:pPr>
        <w:pBdr>
          <w:bottom w:color="c9a84c" w:space="1" w:sz="5" w:val="single"/>
        </w:pBdr>
        <w:spacing w:after="180" w:before="1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b8860b"/>
                <w:sz w:val="30"/>
                <w:szCs w:val="30"/>
                <w:rtl w:val="0"/>
              </w:rPr>
              <w:t xml:space="preserve">Q4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3E">
            <w:pPr>
              <w:spacing w:after="60" w:lineRule="auto"/>
              <w:rPr/>
            </w:pPr>
            <w:r w:rsidDel="00000000" w:rsidR="00000000" w:rsidRPr="00000000">
              <w:rPr>
                <w:rFonts w:ascii="Arial" w:cs="Arial" w:eastAsia="Arial" w:hAnsi="Arial"/>
                <w:b w:val="1"/>
                <w:bCs w:val="1"/>
                <w:color w:val="ffffff"/>
                <w:sz w:val="24"/>
                <w:szCs w:val="24"/>
                <w:rtl w:val="0"/>
              </w:rPr>
              <w:t xml:space="preserve">Describe your organization's qualifications. Why are you positioned to do this work?</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Arial" w:cs="Arial" w:eastAsia="Arial" w:hAnsi="Arial"/>
                <w:i w:val="1"/>
                <w:iCs w:val="1"/>
                <w:color w:val="888888"/>
                <w:sz w:val="18"/>
                <w:szCs w:val="18"/>
                <w:rtl w:val="0"/>
              </w:rPr>
              <w:t xml:space="preserve">Appears as: Organizational Capacity / Applicant Qualifications / Who You Are / Track Record</w:t>
            </w:r>
            <w:r w:rsidDel="00000000" w:rsidR="00000000" w:rsidRPr="00000000">
              <w:rPr>
                <w:rtl w:val="0"/>
              </w:rPr>
            </w:r>
          </w:p>
        </w:tc>
      </w:tr>
    </w:tbl>
    <w:p w:rsidR="00000000" w:rsidDel="00000000" w:rsidP="00000000" w:rsidRDefault="00000000" w:rsidRPr="00000000" w14:paraId="00000040">
      <w:pPr>
        <w:spacing w:after="100" w:lineRule="auto"/>
        <w:rPr/>
      </w:pPr>
      <w:r w:rsidDel="00000000" w:rsidR="00000000" w:rsidRPr="00000000">
        <w:rPr>
          <w:rtl w:val="0"/>
        </w:rPr>
      </w:r>
    </w:p>
    <w:p w:rsidR="00000000" w:rsidDel="00000000" w:rsidP="00000000" w:rsidRDefault="00000000" w:rsidRPr="00000000" w14:paraId="00000041">
      <w:pPr>
        <w:spacing w:after="100" w:before="60" w:lineRule="auto"/>
        <w:rPr/>
      </w:pPr>
      <w:r w:rsidDel="00000000" w:rsidR="00000000" w:rsidRPr="00000000">
        <w:rPr>
          <w:rFonts w:ascii="Arial" w:cs="Arial" w:eastAsia="Arial" w:hAnsi="Arial"/>
          <w:color w:val="3a3a3a"/>
          <w:sz w:val="22"/>
          <w:szCs w:val="22"/>
          <w:rtl w:val="0"/>
        </w:rPr>
        <w:t xml:space="preserve">SacredSpace Sanctuary is a 501(c)(3) nonprofit operating a dual-entity architecture with SacredArcana Studios LLC as its commercial and IP-development arm. The founding director, Taylor Oakey, brings 15+ years of operations, logistics, and team leadership experience alongside current enrollment in an AAS in AI Engineering program — simultaneously building the production system the Neural Forest runs on.</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Fonts w:ascii="Arial" w:cs="Arial" w:eastAsia="Arial" w:hAnsi="Arial"/>
          <w:color w:val="3a3a3a"/>
          <w:sz w:val="22"/>
          <w:szCs w:val="22"/>
          <w:rtl w:val="0"/>
        </w:rPr>
        <w:t xml:space="preserve">The technical infrastructure is not theoretical. As of April 2026, the following services are confirmed live and operational on sovereign local hardware: Redis message bus (:6379), ChromaDB vector knowledge store (:8000), Ollama local AI inference (:11434), and FastAPI orchestration spine with seven active routes (:8888). The complete codebase is publicly documented at github.com/TaylorOakey/SacredSpace — 36 files, 9,852 insertions, version-controlled and auditable by any reviewer.</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Arial" w:cs="Arial" w:eastAsia="Arial" w:hAnsi="Arial"/>
          <w:color w:val="3a3a3a"/>
          <w:sz w:val="22"/>
          <w:szCs w:val="22"/>
          <w:rtl w:val="0"/>
        </w:rPr>
        <w:t xml:space="preserve">The project has an eight-year documented development lineage: 2018–2022 conceptual and artistic development (large-format ecological paintings now serving as architectural concept art), 2023–2024 systems architecture and technical build, 2025 prototype deployment, 2026 grant partnership phase. A 176-note Obsidian knowledge vault constitutes the institutional memory of this development arc.</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Arial" w:cs="Arial" w:eastAsia="Arial" w:hAnsi="Arial"/>
          <w:color w:val="3a3a3a"/>
          <w:sz w:val="22"/>
          <w:szCs w:val="22"/>
          <w:rtl w:val="0"/>
        </w:rPr>
        <w:t xml:space="preserve">The proposal itself was developed through a documented Council Grove tri-model synthesis: Claude (Reasoning), Gemini (Deep Research), and ChatGPT (Systems Architect) independently validated identical structural priorities — an internal quality assurance process that demonstrates the same multi-agent deliberative methodology the curriculum proposes to teach.</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All funders — required universally</w:t>
      </w:r>
      <w:r w:rsidDel="00000000" w:rsidR="00000000" w:rsidRPr="00000000">
        <w:rPr>
          <w:rtl w:val="0"/>
        </w:rPr>
      </w:r>
    </w:p>
    <w:p w:rsidR="00000000" w:rsidDel="00000000" w:rsidP="00000000" w:rsidRDefault="00000000" w:rsidRPr="00000000" w14:paraId="00000047">
      <w:pPr>
        <w:pBdr>
          <w:bottom w:color="c9a84c" w:space="1" w:sz="5" w:val="single"/>
        </w:pBdr>
        <w:spacing w:after="180" w:before="1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b8860b"/>
                <w:sz w:val="30"/>
                <w:szCs w:val="30"/>
                <w:rtl w:val="0"/>
              </w:rPr>
              <w:t xml:space="preserve">Q5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49">
            <w:pPr>
              <w:spacing w:after="60" w:lineRule="auto"/>
              <w:rPr/>
            </w:pPr>
            <w:r w:rsidDel="00000000" w:rsidR="00000000" w:rsidRPr="00000000">
              <w:rPr>
                <w:rFonts w:ascii="Arial" w:cs="Arial" w:eastAsia="Arial" w:hAnsi="Arial"/>
                <w:b w:val="1"/>
                <w:bCs w:val="1"/>
                <w:color w:val="ffffff"/>
                <w:sz w:val="24"/>
                <w:szCs w:val="24"/>
                <w:rtl w:val="0"/>
              </w:rPr>
              <w:t xml:space="preserve">What is your budget and how will grant funds be used?</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Arial" w:cs="Arial" w:eastAsia="Arial" w:hAnsi="Arial"/>
                <w:i w:val="1"/>
                <w:iCs w:val="1"/>
                <w:color w:val="888888"/>
                <w:sz w:val="18"/>
                <w:szCs w:val="18"/>
                <w:rtl w:val="0"/>
              </w:rPr>
              <w:t xml:space="preserve">Appears as: Budget Narrative / Use of Funds / Financial Plan / Budget Justification</w:t>
            </w:r>
            <w:r w:rsidDel="00000000" w:rsidR="00000000" w:rsidRPr="00000000">
              <w:rPr>
                <w:rtl w:val="0"/>
              </w:rPr>
            </w:r>
          </w:p>
        </w:tc>
      </w:tr>
    </w:tbl>
    <w:p w:rsidR="00000000" w:rsidDel="00000000" w:rsidP="00000000" w:rsidRDefault="00000000" w:rsidRPr="00000000" w14:paraId="0000004B">
      <w:pPr>
        <w:spacing w:after="100" w:lineRule="auto"/>
        <w:rPr/>
      </w:pP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Fonts w:ascii="Arial" w:cs="Arial" w:eastAsia="Arial" w:hAnsi="Arial"/>
          <w:color w:val="3a3a3a"/>
          <w:sz w:val="22"/>
          <w:szCs w:val="22"/>
          <w:rtl w:val="0"/>
        </w:rPr>
        <w:t xml:space="preserve">The Neural Forest operates on a zero-API-cost open-source infrastructure stack. There are no recurring enterprise software licenses, no cloud computing fees, and no vendor subscription costs. This structural feature means grant funds are directed almost entirely toward community programming, physical installation, and educational development — not toward maintaining technology access.</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84c" w:space="0" w:sz="8" w:val="single"/>
              <w:bottom w:color="000000" w:space="0" w:sz="0" w:val="nil"/>
              <w:right w:color="000000" w:space="0" w:sz="0" w:val="nil"/>
            </w:tcBorders>
            <w:shd w:fill="f8f4ed" w:val="clear"/>
            <w:tcMar>
              <w:top w:w="160.0" w:type="dxa"/>
              <w:left w:w="280.0" w:type="dxa"/>
              <w:bottom w:w="160.0" w:type="dxa"/>
              <w:right w:w="280.0" w:type="dxa"/>
            </w:tcMar>
          </w:tcPr>
          <w:p w:rsidR="00000000" w:rsidDel="00000000" w:rsidP="00000000" w:rsidRDefault="00000000" w:rsidRPr="00000000" w14:paraId="0000004E">
            <w:pPr>
              <w:spacing w:after="100" w:lineRule="auto"/>
              <w:rPr/>
            </w:pPr>
            <w:r w:rsidDel="00000000" w:rsidR="00000000" w:rsidRPr="00000000">
              <w:rPr>
                <w:rFonts w:ascii="Arial" w:cs="Arial" w:eastAsia="Arial" w:hAnsi="Arial"/>
                <w:b w:val="1"/>
                <w:bCs w:val="1"/>
                <w:color w:val="2b4d1e"/>
                <w:sz w:val="19"/>
                <w:szCs w:val="19"/>
                <w:rtl w:val="0"/>
              </w:rPr>
              <w:t xml:space="preserve">TIER I ($25K–$50K) — PRIMARY USE OF FUNDS</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Arial" w:cs="Arial" w:eastAsia="Arial" w:hAnsi="Arial"/>
                <w:b w:val="1"/>
                <w:bCs w:val="1"/>
                <w:color w:val="3a3a3a"/>
                <w:sz w:val="19"/>
                <w:szCs w:val="19"/>
                <w:rtl w:val="0"/>
              </w:rPr>
              <w:t xml:space="preserve">Physical installation hardening (40%):  </w:t>
            </w:r>
            <w:r w:rsidDel="00000000" w:rsidR="00000000" w:rsidRPr="00000000">
              <w:rPr>
                <w:rFonts w:ascii="Arial" w:cs="Arial" w:eastAsia="Arial" w:hAnsi="Arial"/>
                <w:color w:val="3a3a3a"/>
                <w:sz w:val="19"/>
                <w:szCs w:val="19"/>
                <w:rtl w:val="0"/>
              </w:rPr>
              <w:t xml:space="preserve">Environmental sensor array, ecological elements, spatial lighting infrastructure</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Arial" w:cs="Arial" w:eastAsia="Arial" w:hAnsi="Arial"/>
                <w:b w:val="1"/>
                <w:bCs w:val="1"/>
                <w:color w:val="3a3a3a"/>
                <w:sz w:val="19"/>
                <w:szCs w:val="19"/>
                <w:rtl w:val="0"/>
              </w:rPr>
              <w:t xml:space="preserve">Curriculum development (30%):  </w:t>
            </w:r>
            <w:r w:rsidDel="00000000" w:rsidR="00000000" w:rsidRPr="00000000">
              <w:rPr>
                <w:rFonts w:ascii="Arial" w:cs="Arial" w:eastAsia="Arial" w:hAnsi="Arial"/>
                <w:color w:val="3a3a3a"/>
                <w:sz w:val="19"/>
                <w:szCs w:val="19"/>
                <w:rtl w:val="0"/>
              </w:rPr>
              <w:t xml:space="preserve">STEAM workshop design, facilitator training, open-source documentation</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Arial" w:cs="Arial" w:eastAsia="Arial" w:hAnsi="Arial"/>
                <w:b w:val="1"/>
                <w:bCs w:val="1"/>
                <w:color w:val="3a3a3a"/>
                <w:sz w:val="19"/>
                <w:szCs w:val="19"/>
                <w:rtl w:val="0"/>
              </w:rPr>
              <w:t xml:space="preserve">501(c)(3) operational formation (15%):  </w:t>
            </w:r>
            <w:r w:rsidDel="00000000" w:rsidR="00000000" w:rsidRPr="00000000">
              <w:rPr>
                <w:rFonts w:ascii="Arial" w:cs="Arial" w:eastAsia="Arial" w:hAnsi="Arial"/>
                <w:color w:val="3a3a3a"/>
                <w:sz w:val="19"/>
                <w:szCs w:val="19"/>
                <w:rtl w:val="0"/>
              </w:rPr>
              <w:t xml:space="preserve">Legal, board formation, compliance, restricted fund account establishment</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Arial" w:cs="Arial" w:eastAsia="Arial" w:hAnsi="Arial"/>
                <w:b w:val="1"/>
                <w:bCs w:val="1"/>
                <w:color w:val="3a3a3a"/>
                <w:sz w:val="19"/>
                <w:szCs w:val="19"/>
                <w:rtl w:val="0"/>
              </w:rPr>
              <w:t xml:space="preserve">Community outreach &amp; partnership activation (15%):  </w:t>
            </w:r>
            <w:r w:rsidDel="00000000" w:rsidR="00000000" w:rsidRPr="00000000">
              <w:rPr>
                <w:rFonts w:ascii="Arial" w:cs="Arial" w:eastAsia="Arial" w:hAnsi="Arial"/>
                <w:color w:val="3a3a3a"/>
                <w:sz w:val="19"/>
                <w:szCs w:val="19"/>
                <w:rtl w:val="0"/>
              </w:rPr>
              <w:t xml:space="preserve">Regional partner engagement across 79-organization documented network</w:t>
            </w:r>
            <w:r w:rsidDel="00000000" w:rsidR="00000000" w:rsidRPr="00000000">
              <w:rPr>
                <w:rtl w:val="0"/>
              </w:rPr>
            </w:r>
          </w:p>
        </w:tc>
      </w:tr>
    </w:tbl>
    <w:p w:rsidR="00000000" w:rsidDel="00000000" w:rsidP="00000000" w:rsidRDefault="00000000" w:rsidRPr="00000000" w14:paraId="00000053">
      <w:pPr>
        <w:spacing w:after="100" w:lineRule="auto"/>
        <w:rPr/>
      </w:pP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Fonts w:ascii="Arial" w:cs="Arial" w:eastAsia="Arial" w:hAnsi="Arial"/>
          <w:color w:val="3a3a3a"/>
          <w:sz w:val="22"/>
          <w:szCs w:val="22"/>
          <w:rtl w:val="0"/>
        </w:rPr>
        <w:t xml:space="preserve">The commercial arm (SacredArcana Studios LLC) contributes independently through a formal 22% net-profit pledge to the nonprofit land acquisition reserve. Grant funds from institutional partners are therefore additive to an existing revenue structure — not the sole source of operating capital. This financial architecture ensures the work continues between grant cycles.</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All funders — required universally</w:t>
      </w:r>
      <w:r w:rsidDel="00000000" w:rsidR="00000000" w:rsidRPr="00000000">
        <w:rPr>
          <w:rtl w:val="0"/>
        </w:rPr>
      </w:r>
    </w:p>
    <w:p w:rsidR="00000000" w:rsidDel="00000000" w:rsidP="00000000" w:rsidRDefault="00000000" w:rsidRPr="00000000" w14:paraId="00000057">
      <w:pPr>
        <w:pBdr>
          <w:bottom w:color="c9a84c" w:space="1" w:sz="5" w:val="single"/>
        </w:pBdr>
        <w:spacing w:after="180" w:before="1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b8860b"/>
                <w:sz w:val="30"/>
                <w:szCs w:val="30"/>
                <w:rtl w:val="0"/>
              </w:rPr>
              <w:t xml:space="preserve">Q6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59">
            <w:pPr>
              <w:spacing w:after="60" w:lineRule="auto"/>
              <w:rPr/>
            </w:pPr>
            <w:r w:rsidDel="00000000" w:rsidR="00000000" w:rsidRPr="00000000">
              <w:rPr>
                <w:rFonts w:ascii="Arial" w:cs="Arial" w:eastAsia="Arial" w:hAnsi="Arial"/>
                <w:b w:val="1"/>
                <w:bCs w:val="1"/>
                <w:color w:val="ffffff"/>
                <w:sz w:val="24"/>
                <w:szCs w:val="24"/>
                <w:rtl w:val="0"/>
              </w:rPr>
              <w:t xml:space="preserve">How is this project sustainable beyond the grant period?</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Arial" w:cs="Arial" w:eastAsia="Arial" w:hAnsi="Arial"/>
                <w:i w:val="1"/>
                <w:iCs w:val="1"/>
                <w:color w:val="888888"/>
                <w:sz w:val="18"/>
                <w:szCs w:val="18"/>
                <w:rtl w:val="0"/>
              </w:rPr>
              <w:t xml:space="preserve">Appears as: Sustainability Plan / Long-Term Viability / Financial Sustainability / Continuation Plan</w:t>
            </w: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S∆CR3DSP∆CE is designed from the ground up to resist the structural failure mode of grant-dependent projects. Three systems guarantee post-grant sustainability:</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spacing w:after="100" w:before="60" w:lineRule="auto"/>
        <w:rPr/>
      </w:pPr>
      <w:r w:rsidDel="00000000" w:rsidR="00000000" w:rsidRPr="00000000">
        <w:rPr>
          <w:rFonts w:ascii="Arial Unicode MS" w:cs="Arial Unicode MS" w:eastAsia="Arial Unicode MS" w:hAnsi="Arial Unicode MS"/>
          <w:color w:val="3a3a3a"/>
          <w:sz w:val="22"/>
          <w:szCs w:val="22"/>
          <w:rtl w:val="0"/>
        </w:rPr>
        <w:t xml:space="preserve">1. The Commercial Engine. SacredArcana Studios LLC operates a four-circle revenue model generating independent income: free education (trust building) → digital artifacts ($8–$45) → premium memberships and consulting ($88–$333) → high-ticket workshops and commissions ($333+). A formal 22% net-profit pledge routes commercial revenue directly into the nonprofit land acquisition reserve annually. The longer the project runs, the more self-capitalizing it becomes.</w:t>
      </w: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rFonts w:ascii="Arial" w:cs="Arial" w:eastAsia="Arial" w:hAnsi="Arial"/>
          <w:color w:val="3a3a3a"/>
          <w:sz w:val="22"/>
          <w:szCs w:val="22"/>
          <w:rtl w:val="0"/>
        </w:rPr>
        <w:t xml:space="preserve">2. The Open-Source Replication Model. Because the entire technical stack is free, open-source, and publicly documented on GitHub, the program can be replicated by any community organization with a modest hardware investment. This means the sanctuary network grows through replication rather than through central-organization expansion — each new node is self-sustaining from deployment.</w:t>
      </w: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Fonts w:ascii="Arial" w:cs="Arial" w:eastAsia="Arial" w:hAnsi="Arial"/>
          <w:color w:val="3a3a3a"/>
          <w:sz w:val="22"/>
          <w:szCs w:val="22"/>
          <w:rtl w:val="0"/>
        </w:rPr>
        <w:t xml:space="preserve">3. The Sovereignty Layer. The knowledge infrastructure — 176-note Obsidian vault, SQLite canonical archive, ChromaDB vector knowledge graph — is stored on sovereign local hardware under a canonical governance protocol. It is explicitly designed to be inheritable across leadership transitions and hardware generations. The Sacred Little Forest land trust, held by the 501(c)(3), ensures the physical anchor of the sanctuary is permanently protected from sale or dissolution.</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All funders — universally required; critical for USDA, IMLS, Mellon, Kresge</w:t>
      </w:r>
      <w:r w:rsidDel="00000000" w:rsidR="00000000" w:rsidRPr="00000000">
        <w:rPr>
          <w:rtl w:val="0"/>
        </w:rPr>
      </w:r>
    </w:p>
    <w:p w:rsidR="00000000" w:rsidDel="00000000" w:rsidP="00000000" w:rsidRDefault="00000000" w:rsidRPr="00000000" w14:paraId="00000063">
      <w:pPr>
        <w:pBdr>
          <w:bottom w:color="c9a84c" w:space="1" w:sz="5" w:val="single"/>
        </w:pBdr>
        <w:spacing w:after="180" w:before="1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b8860b"/>
                <w:sz w:val="30"/>
                <w:szCs w:val="30"/>
                <w:rtl w:val="0"/>
              </w:rPr>
              <w:t xml:space="preserve">Q7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65">
            <w:pPr>
              <w:spacing w:after="60" w:lineRule="auto"/>
              <w:rPr/>
            </w:pPr>
            <w:r w:rsidDel="00000000" w:rsidR="00000000" w:rsidRPr="00000000">
              <w:rPr>
                <w:rFonts w:ascii="Arial" w:cs="Arial" w:eastAsia="Arial" w:hAnsi="Arial"/>
                <w:b w:val="1"/>
                <w:bCs w:val="1"/>
                <w:color w:val="ffffff"/>
                <w:sz w:val="24"/>
                <w:szCs w:val="24"/>
                <w:rtl w:val="0"/>
              </w:rPr>
              <w:t xml:space="preserve">How does this project advance equity, diversity, and inclusion?</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Arial" w:cs="Arial" w:eastAsia="Arial" w:hAnsi="Arial"/>
                <w:i w:val="1"/>
                <w:iCs w:val="1"/>
                <w:color w:val="888888"/>
                <w:sz w:val="18"/>
                <w:szCs w:val="18"/>
                <w:rtl w:val="0"/>
              </w:rPr>
              <w:t xml:space="preserve">Appears as: Equity Statement / DEI / Community Equity / Access &amp; Inclusion / Justice-Centered Practice</w:t>
            </w:r>
            <w:r w:rsidDel="00000000" w:rsidR="00000000" w:rsidRPr="00000000">
              <w:rPr>
                <w:rtl w:val="0"/>
              </w:rPr>
            </w:r>
          </w:p>
        </w:tc>
      </w:tr>
    </w:tbl>
    <w:p w:rsidR="00000000" w:rsidDel="00000000" w:rsidP="00000000" w:rsidRDefault="00000000" w:rsidRPr="00000000" w14:paraId="00000067">
      <w:pPr>
        <w:spacing w:after="100" w:lineRule="auto"/>
        <w:rPr/>
      </w:pP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Fonts w:ascii="Arial" w:cs="Arial" w:eastAsia="Arial" w:hAnsi="Arial"/>
          <w:color w:val="3a3a3a"/>
          <w:sz w:val="22"/>
          <w:szCs w:val="22"/>
          <w:rtl w:val="0"/>
        </w:rPr>
        <w:t xml:space="preserve">The Neural Forest is equity infrastructure by design, not by addition. Four structural features constitute its equity architecture: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spacing w:after="100" w:before="60" w:lineRule="auto"/>
        <w:rPr/>
      </w:pPr>
      <w:r w:rsidDel="00000000" w:rsidR="00000000" w:rsidRPr="00000000">
        <w:rPr>
          <w:rFonts w:ascii="Arial" w:cs="Arial" w:eastAsia="Arial" w:hAnsi="Arial"/>
          <w:color w:val="3a3a3a"/>
          <w:sz w:val="22"/>
          <w:szCs w:val="22"/>
          <w:rtl w:val="0"/>
        </w:rPr>
        <w:t xml:space="preserve">Geographic equity: The project is explicitly sited in Northampton County, NC — a rural, historically Black, economically underserved community that has been systematically excluded from both technology investment and ecological public space development. The sanctuary is not brought to this community as a benevolent outside program. It grows from the community's land, partnerships, and cultural heritage.</w:t>
      </w:r>
      <w:r w:rsidDel="00000000" w:rsidR="00000000" w:rsidRPr="00000000">
        <w:rPr>
          <w:rtl w:val="0"/>
        </w:rPr>
      </w:r>
    </w:p>
    <w:p w:rsidR="00000000" w:rsidDel="00000000" w:rsidP="00000000" w:rsidRDefault="00000000" w:rsidRPr="00000000" w14:paraId="0000006B">
      <w:pPr>
        <w:spacing w:after="100" w:before="60" w:lineRule="auto"/>
        <w:rPr/>
      </w:pPr>
      <w:r w:rsidDel="00000000" w:rsidR="00000000" w:rsidRPr="00000000">
        <w:rPr>
          <w:rFonts w:ascii="Arial" w:cs="Arial" w:eastAsia="Arial" w:hAnsi="Arial"/>
          <w:color w:val="3a3a3a"/>
          <w:sz w:val="22"/>
          <w:szCs w:val="22"/>
          <w:rtl w:val="0"/>
        </w:rPr>
        <w:t xml:space="preserve">Access equity: Participation in the Neural Forest requires no prior technical knowledge, no device, no subscription, and no fee. The ecological interface is the point of entry. Community members who have never interacted with AI engage meaningfully through the physical environment — light, sound, atmosphere — without needing to understand the underlying system.</w:t>
      </w:r>
      <w:r w:rsidDel="00000000" w:rsidR="00000000" w:rsidRPr="00000000">
        <w:rPr>
          <w:rtl w:val="0"/>
        </w:rPr>
      </w:r>
    </w:p>
    <w:p w:rsidR="00000000" w:rsidDel="00000000" w:rsidP="00000000" w:rsidRDefault="00000000" w:rsidRPr="00000000" w14:paraId="0000006C">
      <w:pPr>
        <w:spacing w:after="100" w:before="60" w:lineRule="auto"/>
        <w:rPr/>
      </w:pPr>
      <w:r w:rsidDel="00000000" w:rsidR="00000000" w:rsidRPr="00000000">
        <w:rPr>
          <w:rFonts w:ascii="Arial" w:cs="Arial" w:eastAsia="Arial" w:hAnsi="Arial"/>
          <w:color w:val="3a3a3a"/>
          <w:sz w:val="22"/>
          <w:szCs w:val="22"/>
          <w:rtl w:val="0"/>
        </w:rPr>
        <w:t xml:space="preserve">Data sovereignty equity: No participant data is transmitted to external servers, used to train proprietary AI models, or sold to third parties. This is a structural guarantee enforced by the open-source local infrastructure — not a policy statement that depends on corporate goodwill. In communities that have historically had their data extracted without consent, this distinction is material.</w:t>
      </w: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Fonts w:ascii="Arial" w:cs="Arial" w:eastAsia="Arial" w:hAnsi="Arial"/>
          <w:color w:val="3a3a3a"/>
          <w:sz w:val="22"/>
          <w:szCs w:val="22"/>
          <w:rtl w:val="0"/>
        </w:rPr>
        <w:t xml:space="preserve">Cultural equity: The Digital Hybrid Multimedia methodology — human-origin creative work extended through AI tools — treats community members as authors and creators, not users. The curriculum is grounded in ecological and ancestral knowledge systems native to the Southside Virginia and NC Roanoke-Chowan region, not imported from a tech hub.</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NEA, NEH, Kresge, Mellon, Surdna, Ford, NC Arts Council — high weight</w:t>
      </w:r>
      <w:r w:rsidDel="00000000" w:rsidR="00000000" w:rsidRPr="00000000">
        <w:rPr>
          <w:rtl w:val="0"/>
        </w:rPr>
      </w:r>
    </w:p>
    <w:p w:rsidR="00000000" w:rsidDel="00000000" w:rsidP="00000000" w:rsidRDefault="00000000" w:rsidRPr="00000000" w14:paraId="00000070">
      <w:pPr>
        <w:pBdr>
          <w:bottom w:color="c9a84c" w:space="1" w:sz="5" w:val="single"/>
        </w:pBdr>
        <w:spacing w:after="180" w:before="1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b8860b"/>
                <w:sz w:val="30"/>
                <w:szCs w:val="30"/>
                <w:rtl w:val="0"/>
              </w:rPr>
              <w:t xml:space="preserve">Q8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72">
            <w:pPr>
              <w:spacing w:after="60" w:lineRule="auto"/>
              <w:rPr/>
            </w:pPr>
            <w:r w:rsidDel="00000000" w:rsidR="00000000" w:rsidRPr="00000000">
              <w:rPr>
                <w:rFonts w:ascii="Arial" w:cs="Arial" w:eastAsia="Arial" w:hAnsi="Arial"/>
                <w:b w:val="1"/>
                <w:bCs w:val="1"/>
                <w:color w:val="ffffff"/>
                <w:sz w:val="24"/>
                <w:szCs w:val="24"/>
                <w:rtl w:val="0"/>
              </w:rPr>
              <w:t xml:space="preserve">Describe your partnerships. Who else is involved and what is their role?</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Arial" w:cs="Arial" w:eastAsia="Arial" w:hAnsi="Arial"/>
                <w:i w:val="1"/>
                <w:iCs w:val="1"/>
                <w:color w:val="888888"/>
                <w:sz w:val="18"/>
                <w:szCs w:val="18"/>
                <w:rtl w:val="0"/>
              </w:rPr>
              <w:t xml:space="preserve">Appears as: Partnerships &amp; Collaborations / Key Stakeholders / Community Partnerships / Letters of Support</w:t>
            </w:r>
            <w:r w:rsidDel="00000000" w:rsidR="00000000" w:rsidRPr="00000000">
              <w:rPr>
                <w:rtl w:val="0"/>
              </w:rPr>
            </w:r>
          </w:p>
        </w:tc>
      </w:tr>
    </w:tbl>
    <w:p w:rsidR="00000000" w:rsidDel="00000000" w:rsidP="00000000" w:rsidRDefault="00000000" w:rsidRPr="00000000" w14:paraId="00000074">
      <w:pPr>
        <w:spacing w:after="100" w:lineRule="auto"/>
        <w:rPr/>
      </w:pP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rPr>
          <w:rFonts w:ascii="Arial" w:cs="Arial" w:eastAsia="Arial" w:hAnsi="Arial"/>
          <w:color w:val="3a3a3a"/>
          <w:sz w:val="22"/>
          <w:szCs w:val="22"/>
          <w:rtl w:val="0"/>
        </w:rPr>
        <w:t xml:space="preserve">A 79-organization regional partner network has been documented and assessed across a 120-mile radius of Northampton County, NC, spanning four geographic zones: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NC Triangle (Raleigh, Durham, Chapel Hill, Cary): Makerspaces, youth coding programs, gallery spaces, university community engagement offices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Rocky Mount / Greenville NC: Cultural arts organizations, botanical nurseries, community entrepreneurship hubs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Hampton Roads Virginia (Norfolk, Chesapeake, Hampton, Virginia Beach): Recording studios, metaphysical and cultural arts spaces, screen printers, youth creative programs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40" w:line="240" w:lineRule="auto"/>
        <w:ind w:left="600" w:right="0" w:hanging="360"/>
        <w:jc w:val="left"/>
        <w:rPr/>
      </w:pPr>
      <w:r w:rsidDel="00000000" w:rsidR="00000000" w:rsidRPr="00000000">
        <w:rPr>
          <w:rFonts w:ascii="Arial" w:cs="Arial" w:eastAsia="Arial" w:hAnsi="Arial"/>
          <w:b w:val="0"/>
          <w:bCs w:val="0"/>
          <w:i w:val="0"/>
          <w:iCs w:val="0"/>
          <w:smallCaps w:val="0"/>
          <w:strike w:val="0"/>
          <w:color w:val="3a3a3a"/>
          <w:sz w:val="22"/>
          <w:szCs w:val="22"/>
          <w:u w:val="none"/>
          <w:shd w:fill="auto" w:val="clear"/>
          <w:vertAlign w:val="baseline"/>
          <w:rtl w:val="0"/>
        </w:rPr>
        <w:t xml:space="preserve">Outer Banks NC: Ecological education centers, sustainable farms, local heritage organizations</w:t>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100" w:before="60" w:lineRule="auto"/>
        <w:rPr/>
      </w:pPr>
      <w:r w:rsidDel="00000000" w:rsidR="00000000" w:rsidRPr="00000000">
        <w:rPr>
          <w:rFonts w:ascii="Arial" w:cs="Arial" w:eastAsia="Arial" w:hAnsi="Arial"/>
          <w:color w:val="3a3a3a"/>
          <w:sz w:val="22"/>
          <w:szCs w:val="22"/>
          <w:rtl w:val="0"/>
        </w:rPr>
        <w:t xml:space="preserve">Each documented partner organization has been assessed for bidirectional value exchange: what SacredSpace provides (curriculum access, open-source tools, community programming, creative infrastructure) and what each partner contributes (space, audience access, local cultural knowledge, distribution). This mutual benefit documentation is available upon request.</w:t>
      </w:r>
      <w:r w:rsidDel="00000000" w:rsidR="00000000" w:rsidRPr="00000000">
        <w:rPr>
          <w:rtl w:val="0"/>
        </w:rPr>
      </w:r>
    </w:p>
    <w:p w:rsidR="00000000" w:rsidDel="00000000" w:rsidP="00000000" w:rsidRDefault="00000000" w:rsidRPr="00000000" w14:paraId="0000007C">
      <w:pPr>
        <w:spacing w:after="100" w:before="60" w:lineRule="auto"/>
        <w:rPr/>
      </w:pPr>
      <w:r w:rsidDel="00000000" w:rsidR="00000000" w:rsidRPr="00000000">
        <w:rPr>
          <w:rFonts w:ascii="Arial" w:cs="Arial" w:eastAsia="Arial" w:hAnsi="Arial"/>
          <w:color w:val="3a3a3a"/>
          <w:sz w:val="22"/>
          <w:szCs w:val="22"/>
          <w:rtl w:val="0"/>
        </w:rPr>
        <w:t xml:space="preserve">The project operates under a multi-AI Council Grove governance model — Claude (Reasoning), Gemini (Deep Research), ChatGPT (Systems Architect) — demonstrating the same multi-stakeholder deliberative framework the curriculum teaches. Institutional academic, ecological, and arts partnerships are being formalized for the Tier II deployment phase.</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USDA, NEA, IMLS, NSF, Kresge — partnership documentation often required</w:t>
      </w:r>
      <w:r w:rsidDel="00000000" w:rsidR="00000000" w:rsidRPr="00000000">
        <w:rPr>
          <w:rtl w:val="0"/>
        </w:rPr>
      </w:r>
    </w:p>
    <w:p w:rsidR="00000000" w:rsidDel="00000000" w:rsidP="00000000" w:rsidRDefault="00000000" w:rsidRPr="00000000" w14:paraId="0000007F">
      <w:pPr>
        <w:pBdr>
          <w:bottom w:color="c9a84c" w:space="1" w:sz="5" w:val="single"/>
        </w:pBdr>
        <w:spacing w:after="180" w:before="1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b8860b"/>
                <w:sz w:val="30"/>
                <w:szCs w:val="30"/>
                <w:rtl w:val="0"/>
              </w:rPr>
              <w:t xml:space="preserve">Q9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81">
            <w:pPr>
              <w:spacing w:after="60" w:lineRule="auto"/>
              <w:rPr/>
            </w:pPr>
            <w:r w:rsidDel="00000000" w:rsidR="00000000" w:rsidRPr="00000000">
              <w:rPr>
                <w:rFonts w:ascii="Arial" w:cs="Arial" w:eastAsia="Arial" w:hAnsi="Arial"/>
                <w:b w:val="1"/>
                <w:bCs w:val="1"/>
                <w:color w:val="ffffff"/>
                <w:sz w:val="24"/>
                <w:szCs w:val="24"/>
                <w:rtl w:val="0"/>
              </w:rPr>
              <w:t xml:space="preserve">How is this project innovative? What makes it different from existing programs?</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Arial" w:cs="Arial" w:eastAsia="Arial" w:hAnsi="Arial"/>
                <w:i w:val="1"/>
                <w:iCs w:val="1"/>
                <w:color w:val="888888"/>
                <w:sz w:val="18"/>
                <w:szCs w:val="18"/>
                <w:rtl w:val="0"/>
              </w:rPr>
              <w:t xml:space="preserve">Appears as: Innovation / Uniqueness / Differentiation / Field Contribution / Emerging Practice</w:t>
            </w:r>
            <w:r w:rsidDel="00000000" w:rsidR="00000000" w:rsidRPr="00000000">
              <w:rPr>
                <w:rtl w:val="0"/>
              </w:rPr>
            </w:r>
          </w:p>
        </w:tc>
      </w:tr>
    </w:tbl>
    <w:p w:rsidR="00000000" w:rsidDel="00000000" w:rsidP="00000000" w:rsidRDefault="00000000" w:rsidRPr="00000000" w14:paraId="00000083">
      <w:pPr>
        <w:spacing w:after="100" w:lineRule="auto"/>
        <w:rPr/>
      </w:pPr>
      <w:r w:rsidDel="00000000" w:rsidR="00000000" w:rsidRPr="00000000">
        <w:rPr>
          <w:rtl w:val="0"/>
        </w:rPr>
      </w:r>
    </w:p>
    <w:p w:rsidR="00000000" w:rsidDel="00000000" w:rsidP="00000000" w:rsidRDefault="00000000" w:rsidRPr="00000000" w14:paraId="00000084">
      <w:pPr>
        <w:spacing w:after="100" w:before="60" w:lineRule="auto"/>
        <w:rPr/>
      </w:pPr>
      <w:r w:rsidDel="00000000" w:rsidR="00000000" w:rsidRPr="00000000">
        <w:rPr>
          <w:rFonts w:ascii="Arial" w:cs="Arial" w:eastAsia="Arial" w:hAnsi="Arial"/>
          <w:color w:val="3a3a3a"/>
          <w:sz w:val="22"/>
          <w:szCs w:val="22"/>
          <w:rtl w:val="0"/>
        </w:rPr>
        <w:t xml:space="preserve">The Neural Forest introduces three innovations that, to our knowledge, do not exist in combination in any existing public program:</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spacing w:after="100" w:before="60" w:lineRule="auto"/>
        <w:rPr/>
      </w:pPr>
      <w:r w:rsidDel="00000000" w:rsidR="00000000" w:rsidRPr="00000000">
        <w:rPr>
          <w:rFonts w:ascii="Arial" w:cs="Arial" w:eastAsia="Arial" w:hAnsi="Arial"/>
          <w:color w:val="3a3a3a"/>
          <w:sz w:val="22"/>
          <w:szCs w:val="22"/>
          <w:rtl w:val="0"/>
        </w:rPr>
        <w:t xml:space="preserve">1. The Living Field Simulator architecture. The Neural Forest is a closed-loop AI system that updates its internal model in real time based on community interaction — not a static exhibit with scripted responses. The mycelial knowledge graph (ChromaDB semantic embeddings connected by meaning rather than folder hierarchy) means the environment becomes more resonant with each interaction. This is autonomous, adaptive infrastructure that most institutions are still describing theoretically.</w:t>
      </w:r>
      <w:r w:rsidDel="00000000" w:rsidR="00000000" w:rsidRPr="00000000">
        <w:rPr>
          <w:rtl w:val="0"/>
        </w:rPr>
      </w:r>
    </w:p>
    <w:p w:rsidR="00000000" w:rsidDel="00000000" w:rsidP="00000000" w:rsidRDefault="00000000" w:rsidRPr="00000000" w14:paraId="00000087">
      <w:pPr>
        <w:spacing w:after="100" w:before="60" w:lineRule="auto"/>
        <w:rPr/>
      </w:pPr>
      <w:r w:rsidDel="00000000" w:rsidR="00000000" w:rsidRPr="00000000">
        <w:rPr>
          <w:rFonts w:ascii="Arial" w:cs="Arial" w:eastAsia="Arial" w:hAnsi="Arial"/>
          <w:color w:val="3a3a3a"/>
          <w:sz w:val="22"/>
          <w:szCs w:val="22"/>
          <w:rtl w:val="0"/>
        </w:rPr>
        <w:t xml:space="preserve">2. The Digital Hybrid Multimedia methodology. The project introduces a documented, teachable creative framework — human-origin artistic work extended and enhanced through AI tools — that positions community members as authors rather than users. This methodology does not exist as a named, replicable curriculum in rural STEAM contexts. It fills a specific gap between 'no AI' and 'AI does it for you.'</w:t>
      </w:r>
      <w:r w:rsidDel="00000000" w:rsidR="00000000" w:rsidRPr="00000000">
        <w:rPr>
          <w:rtl w:val="0"/>
        </w:rPr>
      </w:r>
    </w:p>
    <w:p w:rsidR="00000000" w:rsidDel="00000000" w:rsidP="00000000" w:rsidRDefault="00000000" w:rsidRPr="00000000" w14:paraId="00000088">
      <w:pPr>
        <w:spacing w:after="100" w:before="60" w:lineRule="auto"/>
        <w:rPr/>
      </w:pPr>
      <w:r w:rsidDel="00000000" w:rsidR="00000000" w:rsidRPr="00000000">
        <w:rPr>
          <w:rFonts w:ascii="Arial" w:cs="Arial" w:eastAsia="Arial" w:hAnsi="Arial"/>
          <w:color w:val="3a3a3a"/>
          <w:sz w:val="22"/>
          <w:szCs w:val="22"/>
          <w:rtl w:val="0"/>
        </w:rPr>
        <w:t xml:space="preserve">3. Open-source sanctuary replication. Because the complete technical stack is publicly documented and runs on commodity hardware with zero API costs, the Neural Forest is the first known sanctuary-scale AI installation explicitly designed for community replication. Any organization with a modestly equipped community space can fork the repository and deploy a node. The innovation is not just what it does — it is that it can be given away without losing value.</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NSF, NEA, Kresge, Mellon, IMLS — innovation framing critical for these funders</w:t>
      </w:r>
      <w:r w:rsidDel="00000000" w:rsidR="00000000" w:rsidRPr="00000000">
        <w:rPr>
          <w:rtl w:val="0"/>
        </w:rPr>
      </w:r>
    </w:p>
    <w:p w:rsidR="00000000" w:rsidDel="00000000" w:rsidP="00000000" w:rsidRDefault="00000000" w:rsidRPr="00000000" w14:paraId="0000008B">
      <w:pPr>
        <w:pBdr>
          <w:bottom w:color="c9a84c" w:space="1" w:sz="5" w:val="single"/>
        </w:pBdr>
        <w:spacing w:after="180" w:before="1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0f0f" w:val="clear"/>
            <w:tcMar>
              <w:top w:w="160.0" w:type="dxa"/>
              <w:left w:w="200.0" w:type="dxa"/>
              <w:bottom w:w="160.0" w:type="dxa"/>
              <w:right w:w="20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b8860b"/>
                <w:sz w:val="30"/>
                <w:szCs w:val="30"/>
                <w:rtl w:val="0"/>
              </w:rPr>
              <w:t xml:space="preserve">Q10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1111" w:val="clear"/>
            <w:tcMar>
              <w:top w:w="160.0" w:type="dxa"/>
              <w:left w:w="240.0" w:type="dxa"/>
              <w:bottom w:w="160.0" w:type="dxa"/>
              <w:right w:w="240.0" w:type="dxa"/>
            </w:tcMar>
          </w:tcPr>
          <w:p w:rsidR="00000000" w:rsidDel="00000000" w:rsidP="00000000" w:rsidRDefault="00000000" w:rsidRPr="00000000" w14:paraId="0000008D">
            <w:pPr>
              <w:spacing w:after="60" w:lineRule="auto"/>
              <w:rPr/>
            </w:pPr>
            <w:r w:rsidDel="00000000" w:rsidR="00000000" w:rsidRPr="00000000">
              <w:rPr>
                <w:rFonts w:ascii="Arial" w:cs="Arial" w:eastAsia="Arial" w:hAnsi="Arial"/>
                <w:b w:val="1"/>
                <w:bCs w:val="1"/>
                <w:color w:val="ffffff"/>
                <w:sz w:val="24"/>
                <w:szCs w:val="24"/>
                <w:rtl w:val="0"/>
              </w:rPr>
              <w:t xml:space="preserve">What is your timeline? When will key activities occur?</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Arial" w:cs="Arial" w:eastAsia="Arial" w:hAnsi="Arial"/>
                <w:i w:val="1"/>
                <w:iCs w:val="1"/>
                <w:color w:val="888888"/>
                <w:sz w:val="18"/>
                <w:szCs w:val="18"/>
                <w:rtl w:val="0"/>
              </w:rPr>
              <w:t xml:space="preserve">Appears as: Project Timeline / Work Plan / Implementation Schedule / Milestones</w:t>
            </w:r>
            <w:r w:rsidDel="00000000" w:rsidR="00000000" w:rsidRPr="00000000">
              <w:rPr>
                <w:rtl w:val="0"/>
              </w:rPr>
            </w:r>
          </w:p>
        </w:tc>
      </w:tr>
    </w:tbl>
    <w:p w:rsidR="00000000" w:rsidDel="00000000" w:rsidP="00000000" w:rsidRDefault="00000000" w:rsidRPr="00000000" w14:paraId="0000008F">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84c" w:space="0" w:sz="8" w:val="single"/>
              <w:bottom w:color="000000" w:space="0" w:sz="0" w:val="nil"/>
              <w:right w:color="000000" w:space="0" w:sz="0" w:val="nil"/>
            </w:tcBorders>
            <w:shd w:fill="f8f4ed" w:val="clear"/>
            <w:tcMar>
              <w:top w:w="160.0" w:type="dxa"/>
              <w:left w:w="280.0" w:type="dxa"/>
              <w:bottom w:w="160.0" w:type="dxa"/>
              <w:right w:w="280.0" w:type="dxa"/>
            </w:tcMar>
          </w:tcPr>
          <w:p w:rsidR="00000000" w:rsidDel="00000000" w:rsidP="00000000" w:rsidRDefault="00000000" w:rsidRPr="00000000" w14:paraId="00000090">
            <w:pPr>
              <w:spacing w:after="80" w:lineRule="auto"/>
              <w:rPr/>
            </w:pPr>
            <w:r w:rsidDel="00000000" w:rsidR="00000000" w:rsidRPr="00000000">
              <w:rPr>
                <w:rFonts w:ascii="Arial" w:cs="Arial" w:eastAsia="Arial" w:hAnsi="Arial"/>
                <w:b w:val="1"/>
                <w:bCs w:val="1"/>
                <w:color w:val="2b4d1e"/>
                <w:sz w:val="20"/>
                <w:szCs w:val="20"/>
                <w:rtl w:val="0"/>
              </w:rPr>
              <w:t xml:space="preserve">2026 — PHASE I: PROTOTYPE &amp; GRANT ACTIVATION</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Fonts w:ascii="Arial" w:cs="Arial" w:eastAsia="Arial" w:hAnsi="Arial"/>
                <w:b w:val="1"/>
                <w:bCs w:val="1"/>
                <w:color w:val="3a3a3a"/>
                <w:sz w:val="19"/>
                <w:szCs w:val="19"/>
                <w:rtl w:val="0"/>
              </w:rPr>
              <w:t xml:space="preserve">Q1–Q2:  </w:t>
            </w:r>
            <w:r w:rsidDel="00000000" w:rsidR="00000000" w:rsidRPr="00000000">
              <w:rPr>
                <w:rFonts w:ascii="Arial" w:cs="Arial" w:eastAsia="Arial" w:hAnsi="Arial"/>
                <w:color w:val="3a3a3a"/>
                <w:sz w:val="19"/>
                <w:szCs w:val="19"/>
                <w:rtl w:val="0"/>
              </w:rPr>
              <w:t xml:space="preserve">Physical prototype finalization. Media war chest completion (four grant films, Founder Statement, press kit). Tier I submissions open.</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3a3a3a"/>
                <w:sz w:val="19"/>
                <w:szCs w:val="19"/>
                <w:rtl w:val="0"/>
              </w:rPr>
              <w:t xml:space="preserve">Q3–Q4:  </w:t>
            </w:r>
            <w:r w:rsidDel="00000000" w:rsidR="00000000" w:rsidRPr="00000000">
              <w:rPr>
                <w:rFonts w:ascii="Arial" w:cs="Arial" w:eastAsia="Arial" w:hAnsi="Arial"/>
                <w:color w:val="3a3a3a"/>
                <w:sz w:val="19"/>
                <w:szCs w:val="19"/>
                <w:rtl w:val="0"/>
              </w:rPr>
              <w:t xml:space="preserve">First STEAM workshop cohort (10+ workshops). KETHRAS open-source curriculum module released. Neural Forest v1.0 locked as canonical prototype. Tier II qualification initiated.</w:t>
            </w:r>
            <w:r w:rsidDel="00000000" w:rsidR="00000000" w:rsidRPr="00000000">
              <w:rPr>
                <w:rtl w:val="0"/>
              </w:rPr>
            </w:r>
          </w:p>
        </w:tc>
      </w:tr>
    </w:tbl>
    <w:p w:rsidR="00000000" w:rsidDel="00000000" w:rsidP="00000000" w:rsidRDefault="00000000" w:rsidRPr="00000000" w14:paraId="00000093">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84c" w:space="0" w:sz="8" w:val="single"/>
              <w:bottom w:color="000000" w:space="0" w:sz="0" w:val="nil"/>
              <w:right w:color="000000" w:space="0" w:sz="0" w:val="nil"/>
            </w:tcBorders>
            <w:shd w:fill="f8f4ed" w:val="clear"/>
            <w:tcMar>
              <w:top w:w="160.0" w:type="dxa"/>
              <w:left w:w="280.0" w:type="dxa"/>
              <w:bottom w:w="160.0" w:type="dxa"/>
              <w:right w:w="280.0" w:type="dxa"/>
            </w:tcMar>
          </w:tcPr>
          <w:p w:rsidR="00000000" w:rsidDel="00000000" w:rsidP="00000000" w:rsidRDefault="00000000" w:rsidRPr="00000000" w14:paraId="00000094">
            <w:pPr>
              <w:spacing w:after="80" w:lineRule="auto"/>
              <w:rPr/>
            </w:pPr>
            <w:r w:rsidDel="00000000" w:rsidR="00000000" w:rsidRPr="00000000">
              <w:rPr>
                <w:rFonts w:ascii="Arial" w:cs="Arial" w:eastAsia="Arial" w:hAnsi="Arial"/>
                <w:b w:val="1"/>
                <w:bCs w:val="1"/>
                <w:color w:val="2b4d1e"/>
                <w:sz w:val="20"/>
                <w:szCs w:val="20"/>
                <w:rtl w:val="0"/>
              </w:rPr>
              <w:t xml:space="preserve">2027 — PHASE II: MODULAR EXPANSION</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Fonts w:ascii="Arial" w:cs="Arial" w:eastAsia="Arial" w:hAnsi="Arial"/>
                <w:b w:val="1"/>
                <w:bCs w:val="1"/>
                <w:color w:val="3a3a3a"/>
                <w:sz w:val="19"/>
                <w:szCs w:val="19"/>
                <w:rtl w:val="0"/>
              </w:rPr>
              <w:t xml:space="preserve">Q1–Q2:  </w:t>
            </w:r>
            <w:r w:rsidDel="00000000" w:rsidR="00000000" w:rsidRPr="00000000">
              <w:rPr>
                <w:rFonts w:ascii="Arial" w:cs="Arial" w:eastAsia="Arial" w:hAnsi="Arial"/>
                <w:color w:val="3a3a3a"/>
                <w:sz w:val="19"/>
                <w:szCs w:val="19"/>
                <w:rtl w:val="0"/>
              </w:rPr>
              <w:t xml:space="preserve">Interaction research published. Conference presentations. Regional media presence activated across five social platforms (SacredArcana Studios).</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color w:val="3a3a3a"/>
                <w:sz w:val="19"/>
                <w:szCs w:val="19"/>
                <w:rtl w:val="0"/>
              </w:rPr>
              <w:t xml:space="preserve">Q3–Q4:  </w:t>
            </w:r>
            <w:r w:rsidDel="00000000" w:rsidR="00000000" w:rsidRPr="00000000">
              <w:rPr>
                <w:rFonts w:ascii="Arial" w:cs="Arial" w:eastAsia="Arial" w:hAnsi="Arial"/>
                <w:color w:val="3a3a3a"/>
                <w:sz w:val="19"/>
                <w:szCs w:val="19"/>
                <w:rtl w:val="0"/>
              </w:rPr>
              <w:t xml:space="preserve">First external modular deployment. Tier II funding secured. Sacred Little Forest site acquisition research activated in Northampton County.</w:t>
            </w:r>
            <w:r w:rsidDel="00000000" w:rsidR="00000000" w:rsidRPr="00000000">
              <w:rPr>
                <w:rtl w:val="0"/>
              </w:rPr>
            </w:r>
          </w:p>
        </w:tc>
      </w:tr>
    </w:tbl>
    <w:p w:rsidR="00000000" w:rsidDel="00000000" w:rsidP="00000000" w:rsidRDefault="00000000" w:rsidRPr="00000000" w14:paraId="00000097">
      <w:pPr>
        <w:spacing w:after="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9a84c" w:space="0" w:sz="8" w:val="single"/>
              <w:bottom w:color="000000" w:space="0" w:sz="0" w:val="nil"/>
              <w:right w:color="000000" w:space="0" w:sz="0" w:val="nil"/>
            </w:tcBorders>
            <w:shd w:fill="f8f4ed" w:val="clear"/>
            <w:tcMar>
              <w:top w:w="160.0" w:type="dxa"/>
              <w:left w:w="280.0" w:type="dxa"/>
              <w:bottom w:w="160.0" w:type="dxa"/>
              <w:right w:w="280.0" w:type="dxa"/>
            </w:tcMar>
          </w:tcPr>
          <w:p w:rsidR="00000000" w:rsidDel="00000000" w:rsidP="00000000" w:rsidRDefault="00000000" w:rsidRPr="00000000" w14:paraId="00000098">
            <w:pPr>
              <w:spacing w:after="80" w:lineRule="auto"/>
              <w:rPr/>
            </w:pPr>
            <w:r w:rsidDel="00000000" w:rsidR="00000000" w:rsidRPr="00000000">
              <w:rPr>
                <w:rFonts w:ascii="Arial" w:cs="Arial" w:eastAsia="Arial" w:hAnsi="Arial"/>
                <w:b w:val="1"/>
                <w:bCs w:val="1"/>
                <w:color w:val="2b4d1e"/>
                <w:sz w:val="20"/>
                <w:szCs w:val="20"/>
                <w:rtl w:val="0"/>
              </w:rPr>
              <w:t xml:space="preserve">2028 — PHASE III: SANCTUARY NETWORK</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Fonts w:ascii="Arial" w:cs="Arial" w:eastAsia="Arial" w:hAnsi="Arial"/>
                <w:b w:val="1"/>
                <w:bCs w:val="1"/>
                <w:color w:val="3a3a3a"/>
                <w:sz w:val="19"/>
                <w:szCs w:val="19"/>
                <w:rtl w:val="0"/>
              </w:rPr>
              <w:t xml:space="preserve">Q1–Q2:  </w:t>
            </w:r>
            <w:r w:rsidDel="00000000" w:rsidR="00000000" w:rsidRPr="00000000">
              <w:rPr>
                <w:rFonts w:ascii="Arial" w:cs="Arial" w:eastAsia="Arial" w:hAnsi="Arial"/>
                <w:color w:val="3a3a3a"/>
                <w:sz w:val="19"/>
                <w:szCs w:val="19"/>
                <w:rtl w:val="0"/>
              </w:rPr>
              <w:t xml:space="preserve">SacredSpace OS digital public layer launched. Open-source replication guide published. Network governance protocol formalized.</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3a3a3a"/>
                <w:sz w:val="19"/>
                <w:szCs w:val="19"/>
                <w:rtl w:val="0"/>
              </w:rPr>
              <w:t xml:space="preserve">Q3–Q4:  </w:t>
            </w:r>
            <w:r w:rsidDel="00000000" w:rsidR="00000000" w:rsidRPr="00000000">
              <w:rPr>
                <w:rFonts w:ascii="Arial" w:cs="Arial" w:eastAsia="Arial" w:hAnsi="Arial"/>
                <w:color w:val="3a3a3a"/>
                <w:sz w:val="19"/>
                <w:szCs w:val="19"/>
                <w:rtl w:val="0"/>
              </w:rPr>
              <w:t xml:space="preserve">3+ linked sanctuary nodes operational. Sacred Little Forest land acquisition active. 10+ annual STEAM programs running. Tier III funding secured.</w:t>
            </w:r>
            <w:r w:rsidDel="00000000" w:rsidR="00000000" w:rsidRPr="00000000">
              <w:rPr>
                <w:rtl w:val="0"/>
              </w:rPr>
            </w:r>
          </w:p>
        </w:tc>
      </w:tr>
    </w:tbl>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pacing w:after="0" w:before="40" w:lineRule="auto"/>
        <w:rPr/>
      </w:pPr>
      <w:r w:rsidDel="00000000" w:rsidR="00000000" w:rsidRPr="00000000">
        <w:rPr>
          <w:rFonts w:ascii="Arial" w:cs="Arial" w:eastAsia="Arial" w:hAnsi="Arial"/>
          <w:b w:val="1"/>
          <w:bCs w:val="1"/>
          <w:color w:val="2b4d1e"/>
          <w:sz w:val="17"/>
          <w:szCs w:val="17"/>
          <w:rtl w:val="0"/>
        </w:rPr>
        <w:t xml:space="preserve">FUNDER TAGS:  </w:t>
      </w:r>
      <w:r w:rsidDel="00000000" w:rsidR="00000000" w:rsidRPr="00000000">
        <w:rPr>
          <w:rFonts w:ascii="Arial" w:cs="Arial" w:eastAsia="Arial" w:hAnsi="Arial"/>
          <w:color w:val="787878"/>
          <w:sz w:val="17"/>
          <w:szCs w:val="17"/>
          <w:rtl w:val="0"/>
        </w:rPr>
        <w:t xml:space="preserve">All funders — required universally</w:t>
      </w:r>
      <w:r w:rsidDel="00000000" w:rsidR="00000000" w:rsidRPr="00000000">
        <w:rPr>
          <w:rtl w:val="0"/>
        </w:rPr>
      </w:r>
    </w:p>
    <w:p w:rsidR="00000000" w:rsidDel="00000000" w:rsidP="00000000" w:rsidRDefault="00000000" w:rsidRPr="00000000" w14:paraId="0000009D">
      <w:pPr>
        <w:pBdr>
          <w:bottom w:color="c9a84c" w:space="1" w:sz="5" w:val="single"/>
        </w:pBdr>
        <w:spacing w:after="180" w:before="1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c1c1c" w:val="clear"/>
            <w:tcMar>
              <w:top w:w="200.0" w:type="dxa"/>
              <w:left w:w="320.0" w:type="dxa"/>
              <w:bottom w:w="200.0" w:type="dxa"/>
              <w:right w:w="320.0" w:type="dxa"/>
            </w:tcMar>
          </w:tcPr>
          <w:p w:rsidR="00000000" w:rsidDel="00000000" w:rsidP="00000000" w:rsidRDefault="00000000" w:rsidRPr="00000000" w14:paraId="0000009E">
            <w:pPr>
              <w:spacing w:after="120" w:lineRule="auto"/>
              <w:rPr/>
            </w:pPr>
            <w:r w:rsidDel="00000000" w:rsidR="00000000" w:rsidRPr="00000000">
              <w:rPr>
                <w:rFonts w:ascii="Arial" w:cs="Arial" w:eastAsia="Arial" w:hAnsi="Arial"/>
                <w:b w:val="1"/>
                <w:bCs w:val="1"/>
                <w:color w:val="b8860b"/>
                <w:sz w:val="17"/>
                <w:szCs w:val="17"/>
                <w:rtl w:val="0"/>
              </w:rPr>
              <w:t xml:space="preserve">COPY MATRIX GOVERNANCE</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Fonts w:ascii="Arial" w:cs="Arial" w:eastAsia="Arial" w:hAnsi="Arial"/>
                <w:color w:val="cccccc"/>
                <w:sz w:val="19"/>
                <w:szCs w:val="19"/>
                <w:rtl w:val="0"/>
              </w:rPr>
              <w:t xml:space="preserve">This matrix is a living document. When a funder's application reveals a question not covered here, draft the answer, run it through the Reasoning seat (Claude) for institutional language review, and add it as Q11+. The matrix grows with every submission cycle.</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Fonts w:ascii="Arial" w:cs="Arial" w:eastAsia="Arial" w:hAnsi="Arial"/>
                <w:i w:val="1"/>
                <w:iCs w:val="1"/>
                <w:color w:val="777777"/>
                <w:sz w:val="17"/>
                <w:szCs w:val="17"/>
                <w:rtl w:val="0"/>
              </w:rPr>
              <w:t xml:space="preserve">Source document: SacredSpace_NeuralForest_GrantProposal_v2.docx  |  NotebookLM: CORE — PROTOCOL — Grant Copy Matrix — v1</w:t>
            </w:r>
            <w:r w:rsidDel="00000000" w:rsidR="00000000" w:rsidRPr="00000000">
              <w:rPr>
                <w:rtl w:val="0"/>
              </w:rPr>
            </w:r>
          </w:p>
          <w:p w:rsidR="00000000" w:rsidDel="00000000" w:rsidP="00000000" w:rsidRDefault="00000000" w:rsidRPr="00000000" w14:paraId="000000A1">
            <w:pPr>
              <w:spacing w:after="0" w:lineRule="auto"/>
              <w:jc w:val="center"/>
              <w:rPr/>
            </w:pPr>
            <w:r w:rsidDel="00000000" w:rsidR="00000000" w:rsidRPr="00000000">
              <w:rPr>
                <w:rFonts w:ascii="Source Sans Pro" w:cs="Source Sans Pro" w:eastAsia="Source Sans Pro" w:hAnsi="Source Sans Pro"/>
                <w:i w:val="1"/>
                <w:iCs w:val="1"/>
                <w:color w:val="c9a84c"/>
                <w:sz w:val="19"/>
                <w:szCs w:val="19"/>
                <w:rtl w:val="0"/>
              </w:rPr>
              <w:t xml:space="preserve">⟡  In lakesh alakin.  ⟡</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color="c9a84c" w:space="4" w:sz="4" w:val="single"/>
      </w:pBdr>
      <w:spacing w:before="120" w:lineRule="auto"/>
      <w:rPr/>
    </w:pPr>
    <w:r w:rsidDel="00000000" w:rsidR="00000000" w:rsidRPr="00000000">
      <w:rPr>
        <w:rFonts w:ascii="Arial" w:cs="Arial" w:eastAsia="Arial" w:hAnsi="Arial"/>
        <w:color w:val="787878"/>
        <w:sz w:val="16"/>
        <w:szCs w:val="16"/>
        <w:rtl w:val="0"/>
      </w:rPr>
      <w:t xml:space="preserve">sacredarcanastudios@gmail.com  |  TaylorOakey/SacredSpace  |  p.</w:t>
    </w:r>
    <w:r w:rsidDel="00000000" w:rsidR="00000000" w:rsidRPr="00000000">
      <w:rPr>
        <w:rFonts w:ascii="Arial" w:cs="Arial" w:eastAsia="Arial" w:hAnsi="Arial"/>
        <w:color w:val="b8860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bottom w:color="c9a84c" w:space="4" w:sz="4" w:val="single"/>
      </w:pBdr>
      <w:spacing w:after="120" w:lineRule="auto"/>
      <w:rPr/>
    </w:pPr>
    <w:r w:rsidDel="00000000" w:rsidR="00000000" w:rsidRPr="00000000">
      <w:rPr>
        <w:rFonts w:ascii="Arial Unicode MS" w:cs="Arial Unicode MS" w:eastAsia="Arial Unicode MS" w:hAnsi="Arial Unicode MS"/>
        <w:b w:val="1"/>
        <w:bCs w:val="1"/>
        <w:color w:val="b8860b"/>
        <w:sz w:val="16"/>
        <w:szCs w:val="16"/>
        <w:rtl w:val="0"/>
      </w:rPr>
      <w:t xml:space="preserve">S∆CR3DSP∆CE: N3UR∆L FOR3ST  </w:t>
    </w:r>
    <w:r w:rsidDel="00000000" w:rsidR="00000000" w:rsidRPr="00000000">
      <w:rPr>
        <w:rFonts w:ascii="Arial" w:cs="Arial" w:eastAsia="Arial" w:hAnsi="Arial"/>
        <w:color w:val="787878"/>
        <w:sz w:val="16"/>
        <w:szCs w:val="16"/>
        <w:rtl w:val="0"/>
      </w:rPr>
      <w:t xml:space="preserve">|  GRANT COPY MATRIX  |  Council Grove Synthesis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a3a3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a3a3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