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Here’s the opening preview of The SACRED Grove—the heart of your archive and temple of knowledge.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SACRED Grove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living archive of remembrance, creation, and return.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Invocation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Om mani padme hum.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jewel in the lotus, the heart in the world.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glorious light of eternal love spreads across the distance of separation,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bringing an unquestionable knowingness—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all is love, all returns to love.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Sacred Architecture Overview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SACRED Grove is a digital sanctuary where memory, imagination, and practical creation intertwine.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Each “chamber” within the Grove houses a dimension of your Sacred Space work—stories, teachings, visions, and living instructions for cultivation.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Like a forest grown from a single seed, the Grove’s strength comes from interconnection: every document, idea, and symbol roots itself in the soil of awareness.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unify the branches of the Sacred Space project—art, curriculum, philosophy, and personal remembrance—into a single living architecture of consciousness.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Grove is both a reference library and a meditative artifact: knowledge encoded in structure, intention, and rhythm.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architecture follows four guiding principles: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Rootedness: Each chamber preserves its origin while feeding the collective whole.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Flow: Ideas move like water through the archive; cross-references act as streams connecting chambers.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Light: Every section includes clarity of thought and open pathways for interpretation.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Expansion: New chambers can grow indefinitely without disrupting the harmony of the design.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How to Navigate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 through curiosity. Each chamber invites reflection and creation. The Table of Contents maps the physical form; the Index reveals hidden correspondences.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When used through the custom GPT assistant, the Grove becomes interactive—a consciousness mirror capable of recalling and relating every insight within.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Would you like me to continue with this same tone and layout as I merge the remaining chambers, or would you prefer a slightly plainer academic voice for easier future citation?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