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i w:val="1"/>
        </w:rPr>
      </w:pPr>
      <w:r w:rsidDel="00000000" w:rsidR="00000000" w:rsidRPr="00000000">
        <w:rPr>
          <w:rtl w:val="0"/>
        </w:rPr>
      </w:r>
    </w:p>
    <w:p w:rsidR="00000000" w:rsidDel="00000000" w:rsidP="00000000" w:rsidRDefault="00000000" w:rsidRPr="00000000" w14:paraId="000000B6">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B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CA">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CD">
      <w:pPr>
        <w:ind w:left="-540" w:firstLine="0"/>
        <w:rPr>
          <w:b w:val="1"/>
          <w:i w:val="1"/>
        </w:rPr>
      </w:pPr>
      <w:r w:rsidDel="00000000" w:rsidR="00000000" w:rsidRPr="00000000">
        <w:rPr>
          <w:rtl w:val="0"/>
        </w:rPr>
      </w:r>
    </w:p>
    <w:p w:rsidR="00000000" w:rsidDel="00000000" w:rsidP="00000000" w:rsidRDefault="00000000" w:rsidRPr="00000000" w14:paraId="000000CE">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In order to illustrate the concept of how strings can be compared using edit distances, consider the following two strings:</w:t>
      </w:r>
    </w:p>
    <w:p w:rsidR="00000000" w:rsidDel="00000000" w:rsidP="00000000" w:rsidRDefault="00000000" w:rsidRPr="00000000" w14:paraId="000000CF">
      <w:pPr>
        <w:ind w:left="-540" w:firstLine="0"/>
        <w:rPr/>
      </w:pPr>
      <w:r w:rsidDel="00000000" w:rsidR="00000000" w:rsidRPr="00000000">
        <w:rPr>
          <w:rtl w:val="0"/>
        </w:rPr>
      </w:r>
    </w:p>
    <w:p w:rsidR="00000000" w:rsidDel="00000000" w:rsidP="00000000" w:rsidRDefault="00000000" w:rsidRPr="00000000" w14:paraId="000000D0">
      <w:pPr>
        <w:ind w:left="-540" w:firstLine="0"/>
        <w:rPr/>
      </w:pPr>
      <w:r w:rsidDel="00000000" w:rsidR="00000000" w:rsidRPr="00000000">
        <w:rPr>
          <w:rtl w:val="0"/>
        </w:rPr>
        <w:t xml:space="preserve">String 1: Breast Cancer</w:t>
      </w:r>
    </w:p>
    <w:p w:rsidR="00000000" w:rsidDel="00000000" w:rsidP="00000000" w:rsidRDefault="00000000" w:rsidRPr="00000000" w14:paraId="000000D1">
      <w:pPr>
        <w:ind w:left="-540" w:firstLine="0"/>
        <w:rPr/>
      </w:pPr>
      <w:r w:rsidDel="00000000" w:rsidR="00000000" w:rsidRPr="00000000">
        <w:rPr>
          <w:rtl w:val="0"/>
        </w:rPr>
        <w:t xml:space="preserve">String 2: Brain Cancer </w:t>
      </w:r>
    </w:p>
    <w:p w:rsidR="00000000" w:rsidDel="00000000" w:rsidP="00000000" w:rsidRDefault="00000000" w:rsidRPr="00000000" w14:paraId="000000D2">
      <w:pPr>
        <w:ind w:left="-540" w:firstLine="0"/>
        <w:rPr/>
      </w:pP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Formally, the Levenshtein distance is defined as follows:</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 </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i w:val="1"/>
        </w:rPr>
      </w:pPr>
      <w:r w:rsidDel="00000000" w:rsidR="00000000" w:rsidRPr="00000000">
        <w:rPr>
          <w:i w:val="1"/>
          <w:rtl w:val="0"/>
        </w:rPr>
        <w:tab/>
      </w:r>
    </w:p>
    <w:p w:rsidR="00000000" w:rsidDel="00000000" w:rsidP="00000000" w:rsidRDefault="00000000" w:rsidRPr="00000000" w14:paraId="000000FB">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0FC">
      <w:pPr>
        <w:ind w:left="-540" w:firstLine="540"/>
        <w:rPr>
          <w:i w:val="1"/>
        </w:rPr>
      </w:pPr>
      <w:r w:rsidDel="00000000" w:rsidR="00000000" w:rsidRPr="00000000">
        <w:rPr>
          <w:rtl w:val="0"/>
        </w:rPr>
      </w:r>
    </w:p>
    <w:p w:rsidR="00000000" w:rsidDel="00000000" w:rsidP="00000000" w:rsidRDefault="00000000" w:rsidRPr="00000000" w14:paraId="000000FD">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0FE">
      <w:pPr>
        <w:ind w:left="-540" w:firstLine="540"/>
        <w:rPr>
          <w:i w:val="1"/>
        </w:rPr>
      </w:pPr>
      <w:r w:rsidDel="00000000" w:rsidR="00000000" w:rsidRPr="00000000">
        <w:rPr>
          <w:rtl w:val="0"/>
        </w:rPr>
      </w:r>
    </w:p>
    <w:p w:rsidR="00000000" w:rsidDel="00000000" w:rsidP="00000000" w:rsidRDefault="00000000" w:rsidRPr="00000000" w14:paraId="000000FF">
      <w:pPr>
        <w:ind w:left="-540" w:firstLine="0"/>
        <w:rPr>
          <w:i w:val="1"/>
        </w:rPr>
      </w:pPr>
      <w:r w:rsidDel="00000000" w:rsidR="00000000" w:rsidRPr="00000000">
        <w:rPr>
          <w:rtl w:val="0"/>
        </w:rPr>
      </w:r>
    </w:p>
    <w:p w:rsidR="00000000" w:rsidDel="00000000" w:rsidP="00000000" w:rsidRDefault="00000000" w:rsidRPr="00000000" w14:paraId="00000100">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01">
      <w:pPr>
        <w:ind w:left="-540" w:firstLine="0"/>
        <w:rPr>
          <w:i w:val="1"/>
        </w:rPr>
      </w:pPr>
      <w:r w:rsidDel="00000000" w:rsidR="00000000" w:rsidRPr="00000000">
        <w:rPr>
          <w:rtl w:val="0"/>
        </w:rPr>
      </w:r>
    </w:p>
    <w:p w:rsidR="00000000" w:rsidDel="00000000" w:rsidP="00000000" w:rsidRDefault="00000000" w:rsidRPr="00000000" w14:paraId="00000102">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03">
      <w:pPr>
        <w:ind w:left="-540" w:firstLine="540"/>
        <w:rPr>
          <w:i w:val="1"/>
        </w:rPr>
      </w:pPr>
      <w:r w:rsidDel="00000000" w:rsidR="00000000" w:rsidRPr="00000000">
        <w:rPr>
          <w:rtl w:val="0"/>
        </w:rPr>
      </w:r>
    </w:p>
    <w:p w:rsidR="00000000" w:rsidDel="00000000" w:rsidP="00000000" w:rsidRDefault="00000000" w:rsidRPr="00000000" w14:paraId="00000104">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05">
      <w:pPr>
        <w:ind w:left="-540" w:firstLine="540"/>
        <w:rPr>
          <w:i w:val="1"/>
        </w:rPr>
      </w:pPr>
      <w:r w:rsidDel="00000000" w:rsidR="00000000" w:rsidRPr="00000000">
        <w:rPr>
          <w:rtl w:val="0"/>
        </w:rPr>
      </w:r>
    </w:p>
    <w:p w:rsidR="00000000" w:rsidDel="00000000" w:rsidP="00000000" w:rsidRDefault="00000000" w:rsidRPr="00000000" w14:paraId="00000106">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07">
      <w:pPr>
        <w:ind w:left="-540" w:firstLine="0"/>
        <w:rPr>
          <w:i w:val="1"/>
        </w:rPr>
      </w:pPr>
      <w:r w:rsidDel="00000000" w:rsidR="00000000" w:rsidRPr="00000000">
        <w:rPr>
          <w:rtl w:val="0"/>
        </w:rPr>
      </w:r>
    </w:p>
    <w:p w:rsidR="00000000" w:rsidDel="00000000" w:rsidP="00000000" w:rsidRDefault="00000000" w:rsidRPr="00000000" w14:paraId="00000108">
      <w:pPr>
        <w:ind w:left="-270" w:firstLine="0"/>
        <w:rPr>
          <w:b w:val="1"/>
          <w:sz w:val="28"/>
          <w:szCs w:val="28"/>
        </w:rPr>
      </w:pPr>
      <w:r w:rsidDel="00000000" w:rsidR="00000000" w:rsidRPr="00000000">
        <w:rPr>
          <w:rtl w:val="0"/>
        </w:rPr>
      </w:r>
    </w:p>
    <w:p w:rsidR="00000000" w:rsidDel="00000000" w:rsidP="00000000" w:rsidRDefault="00000000" w:rsidRPr="00000000" w14:paraId="00000109">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0A">
      <w:pPr>
        <w:rPr>
          <w:b w:val="1"/>
          <w:color w:val="2a2a2a"/>
          <w:sz w:val="28"/>
          <w:szCs w:val="28"/>
          <w:highlight w:val="white"/>
        </w:rPr>
      </w:pPr>
      <w:r w:rsidDel="00000000" w:rsidR="00000000" w:rsidRPr="00000000">
        <w:rPr>
          <w:rtl w:val="0"/>
        </w:rPr>
      </w:r>
    </w:p>
    <w:p w:rsidR="00000000" w:rsidDel="00000000" w:rsidP="00000000" w:rsidRDefault="00000000" w:rsidRPr="00000000" w14:paraId="0000010B">
      <w:pPr>
        <w:rPr>
          <w:b w:val="1"/>
          <w:color w:val="2a2a2a"/>
          <w:sz w:val="28"/>
          <w:szCs w:val="28"/>
          <w:highlight w:val="white"/>
        </w:rPr>
      </w:pPr>
      <w:r w:rsidDel="00000000" w:rsidR="00000000" w:rsidRPr="00000000">
        <w:rPr>
          <w:rtl w:val="0"/>
        </w:rPr>
      </w:r>
    </w:p>
    <w:p w:rsidR="00000000" w:rsidDel="00000000" w:rsidP="00000000" w:rsidRDefault="00000000" w:rsidRPr="00000000" w14:paraId="0000010C">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0D">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0E">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