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hanging="90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C">
      <w:pPr>
        <w:ind w:left="-540" w:firstLine="0"/>
        <w:rPr>
          <w:b w:val="1"/>
          <w:i w:val="1"/>
        </w:rPr>
      </w:pPr>
      <w:r w:rsidDel="00000000" w:rsidR="00000000" w:rsidRPr="00000000">
        <w:rPr>
          <w:rtl w:val="0"/>
        </w:rPr>
      </w:r>
    </w:p>
    <w:p w:rsidR="00000000" w:rsidDel="00000000" w:rsidP="00000000" w:rsidRDefault="00000000" w:rsidRPr="00000000" w14:paraId="0000004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51">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color w:val="0e101a"/>
        </w:rPr>
      </w:pPr>
      <w:r w:rsidDel="00000000" w:rsidR="00000000" w:rsidRPr="00000000">
        <w:rPr>
          <w:rtl w:val="0"/>
        </w:rPr>
      </w:r>
    </w:p>
    <w:p w:rsidR="00000000" w:rsidDel="00000000" w:rsidP="00000000" w:rsidRDefault="00000000" w:rsidRPr="00000000" w14:paraId="00000057">
      <w:pPr>
        <w:ind w:left="-540" w:firstLine="0"/>
        <w:rPr>
          <w:color w:val="0e101a"/>
        </w:rPr>
      </w:pPr>
      <w:r w:rsidDel="00000000" w:rsidR="00000000" w:rsidRPr="00000000">
        <w:rPr>
          <w:rtl w:val="0"/>
        </w:rPr>
      </w:r>
    </w:p>
    <w:p w:rsidR="00000000" w:rsidDel="00000000" w:rsidP="00000000" w:rsidRDefault="00000000" w:rsidRPr="00000000" w14:paraId="00000058">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9">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2">
      <w:pPr>
        <w:ind w:left="-540" w:firstLine="0"/>
        <w:rPr>
          <w:color w:val="0e101a"/>
        </w:rPr>
      </w:pPr>
      <w:r w:rsidDel="00000000" w:rsidR="00000000" w:rsidRPr="00000000">
        <w:rPr>
          <w:rtl w:val="0"/>
        </w:rPr>
      </w:r>
    </w:p>
    <w:p w:rsidR="00000000" w:rsidDel="00000000" w:rsidP="00000000" w:rsidRDefault="00000000" w:rsidRPr="00000000" w14:paraId="00000083">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9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E1">
      <w:pPr>
        <w:ind w:left="-540" w:firstLine="0"/>
        <w:rPr>
          <w:i w:val="1"/>
        </w:rPr>
      </w:pPr>
      <w:r w:rsidDel="00000000" w:rsidR="00000000" w:rsidRPr="00000000">
        <w:rPr>
          <w:rtl w:val="0"/>
        </w:rPr>
      </w:r>
    </w:p>
    <w:p w:rsidR="00000000" w:rsidDel="00000000" w:rsidP="00000000" w:rsidRDefault="00000000" w:rsidRPr="00000000" w14:paraId="000000E2">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7">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A">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0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3">
      <w:pPr>
        <w:ind w:left="-540" w:firstLine="0"/>
        <w:rPr>
          <w:color w:val="202122"/>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5">
      <w:pPr>
        <w:ind w:left="-540" w:firstLine="0"/>
        <w:rPr>
          <w:b w:val="1"/>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E">
      <w:pPr>
        <w:ind w:left="-540" w:firstLine="0"/>
        <w:rPr>
          <w:highlight w:val="white"/>
        </w:rPr>
      </w:pP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10">
      <w:pPr>
        <w:ind w:left="-540" w:firstLine="0"/>
        <w:rPr>
          <w:color w:val="202122"/>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5">
      <w:pPr>
        <w:ind w:left="-540" w:firstLine="0"/>
        <w:rPr>
          <w:highlight w:val="white"/>
        </w:rPr>
      </w:pPr>
      <w:r w:rsidDel="00000000" w:rsidR="00000000" w:rsidRPr="00000000">
        <w:rPr>
          <w:rtl w:val="0"/>
        </w:rPr>
      </w:r>
    </w:p>
    <w:p w:rsidR="00000000" w:rsidDel="00000000" w:rsidP="00000000" w:rsidRDefault="00000000" w:rsidRPr="00000000" w14:paraId="00000116">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7">
      <w:pPr>
        <w:ind w:left="-540" w:firstLine="0"/>
        <w:rPr>
          <w:color w:val="202122"/>
          <w:highlight w:val="white"/>
        </w:rPr>
      </w:pPr>
      <w:r w:rsidDel="00000000" w:rsidR="00000000" w:rsidRPr="00000000">
        <w:rPr>
          <w:rtl w:val="0"/>
        </w:rPr>
      </w:r>
    </w:p>
    <w:p w:rsidR="00000000" w:rsidDel="00000000" w:rsidP="00000000" w:rsidRDefault="00000000" w:rsidRPr="00000000" w14:paraId="00000118">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A">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F">
      <w:pPr>
        <w:ind w:left="-540" w:firstLine="0"/>
        <w:rPr>
          <w:sz w:val="24"/>
          <w:szCs w:val="24"/>
        </w:rPr>
      </w:pPr>
      <w:r w:rsidDel="00000000" w:rsidR="00000000" w:rsidRPr="00000000">
        <w:rPr>
          <w:rtl w:val="0"/>
        </w:rPr>
      </w:r>
    </w:p>
    <w:p w:rsidR="00000000" w:rsidDel="00000000" w:rsidP="00000000" w:rsidRDefault="00000000" w:rsidRPr="00000000" w14:paraId="0000012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A">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B">
      <w:pPr>
        <w:ind w:left="-540" w:firstLine="0"/>
        <w:rPr>
          <w:sz w:val="24"/>
          <w:szCs w:val="24"/>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D">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C">
      <w:pPr>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sz w:val="24"/>
          <w:szCs w:val="24"/>
          <w:highlight w:val="white"/>
        </w:rPr>
      </w:pPr>
      <w:r w:rsidDel="00000000" w:rsidR="00000000" w:rsidRPr="00000000">
        <w:rPr>
          <w:rtl w:val="0"/>
        </w:rPr>
      </w:r>
    </w:p>
    <w:p w:rsidR="00000000" w:rsidDel="00000000" w:rsidP="00000000" w:rsidRDefault="00000000" w:rsidRPr="00000000" w14:paraId="00000153">
      <w:pPr>
        <w:ind w:left="-540" w:firstLine="54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F">
      <w:pPr>
        <w:ind w:left="-540" w:firstLine="0"/>
        <w:rPr>
          <w:sz w:val="24"/>
          <w:szCs w:val="24"/>
          <w:highlight w:val="white"/>
        </w:rPr>
      </w:pPr>
      <w:r w:rsidDel="00000000" w:rsidR="00000000" w:rsidRPr="00000000">
        <w:rPr>
          <w:rtl w:val="0"/>
        </w:rPr>
      </w:r>
    </w:p>
    <w:p w:rsidR="00000000" w:rsidDel="00000000" w:rsidP="00000000" w:rsidRDefault="00000000" w:rsidRPr="00000000" w14:paraId="00000190">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1">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clinical trials registry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B">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pediatric tumors and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C">
      <w:pPr>
        <w:ind w:left="-540" w:firstLine="0"/>
        <w:rPr>
          <w:sz w:val="24"/>
          <w:szCs w:val="24"/>
        </w:rPr>
      </w:pPr>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rtl w:val="0"/>
        </w:rPr>
        <w:t xml:space="preserve">We standardized the tumors identified from the clinical trials registry with respect to both the WHO and NCIT database. However, the WHO database is considered the gold standard for tumor nomenclature which is why we limited the testing of the accuracy of each standardization method against the WHO database only. </w:t>
      </w:r>
      <w:r w:rsidDel="00000000" w:rsidR="00000000" w:rsidRPr="00000000">
        <w:rPr>
          <w:sz w:val="24"/>
          <w:szCs w:val="24"/>
          <w:highlight w:val="white"/>
          <w:rtl w:val="0"/>
        </w:rPr>
        <w:t xml:space="preserve">The standardization methods were based on text matching (edit distances) techniques and text-embedding techniques.  To evaluate the performance of these techniques, we drew 1600 samples arbitrarily from the tumors identified in the clinical trials registry and standardized them according to the edition of WHO database that was in the pipeline (either 5th edition only or all editions (3rd,4th, and 5th editions)).  We observed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E">
      <w:pPr>
        <w:ind w:left="-540" w:firstLine="0"/>
        <w:rPr>
          <w:sz w:val="24"/>
          <w:szCs w:val="24"/>
          <w:highlight w:val="white"/>
        </w:rPr>
      </w:pPr>
      <w:r w:rsidDel="00000000" w:rsidR="00000000" w:rsidRPr="00000000">
        <w:rPr>
          <w:rtl w:val="0"/>
        </w:rPr>
      </w:r>
    </w:p>
    <w:p w:rsidR="00000000" w:rsidDel="00000000" w:rsidP="00000000" w:rsidRDefault="00000000" w:rsidRPr="00000000" w14:paraId="000001CF">
      <w:pPr>
        <w:ind w:left="-540" w:firstLine="0"/>
        <w:rPr>
          <w:sz w:val="24"/>
          <w:szCs w:val="24"/>
        </w:rPr>
      </w:pPr>
      <w:r w:rsidDel="00000000" w:rsidR="00000000" w:rsidRPr="00000000">
        <w:rPr>
          <w:sz w:val="24"/>
          <w:szCs w:val="24"/>
          <w:highlight w:val="white"/>
          <w:rtl w:val="0"/>
        </w:rPr>
        <w:t xml:space="preserve">We generated the embeddings from OpenAI’s LLM:</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w:t>
      </w:r>
      <w:r w:rsidDel="00000000" w:rsidR="00000000" w:rsidRPr="00000000">
        <w:rPr>
          <w:sz w:val="24"/>
          <w:szCs w:val="24"/>
          <w:rtl w:val="0"/>
        </w:rPr>
        <w:t xml:space="preserve">We observed that the LTE-3 based methods performed better than the ADA002 methods, with an exception being that LTE-3+Kmeans slightly underperformed compared to ADA002+Euclidean Dist and ADA002+ AP when we standardized against all the editions of the WHO database. Irrespective of the edition of WHO database that was considered in the pipeline, LTE-3 + Euclidean Dist achieved the highest accuracy followed by LTE-3 +AP.   LTE-3 +Euclidean Dist standardizes the clinical trials tumor by identifying and assigning the WHO database term that is closest in terms of Euclidean distance in the LTE-3 embedding space.</w:t>
      </w:r>
    </w:p>
    <w:p w:rsidR="00000000" w:rsidDel="00000000" w:rsidP="00000000" w:rsidRDefault="00000000" w:rsidRPr="00000000" w14:paraId="000001D0">
      <w:pPr>
        <w:ind w:left="-540" w:firstLine="0"/>
        <w:rPr>
          <w:sz w:val="24"/>
          <w:szCs w:val="24"/>
          <w:highlight w:val="white"/>
        </w:rPr>
      </w:pPr>
      <w:r w:rsidDel="00000000" w:rsidR="00000000" w:rsidRPr="00000000">
        <w:rPr>
          <w:sz w:val="24"/>
          <w:szCs w:val="24"/>
          <w:rtl w:val="0"/>
        </w:rPr>
        <w:t xml:space="preserve">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1">
      <w:pPr>
        <w:ind w:left="-540" w:firstLine="0"/>
        <w:rPr>
          <w:sz w:val="24"/>
          <w:szCs w:val="24"/>
          <w:highlight w:val="white"/>
        </w:rPr>
      </w:pPr>
      <w:r w:rsidDel="00000000" w:rsidR="00000000" w:rsidRPr="00000000">
        <w:rPr>
          <w:rtl w:val="0"/>
        </w:rPr>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sz w:val="24"/>
          <w:szCs w:val="24"/>
          <w:highlight w:val="white"/>
          <w:rtl w:val="0"/>
        </w:rPr>
        <w:t xml:space="preserve">As more samples from the clinical trials registry are annotated with their respective ground truth, the performance accuracies of each method will merge towards their true accuracies. </w:t>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work on annotating the ground truths for the 1600 clinical tumors that the embedding based methods will very likely outperform the text-matching (edit distance) based methods. Thus expert annotation of the tumors in clinical trials is essential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Another limiting factor in this study are the embeddings that were generated by OpenAI, if these models are updated or discontinued, we will need to switch to other LLMs that generate embeddings. Furthermore, the LLMs that generate the embeddings for Open AI are not specifically trained on a medical or tumor corpus, an LLM which is trained on such a corpus will likely have better performance and will be able to differentiate between the tumors more precisely.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7">
      <w:pPr>
        <w:ind w:left="-540" w:firstLine="0"/>
        <w:rPr>
          <w:sz w:val="24"/>
          <w:szCs w:val="24"/>
          <w:highlight w:val="white"/>
        </w:rPr>
      </w:pPr>
      <w:r w:rsidDel="00000000" w:rsidR="00000000" w:rsidRPr="00000000">
        <w:rPr>
          <w:rtl w:val="0"/>
        </w:rPr>
      </w:r>
    </w:p>
    <w:p w:rsidR="00000000" w:rsidDel="00000000" w:rsidP="00000000" w:rsidRDefault="00000000" w:rsidRPr="00000000" w14:paraId="000001D8">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9">
      <w:pPr>
        <w:ind w:left="-540" w:firstLine="0"/>
        <w:rPr>
          <w:sz w:val="24"/>
          <w:szCs w:val="24"/>
          <w:highlight w:val="white"/>
        </w:rPr>
      </w:pPr>
      <w:r w:rsidDel="00000000" w:rsidR="00000000" w:rsidRPr="00000000">
        <w:rPr>
          <w:sz w:val="24"/>
          <w:szCs w:val="24"/>
          <w:highlight w:val="white"/>
          <w:rtl w:val="0"/>
        </w:rPr>
        <w:t xml:space="preserve">The NIH-clinical trials registry records information on various aspects of a clinical trial study which includes the conditions being studied. The information is disseminated to the public in text file format. However, the registry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sz w:val="28"/>
          <w:szCs w:val="28"/>
          <w:highlight w:val="white"/>
        </w:rPr>
      </w:pPr>
      <w:r w:rsidDel="00000000" w:rsidR="00000000" w:rsidRPr="00000000">
        <w:rPr>
          <w:rtl w:val="0"/>
        </w:rPr>
      </w:r>
    </w:p>
    <w:p w:rsidR="00000000" w:rsidDel="00000000" w:rsidP="00000000" w:rsidRDefault="00000000" w:rsidRPr="00000000" w14:paraId="000001E5">
      <w:pPr>
        <w:rPr>
          <w:b w:val="1"/>
          <w:sz w:val="28"/>
          <w:szCs w:val="28"/>
          <w:highlight w:val="white"/>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References</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rtl w:val="0"/>
        </w:rPr>
        <w:t xml:space="preserve">FIGURES </w:t>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7">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C">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sz w:val="30"/>
          <w:szCs w:val="30"/>
        </w:rPr>
      </w:pPr>
      <w:r w:rsidDel="00000000" w:rsidR="00000000" w:rsidRPr="00000000">
        <w:rPr>
          <w:rtl w:val="0"/>
        </w:rPr>
      </w:r>
    </w:p>
    <w:p w:rsidR="00000000" w:rsidDel="00000000" w:rsidP="00000000" w:rsidRDefault="00000000" w:rsidRPr="00000000" w14:paraId="0000023F">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40">
      <w:pPr>
        <w:ind w:left="-540" w:firstLine="0"/>
        <w:rPr>
          <w:sz w:val="24"/>
          <w:szCs w:val="24"/>
        </w:rPr>
      </w:pPr>
      <w:r w:rsidDel="00000000" w:rsidR="00000000" w:rsidRPr="00000000">
        <w:rPr>
          <w:rtl w:val="0"/>
        </w:rPr>
      </w:r>
    </w:p>
    <w:p w:rsidR="00000000" w:rsidDel="00000000" w:rsidP="00000000" w:rsidRDefault="00000000" w:rsidRPr="00000000" w14:paraId="00000241">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p w:rsidR="00000000" w:rsidDel="00000000" w:rsidP="00000000" w:rsidRDefault="00000000" w:rsidRPr="00000000" w14:paraId="00000259">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A">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2.png"/><Relationship Id="rId14" Type="http://schemas.openxmlformats.org/officeDocument/2006/relationships/hyperlink" Target="https://paperpile.com/c/NPPxEM/NRZI" TargetMode="External"/><Relationship Id="rId197" Type="http://schemas.openxmlformats.org/officeDocument/2006/relationships/image" Target="media/image4.png"/><Relationship Id="rId17" Type="http://schemas.openxmlformats.org/officeDocument/2006/relationships/hyperlink" Target="https://paperpile.com/c/NPPxEM/Lq9U+5cZt" TargetMode="External"/><Relationship Id="rId196" Type="http://schemas.openxmlformats.org/officeDocument/2006/relationships/image" Target="media/image3.png"/><Relationship Id="rId16" Type="http://schemas.openxmlformats.org/officeDocument/2006/relationships/hyperlink" Target="https://paperpile.com/c/NPPxEM/6kRx" TargetMode="External"/><Relationship Id="rId195" Type="http://schemas.openxmlformats.org/officeDocument/2006/relationships/image" Target="media/image1.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