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208D4" w14:textId="3B46F68F" w:rsidR="00C86FFC" w:rsidRPr="00C86FFC" w:rsidRDefault="00413955">
      <w:pPr>
        <w:rPr>
          <w:rFonts w:ascii="Arial" w:hAnsi="Arial" w:cs="Arial"/>
          <w:sz w:val="22"/>
          <w:szCs w:val="22"/>
        </w:rPr>
      </w:pPr>
      <w:r w:rsidRPr="00413955">
        <w:rPr>
          <w:rFonts w:ascii="Arial" w:hAnsi="Arial" w:cs="Arial"/>
          <w:color w:val="000000" w:themeColor="text1"/>
          <w:sz w:val="22"/>
          <w:szCs w:val="22"/>
        </w:rPr>
        <w:t xml:space="preserve">In figure 1, we visualize the standardization performance of the method LTE-3 +Euclidean Dist. Figure 1 shows the distribution of the closest Euclidean distances in the LTE-3 embedding space between the CTR condition names and the standardized tumor names from the WHO system as determined by the method LTE-3 + Euclidean Dist. It should be noted that in figure 1, out of the 1600 randomly sampled CTR terms, only the terms which had a ground truth from the WHO 5th or all </w:t>
      </w:r>
      <w:proofErr w:type="gramStart"/>
      <w:r w:rsidRPr="00413955">
        <w:rPr>
          <w:rFonts w:ascii="Arial" w:hAnsi="Arial" w:cs="Arial"/>
          <w:color w:val="000000" w:themeColor="text1"/>
          <w:sz w:val="22"/>
          <w:szCs w:val="22"/>
        </w:rPr>
        <w:t>edition</w:t>
      </w:r>
      <w:proofErr w:type="gramEnd"/>
      <w:r w:rsidRPr="00413955">
        <w:rPr>
          <w:rFonts w:ascii="Arial" w:hAnsi="Arial" w:cs="Arial"/>
          <w:color w:val="000000" w:themeColor="text1"/>
          <w:sz w:val="22"/>
          <w:szCs w:val="22"/>
        </w:rPr>
        <w:t xml:space="preserve"> </w:t>
      </w:r>
      <w:r w:rsidR="004A2D3A">
        <w:rPr>
          <w:rFonts w:ascii="Arial" w:hAnsi="Arial" w:cs="Arial"/>
          <w:color w:val="000000" w:themeColor="text1"/>
          <w:sz w:val="22"/>
          <w:szCs w:val="22"/>
        </w:rPr>
        <w:t xml:space="preserve">were </w:t>
      </w:r>
      <w:r w:rsidRPr="00413955">
        <w:rPr>
          <w:rFonts w:ascii="Arial" w:hAnsi="Arial" w:cs="Arial"/>
          <w:color w:val="000000" w:themeColor="text1"/>
          <w:sz w:val="22"/>
          <w:szCs w:val="22"/>
        </w:rPr>
        <w:t xml:space="preserve">considered. </w:t>
      </w:r>
      <w:r w:rsidR="004A2D3A">
        <w:rPr>
          <w:rFonts w:ascii="Arial" w:hAnsi="Arial" w:cs="Arial"/>
          <w:color w:val="000000" w:themeColor="text1"/>
          <w:sz w:val="22"/>
          <w:szCs w:val="22"/>
        </w:rPr>
        <w:t>Thus</w:t>
      </w:r>
      <w:r w:rsidRPr="00413955">
        <w:rPr>
          <w:rFonts w:ascii="Arial" w:hAnsi="Arial" w:cs="Arial"/>
          <w:color w:val="000000" w:themeColor="text1"/>
          <w:sz w:val="22"/>
          <w:szCs w:val="22"/>
        </w:rPr>
        <w:t xml:space="preserve">, in figure 1a, we have 1,033 CTR terms for which ground truths were identified in the WHO 5th edition and in figure 1b, we have 1,118 CTR terms or which ground truths were identified in the WHO all edition.  In both the 5th and all editions of the WHO System, the LTE-3+Euclidean </w:t>
      </w:r>
      <w:proofErr w:type="spellStart"/>
      <w:r w:rsidRPr="00413955">
        <w:rPr>
          <w:rFonts w:ascii="Arial" w:hAnsi="Arial" w:cs="Arial"/>
          <w:color w:val="000000" w:themeColor="text1"/>
          <w:sz w:val="22"/>
          <w:szCs w:val="22"/>
        </w:rPr>
        <w:t>Dist</w:t>
      </w:r>
      <w:proofErr w:type="spellEnd"/>
      <w:r w:rsidRPr="00413955">
        <w:rPr>
          <w:rFonts w:ascii="Arial" w:hAnsi="Arial" w:cs="Arial"/>
          <w:color w:val="000000" w:themeColor="text1"/>
          <w:sz w:val="22"/>
          <w:szCs w:val="22"/>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from it in the LTE-3 embedding space. Tables 3 and 4 present the summary statistics for figures 1a and 1b. It is evident from figure 1 and tables 3 and 4, that the closest Euclidean distance in the LTE-3 embedding can distinguish between correct and incorrect standardization, however its performance needs to be improved for better standardization results.  If the median closest Euclidean distance (0.6956 for WHO 5th edition or 0.6866 for WHO all edition) for the correctly standardized term is used as a threshold for determining which terms can be reliably standardized, we will still have a few terms that will be incorrectly standardized as the minimum closest Euclidean distance for the incorrectly standardized terms (0.4646 for WHO 5th edition and 0.3942 for WHO all edition) are lower than the median Euclidean distance for the correctly standardized terms.  While the LTE-3+Euclidean </w:t>
      </w:r>
      <w:proofErr w:type="spellStart"/>
      <w:r w:rsidRPr="00413955">
        <w:rPr>
          <w:rFonts w:ascii="Arial" w:hAnsi="Arial" w:cs="Arial"/>
          <w:color w:val="000000" w:themeColor="text1"/>
          <w:sz w:val="22"/>
          <w:szCs w:val="22"/>
        </w:rPr>
        <w:t>Dist</w:t>
      </w:r>
      <w:proofErr w:type="spellEnd"/>
      <w:r w:rsidRPr="00413955">
        <w:rPr>
          <w:rFonts w:ascii="Arial" w:hAnsi="Arial" w:cs="Arial"/>
          <w:color w:val="000000" w:themeColor="text1"/>
          <w:sz w:val="22"/>
          <w:szCs w:val="22"/>
        </w:rPr>
        <w:t xml:space="preserve"> offers a method for standardizing the CTR, the performance can likely be improved with embeddings generated from LLMs specifically trained on tumor nomenclature.</w:t>
      </w:r>
    </w:p>
    <w:p w14:paraId="6A77A0D3" w14:textId="77777777" w:rsidR="00C86FFC" w:rsidRDefault="00C86FFC"/>
    <w:p w14:paraId="2C79361B" w14:textId="7CF552D5" w:rsidR="00E91A47" w:rsidRDefault="00E21439">
      <w:r>
        <w:rPr>
          <w:noProof/>
        </w:rPr>
        <w:drawing>
          <wp:inline distT="0" distB="0" distL="0" distR="0" wp14:anchorId="5617A6DE" wp14:editId="45BB0F90">
            <wp:extent cx="5943600" cy="2660015"/>
            <wp:effectExtent l="0" t="0" r="0" b="0"/>
            <wp:docPr id="762442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42068" name="Picture 762442068"/>
                    <pic:cNvPicPr/>
                  </pic:nvPicPr>
                  <pic:blipFill>
                    <a:blip r:embed="rId4">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p>
    <w:p w14:paraId="71FBF67B" w14:textId="77777777" w:rsidR="003D583D" w:rsidRDefault="003D583D"/>
    <w:p w14:paraId="006F2EDA" w14:textId="1C794812" w:rsidR="00301A21" w:rsidRPr="00413955" w:rsidRDefault="001E23EA" w:rsidP="00413955">
      <w:pPr>
        <w:pStyle w:val="NormalWeb"/>
        <w:spacing w:before="0" w:beforeAutospacing="0" w:after="0" w:afterAutospacing="0"/>
        <w:rPr>
          <w:rFonts w:ascii="Arial" w:hAnsi="Arial" w:cs="Arial"/>
          <w:sz w:val="22"/>
          <w:szCs w:val="22"/>
        </w:rPr>
      </w:pPr>
      <w:r w:rsidRPr="001E23EA">
        <w:rPr>
          <w:rFonts w:ascii="Arial" w:hAnsi="Arial" w:cs="Arial"/>
          <w:b/>
          <w:bCs/>
          <w:sz w:val="22"/>
          <w:szCs w:val="22"/>
        </w:rPr>
        <w:t>Figure 1:</w:t>
      </w:r>
      <w:r w:rsidRPr="001E23EA">
        <w:rPr>
          <w:rFonts w:ascii="Arial" w:hAnsi="Arial" w:cs="Arial"/>
          <w:sz w:val="22"/>
          <w:szCs w:val="22"/>
        </w:rPr>
        <w:t xml:space="preserve"> Illustrates the distribution of the closest Euclidean distances in the LTE-3 embedding space, used by the standardization method LTE-3+Euclidean </w:t>
      </w:r>
      <w:proofErr w:type="spellStart"/>
      <w:r w:rsidRPr="001E23EA">
        <w:rPr>
          <w:rFonts w:ascii="Arial" w:hAnsi="Arial" w:cs="Arial"/>
          <w:sz w:val="22"/>
          <w:szCs w:val="22"/>
        </w:rPr>
        <w:t>Dist</w:t>
      </w:r>
      <w:proofErr w:type="spellEnd"/>
      <w:r w:rsidRPr="001E23EA">
        <w:rPr>
          <w:rFonts w:ascii="Arial" w:hAnsi="Arial" w:cs="Arial"/>
          <w:sz w:val="22"/>
          <w:szCs w:val="22"/>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sidRPr="001E23EA">
        <w:rPr>
          <w:rFonts w:ascii="Arial" w:hAnsi="Arial" w:cs="Arial"/>
          <w:sz w:val="22"/>
          <w:szCs w:val="22"/>
        </w:rPr>
        <w:t>Dist</w:t>
      </w:r>
      <w:proofErr w:type="spellEnd"/>
      <w:r w:rsidRPr="001E23EA">
        <w:rPr>
          <w:rFonts w:ascii="Arial" w:hAnsi="Arial" w:cs="Arial"/>
          <w:sz w:val="22"/>
          <w:szCs w:val="22"/>
        </w:rPr>
        <w:t xml:space="preserve"> uses this distance to identify the nearest standardized term from the WHO system and then maps it to the respective tumor name in the CTR. The box plot in red shows the instances when the LTE-3 + Euclidean </w:t>
      </w:r>
      <w:proofErr w:type="spellStart"/>
      <w:r w:rsidRPr="001E23EA">
        <w:rPr>
          <w:rFonts w:ascii="Arial" w:hAnsi="Arial" w:cs="Arial"/>
          <w:sz w:val="22"/>
          <w:szCs w:val="22"/>
        </w:rPr>
        <w:t>Dist</w:t>
      </w:r>
      <w:proofErr w:type="spellEnd"/>
      <w:r w:rsidRPr="001E23EA">
        <w:rPr>
          <w:rFonts w:ascii="Arial" w:hAnsi="Arial" w:cs="Arial"/>
          <w:sz w:val="22"/>
          <w:szCs w:val="22"/>
        </w:rPr>
        <w:t xml:space="preserve"> method correctly standardized the CTR </w:t>
      </w:r>
      <w:r w:rsidRPr="001E23EA">
        <w:rPr>
          <w:rFonts w:ascii="Arial" w:hAnsi="Arial" w:cs="Arial"/>
          <w:sz w:val="22"/>
          <w:szCs w:val="22"/>
        </w:rPr>
        <w:lastRenderedPageBreak/>
        <w:t xml:space="preserve">terms, whereas the blue box plot shows the instances when the method incorrectly standardized the CTR terms. </w:t>
      </w:r>
      <w:r w:rsidRPr="001E23EA">
        <w:rPr>
          <w:rFonts w:ascii="Arial" w:hAnsi="Arial" w:cs="Arial"/>
          <w:b/>
          <w:bCs/>
          <w:sz w:val="22"/>
          <w:szCs w:val="22"/>
        </w:rPr>
        <w:t>a.</w:t>
      </w:r>
      <w:r w:rsidRPr="001E23EA">
        <w:rPr>
          <w:rFonts w:ascii="Arial" w:hAnsi="Arial" w:cs="Arial"/>
          <w:sz w:val="22"/>
          <w:szCs w:val="22"/>
        </w:rPr>
        <w:t xml:space="preserve"> displays the distribution of the closest Euclidean distances in LTE-3 embedding space when the CTR terms are standardized against the WHO 5th edition, and </w:t>
      </w:r>
      <w:r w:rsidRPr="001E23EA">
        <w:rPr>
          <w:rFonts w:ascii="Arial" w:hAnsi="Arial" w:cs="Arial"/>
          <w:b/>
          <w:bCs/>
          <w:sz w:val="22"/>
          <w:szCs w:val="22"/>
        </w:rPr>
        <w:t>b.</w:t>
      </w:r>
      <w:r w:rsidRPr="001E23EA">
        <w:rPr>
          <w:rFonts w:ascii="Arial" w:hAnsi="Arial" w:cs="Arial"/>
          <w:sz w:val="22"/>
          <w:szCs w:val="22"/>
        </w:rPr>
        <w:t xml:space="preserve"> displays the distribution of the closest Euclidean distances in LTE-3 embedding space when the CTR terms are standardized against WHO all editions.</w:t>
      </w:r>
    </w:p>
    <w:p w14:paraId="739AAA61" w14:textId="77777777" w:rsidR="00301A21" w:rsidRDefault="00301A21">
      <w:pPr>
        <w:rPr>
          <w:rFonts w:ascii="Arial" w:hAnsi="Arial" w:cs="Arial"/>
          <w:b/>
          <w:bCs/>
          <w:sz w:val="22"/>
          <w:szCs w:val="22"/>
        </w:rPr>
      </w:pPr>
    </w:p>
    <w:p w14:paraId="1001DC0D" w14:textId="26CC4779" w:rsidR="00301A21" w:rsidRDefault="00C36225">
      <w:pPr>
        <w:rPr>
          <w:rFonts w:ascii="Arial" w:hAnsi="Arial" w:cs="Arial"/>
          <w:sz w:val="22"/>
          <w:szCs w:val="22"/>
        </w:rPr>
      </w:pPr>
      <w:r w:rsidRPr="00C36225">
        <w:rPr>
          <w:rFonts w:ascii="Arial" w:hAnsi="Arial" w:cs="Arial"/>
          <w:b/>
          <w:bCs/>
          <w:sz w:val="22"/>
          <w:szCs w:val="22"/>
        </w:rPr>
        <w:t>Table 3:</w:t>
      </w:r>
      <w:r>
        <w:rPr>
          <w:rFonts w:ascii="Arial" w:hAnsi="Arial" w:cs="Arial"/>
          <w:b/>
          <w:bCs/>
          <w:sz w:val="22"/>
          <w:szCs w:val="22"/>
        </w:rPr>
        <w:t xml:space="preserve"> </w:t>
      </w:r>
      <w:r w:rsidR="00301A21">
        <w:rPr>
          <w:rFonts w:ascii="Arial" w:hAnsi="Arial" w:cs="Arial"/>
          <w:sz w:val="22"/>
          <w:szCs w:val="22"/>
        </w:rPr>
        <w:t xml:space="preserve">Summary statistics for </w:t>
      </w:r>
      <w:r w:rsidR="00D44A67">
        <w:rPr>
          <w:rFonts w:ascii="Arial" w:hAnsi="Arial" w:cs="Arial"/>
          <w:sz w:val="22"/>
          <w:szCs w:val="22"/>
        </w:rPr>
        <w:t>closest</w:t>
      </w:r>
      <w:r w:rsidR="00301A21">
        <w:rPr>
          <w:rFonts w:ascii="Arial" w:hAnsi="Arial" w:cs="Arial"/>
          <w:sz w:val="22"/>
          <w:szCs w:val="22"/>
        </w:rPr>
        <w:t xml:space="preserve"> Euclidean distances between the CTR terms and standardized term from the WHO 5th edition as visualized for box plots in figure 1a for the method LTE-3 + Euclidean Dist.</w:t>
      </w:r>
      <w:r w:rsidR="00F263B9">
        <w:rPr>
          <w:rFonts w:ascii="Arial" w:hAnsi="Arial" w:cs="Arial"/>
          <w:sz w:val="22"/>
          <w:szCs w:val="22"/>
        </w:rPr>
        <w:t xml:space="preserve"> </w:t>
      </w:r>
      <w:r w:rsidR="00F263B9" w:rsidRPr="00C36225">
        <w:rPr>
          <w:rFonts w:ascii="Arial" w:hAnsi="Arial" w:cs="Arial"/>
          <w:color w:val="000000" w:themeColor="text1"/>
          <w:sz w:val="22"/>
          <w:szCs w:val="22"/>
        </w:rPr>
        <w:t>1,033 CTR terms</w:t>
      </w:r>
      <w:r w:rsidR="00F263B9">
        <w:rPr>
          <w:rFonts w:ascii="Arial" w:hAnsi="Arial" w:cs="Arial"/>
          <w:color w:val="000000" w:themeColor="text1"/>
          <w:sz w:val="22"/>
          <w:szCs w:val="22"/>
        </w:rPr>
        <w:t xml:space="preserve"> had a ground truth in WHO 5th edition. </w:t>
      </w:r>
    </w:p>
    <w:tbl>
      <w:tblPr>
        <w:tblStyle w:val="TableGrid"/>
        <w:tblW w:w="0" w:type="auto"/>
        <w:tblLook w:val="04A0" w:firstRow="1" w:lastRow="0" w:firstColumn="1" w:lastColumn="0" w:noHBand="0" w:noVBand="1"/>
      </w:tblPr>
      <w:tblGrid>
        <w:gridCol w:w="1513"/>
        <w:gridCol w:w="1314"/>
        <w:gridCol w:w="1306"/>
        <w:gridCol w:w="1302"/>
        <w:gridCol w:w="1287"/>
        <w:gridCol w:w="1306"/>
        <w:gridCol w:w="1322"/>
      </w:tblGrid>
      <w:tr w:rsidR="00301A21" w14:paraId="3D5C84B3" w14:textId="77777777" w:rsidTr="00301A21">
        <w:tc>
          <w:tcPr>
            <w:tcW w:w="1513" w:type="dxa"/>
          </w:tcPr>
          <w:p w14:paraId="11F4F83B" w14:textId="77777777" w:rsidR="00301A21" w:rsidRDefault="00301A21">
            <w:pPr>
              <w:rPr>
                <w:rFonts w:ascii="Arial" w:hAnsi="Arial" w:cs="Arial"/>
                <w:sz w:val="22"/>
                <w:szCs w:val="22"/>
              </w:rPr>
            </w:pPr>
          </w:p>
        </w:tc>
        <w:tc>
          <w:tcPr>
            <w:tcW w:w="1314" w:type="dxa"/>
          </w:tcPr>
          <w:p w14:paraId="7DE3B869" w14:textId="09637899" w:rsidR="00301A21" w:rsidRDefault="00301A21">
            <w:pPr>
              <w:rPr>
                <w:rFonts w:ascii="Arial" w:hAnsi="Arial" w:cs="Arial"/>
                <w:sz w:val="22"/>
                <w:szCs w:val="22"/>
              </w:rPr>
            </w:pPr>
            <w:r>
              <w:rPr>
                <w:rFonts w:ascii="Arial" w:hAnsi="Arial" w:cs="Arial"/>
                <w:sz w:val="22"/>
                <w:szCs w:val="22"/>
              </w:rPr>
              <w:t>Minimum</w:t>
            </w:r>
          </w:p>
        </w:tc>
        <w:tc>
          <w:tcPr>
            <w:tcW w:w="1306" w:type="dxa"/>
          </w:tcPr>
          <w:p w14:paraId="24269134" w14:textId="597C3083" w:rsidR="00301A21" w:rsidRDefault="00301A21">
            <w:pPr>
              <w:rPr>
                <w:rFonts w:ascii="Arial" w:hAnsi="Arial" w:cs="Arial"/>
                <w:sz w:val="22"/>
                <w:szCs w:val="22"/>
              </w:rPr>
            </w:pPr>
            <w:r>
              <w:rPr>
                <w:rFonts w:ascii="Arial" w:hAnsi="Arial" w:cs="Arial"/>
                <w:sz w:val="22"/>
                <w:szCs w:val="22"/>
              </w:rPr>
              <w:t>1</w:t>
            </w:r>
            <w:r w:rsidRPr="00301A21">
              <w:rPr>
                <w:rFonts w:ascii="Arial" w:hAnsi="Arial" w:cs="Arial"/>
                <w:sz w:val="22"/>
                <w:szCs w:val="22"/>
                <w:vertAlign w:val="superscript"/>
              </w:rPr>
              <w:t>st</w:t>
            </w:r>
            <w:r>
              <w:rPr>
                <w:rFonts w:ascii="Arial" w:hAnsi="Arial" w:cs="Arial"/>
                <w:sz w:val="22"/>
                <w:szCs w:val="22"/>
              </w:rPr>
              <w:t xml:space="preserve"> Quartile</w:t>
            </w:r>
          </w:p>
        </w:tc>
        <w:tc>
          <w:tcPr>
            <w:tcW w:w="1302" w:type="dxa"/>
          </w:tcPr>
          <w:p w14:paraId="769D3182" w14:textId="6F60E830" w:rsidR="00301A21" w:rsidRDefault="00301A21">
            <w:pPr>
              <w:rPr>
                <w:rFonts w:ascii="Arial" w:hAnsi="Arial" w:cs="Arial"/>
                <w:sz w:val="22"/>
                <w:szCs w:val="22"/>
              </w:rPr>
            </w:pPr>
            <w:r>
              <w:rPr>
                <w:rFonts w:ascii="Arial" w:hAnsi="Arial" w:cs="Arial"/>
                <w:sz w:val="22"/>
                <w:szCs w:val="22"/>
              </w:rPr>
              <w:t>Median</w:t>
            </w:r>
          </w:p>
        </w:tc>
        <w:tc>
          <w:tcPr>
            <w:tcW w:w="1287" w:type="dxa"/>
          </w:tcPr>
          <w:p w14:paraId="07813C38" w14:textId="6301EE57" w:rsidR="00301A21" w:rsidRDefault="00301A21">
            <w:pPr>
              <w:rPr>
                <w:rFonts w:ascii="Arial" w:hAnsi="Arial" w:cs="Arial"/>
                <w:sz w:val="22"/>
                <w:szCs w:val="22"/>
              </w:rPr>
            </w:pPr>
            <w:r>
              <w:rPr>
                <w:rFonts w:ascii="Arial" w:hAnsi="Arial" w:cs="Arial"/>
                <w:sz w:val="22"/>
                <w:szCs w:val="22"/>
              </w:rPr>
              <w:t>Mean</w:t>
            </w:r>
          </w:p>
        </w:tc>
        <w:tc>
          <w:tcPr>
            <w:tcW w:w="1306" w:type="dxa"/>
          </w:tcPr>
          <w:p w14:paraId="03EFEAB8" w14:textId="3DA5F783" w:rsidR="00301A21" w:rsidRDefault="00301A21">
            <w:pPr>
              <w:rPr>
                <w:rFonts w:ascii="Arial" w:hAnsi="Arial" w:cs="Arial"/>
                <w:sz w:val="22"/>
                <w:szCs w:val="22"/>
              </w:rPr>
            </w:pPr>
            <w:r>
              <w:rPr>
                <w:rFonts w:ascii="Arial" w:hAnsi="Arial" w:cs="Arial"/>
                <w:sz w:val="22"/>
                <w:szCs w:val="22"/>
              </w:rPr>
              <w:t>3</w:t>
            </w:r>
            <w:r w:rsidRPr="00301A21">
              <w:rPr>
                <w:rFonts w:ascii="Arial" w:hAnsi="Arial" w:cs="Arial"/>
                <w:sz w:val="22"/>
                <w:szCs w:val="22"/>
                <w:vertAlign w:val="superscript"/>
              </w:rPr>
              <w:t>rd</w:t>
            </w:r>
            <w:r>
              <w:rPr>
                <w:rFonts w:ascii="Arial" w:hAnsi="Arial" w:cs="Arial"/>
                <w:sz w:val="22"/>
                <w:szCs w:val="22"/>
              </w:rPr>
              <w:t xml:space="preserve"> Quartile</w:t>
            </w:r>
          </w:p>
        </w:tc>
        <w:tc>
          <w:tcPr>
            <w:tcW w:w="1322" w:type="dxa"/>
          </w:tcPr>
          <w:p w14:paraId="260C3511" w14:textId="21D5FA12" w:rsidR="00301A21" w:rsidRDefault="00301A21">
            <w:pPr>
              <w:rPr>
                <w:rFonts w:ascii="Arial" w:hAnsi="Arial" w:cs="Arial"/>
                <w:sz w:val="22"/>
                <w:szCs w:val="22"/>
              </w:rPr>
            </w:pPr>
            <w:r>
              <w:rPr>
                <w:rFonts w:ascii="Arial" w:hAnsi="Arial" w:cs="Arial"/>
                <w:sz w:val="22"/>
                <w:szCs w:val="22"/>
              </w:rPr>
              <w:t>Maximum</w:t>
            </w:r>
          </w:p>
        </w:tc>
      </w:tr>
      <w:tr w:rsidR="00301A21" w14:paraId="286C0E89" w14:textId="77777777" w:rsidTr="00301A21">
        <w:tc>
          <w:tcPr>
            <w:tcW w:w="1513" w:type="dxa"/>
          </w:tcPr>
          <w:p w14:paraId="215B915C" w14:textId="561299FE" w:rsidR="00301A21" w:rsidRDefault="00301A21">
            <w:pPr>
              <w:rPr>
                <w:rFonts w:ascii="Arial" w:hAnsi="Arial" w:cs="Arial"/>
                <w:sz w:val="22"/>
                <w:szCs w:val="22"/>
              </w:rPr>
            </w:pPr>
            <w:r>
              <w:rPr>
                <w:rFonts w:ascii="Arial" w:hAnsi="Arial" w:cs="Arial"/>
                <w:sz w:val="22"/>
                <w:szCs w:val="22"/>
              </w:rPr>
              <w:t>Correctly Standardized</w:t>
            </w:r>
          </w:p>
        </w:tc>
        <w:tc>
          <w:tcPr>
            <w:tcW w:w="1314" w:type="dxa"/>
          </w:tcPr>
          <w:p w14:paraId="50E43117" w14:textId="4B99C86A" w:rsidR="00301A21" w:rsidRDefault="00301A21">
            <w:pPr>
              <w:rPr>
                <w:rFonts w:ascii="Arial" w:hAnsi="Arial" w:cs="Arial"/>
                <w:sz w:val="22"/>
                <w:szCs w:val="22"/>
              </w:rPr>
            </w:pPr>
            <w:r>
              <w:rPr>
                <w:rFonts w:ascii="Arial" w:hAnsi="Arial" w:cs="Arial"/>
                <w:sz w:val="22"/>
                <w:szCs w:val="22"/>
              </w:rPr>
              <w:t>0</w:t>
            </w:r>
          </w:p>
        </w:tc>
        <w:tc>
          <w:tcPr>
            <w:tcW w:w="1306" w:type="dxa"/>
          </w:tcPr>
          <w:p w14:paraId="5D3C21CF" w14:textId="553AC73A" w:rsidR="00301A21" w:rsidRDefault="00301A21">
            <w:pPr>
              <w:rPr>
                <w:rFonts w:ascii="Arial" w:hAnsi="Arial" w:cs="Arial"/>
                <w:sz w:val="22"/>
                <w:szCs w:val="22"/>
              </w:rPr>
            </w:pPr>
            <w:r w:rsidRPr="00301A21">
              <w:rPr>
                <w:rFonts w:ascii="Arial" w:hAnsi="Arial" w:cs="Arial"/>
                <w:sz w:val="22"/>
                <w:szCs w:val="22"/>
              </w:rPr>
              <w:t>0.5852</w:t>
            </w:r>
          </w:p>
        </w:tc>
        <w:tc>
          <w:tcPr>
            <w:tcW w:w="1302" w:type="dxa"/>
          </w:tcPr>
          <w:p w14:paraId="66E9F5F6" w14:textId="7A147DAC" w:rsidR="00301A21" w:rsidRDefault="00301A21">
            <w:pPr>
              <w:rPr>
                <w:rFonts w:ascii="Arial" w:hAnsi="Arial" w:cs="Arial"/>
                <w:sz w:val="22"/>
                <w:szCs w:val="22"/>
              </w:rPr>
            </w:pPr>
            <w:r w:rsidRPr="00301A21">
              <w:rPr>
                <w:rFonts w:ascii="Arial" w:hAnsi="Arial" w:cs="Arial"/>
                <w:sz w:val="22"/>
                <w:szCs w:val="22"/>
              </w:rPr>
              <w:t>0.6956</w:t>
            </w:r>
          </w:p>
        </w:tc>
        <w:tc>
          <w:tcPr>
            <w:tcW w:w="1287" w:type="dxa"/>
          </w:tcPr>
          <w:p w14:paraId="388DD08F" w14:textId="7E54883F" w:rsidR="00301A21" w:rsidRDefault="00301A21">
            <w:pPr>
              <w:rPr>
                <w:rFonts w:ascii="Arial" w:hAnsi="Arial" w:cs="Arial"/>
                <w:sz w:val="22"/>
                <w:szCs w:val="22"/>
              </w:rPr>
            </w:pPr>
            <w:r w:rsidRPr="00301A21">
              <w:rPr>
                <w:rFonts w:ascii="Arial" w:hAnsi="Arial" w:cs="Arial"/>
                <w:sz w:val="22"/>
                <w:szCs w:val="22"/>
              </w:rPr>
              <w:t>0.6657</w:t>
            </w:r>
          </w:p>
        </w:tc>
        <w:tc>
          <w:tcPr>
            <w:tcW w:w="1306" w:type="dxa"/>
          </w:tcPr>
          <w:p w14:paraId="3386D0E5" w14:textId="50B312BB" w:rsidR="00301A21" w:rsidRDefault="00301A21">
            <w:pPr>
              <w:rPr>
                <w:rFonts w:ascii="Arial" w:hAnsi="Arial" w:cs="Arial"/>
                <w:sz w:val="22"/>
                <w:szCs w:val="22"/>
              </w:rPr>
            </w:pPr>
            <w:r w:rsidRPr="00301A21">
              <w:rPr>
                <w:rFonts w:ascii="Arial" w:hAnsi="Arial" w:cs="Arial"/>
                <w:sz w:val="22"/>
                <w:szCs w:val="22"/>
              </w:rPr>
              <w:t>0.8037</w:t>
            </w:r>
          </w:p>
        </w:tc>
        <w:tc>
          <w:tcPr>
            <w:tcW w:w="1322" w:type="dxa"/>
          </w:tcPr>
          <w:p w14:paraId="5608BDF4" w14:textId="3F8F59FD" w:rsidR="00301A21" w:rsidRDefault="00301A21">
            <w:pPr>
              <w:rPr>
                <w:rFonts w:ascii="Arial" w:hAnsi="Arial" w:cs="Arial"/>
                <w:sz w:val="22"/>
                <w:szCs w:val="22"/>
              </w:rPr>
            </w:pPr>
            <w:r w:rsidRPr="00301A21">
              <w:rPr>
                <w:rFonts w:ascii="Arial" w:hAnsi="Arial" w:cs="Arial"/>
                <w:sz w:val="22"/>
                <w:szCs w:val="22"/>
              </w:rPr>
              <w:t>1.0112</w:t>
            </w:r>
          </w:p>
        </w:tc>
      </w:tr>
      <w:tr w:rsidR="00301A21" w14:paraId="6D456DFE" w14:textId="77777777" w:rsidTr="00301A21">
        <w:tc>
          <w:tcPr>
            <w:tcW w:w="1513" w:type="dxa"/>
          </w:tcPr>
          <w:p w14:paraId="54766FE4" w14:textId="7042BEAC" w:rsidR="00301A21" w:rsidRDefault="00301A21">
            <w:pPr>
              <w:rPr>
                <w:rFonts w:ascii="Arial" w:hAnsi="Arial" w:cs="Arial"/>
                <w:sz w:val="22"/>
                <w:szCs w:val="22"/>
              </w:rPr>
            </w:pPr>
            <w:r>
              <w:rPr>
                <w:rFonts w:ascii="Arial" w:hAnsi="Arial" w:cs="Arial"/>
                <w:sz w:val="22"/>
                <w:szCs w:val="22"/>
              </w:rPr>
              <w:t>Incorrectly Standardized</w:t>
            </w:r>
          </w:p>
        </w:tc>
        <w:tc>
          <w:tcPr>
            <w:tcW w:w="1314" w:type="dxa"/>
          </w:tcPr>
          <w:p w14:paraId="5EAF5AAA" w14:textId="3436930E" w:rsidR="00301A21" w:rsidRDefault="00301A21">
            <w:pPr>
              <w:rPr>
                <w:rFonts w:ascii="Arial" w:hAnsi="Arial" w:cs="Arial"/>
                <w:sz w:val="22"/>
                <w:szCs w:val="22"/>
              </w:rPr>
            </w:pPr>
            <w:r w:rsidRPr="00301A21">
              <w:rPr>
                <w:rFonts w:ascii="Arial" w:hAnsi="Arial" w:cs="Arial"/>
                <w:sz w:val="22"/>
                <w:szCs w:val="22"/>
              </w:rPr>
              <w:t>0.4646</w:t>
            </w:r>
          </w:p>
        </w:tc>
        <w:tc>
          <w:tcPr>
            <w:tcW w:w="1306" w:type="dxa"/>
          </w:tcPr>
          <w:p w14:paraId="083607A0" w14:textId="55157BCA" w:rsidR="00301A21" w:rsidRDefault="00301A21">
            <w:pPr>
              <w:rPr>
                <w:rFonts w:ascii="Arial" w:hAnsi="Arial" w:cs="Arial"/>
                <w:sz w:val="22"/>
                <w:szCs w:val="22"/>
              </w:rPr>
            </w:pPr>
            <w:r w:rsidRPr="00301A21">
              <w:rPr>
                <w:rFonts w:ascii="Arial" w:hAnsi="Arial" w:cs="Arial"/>
                <w:sz w:val="22"/>
                <w:szCs w:val="22"/>
              </w:rPr>
              <w:t>0.7705</w:t>
            </w:r>
          </w:p>
        </w:tc>
        <w:tc>
          <w:tcPr>
            <w:tcW w:w="1302" w:type="dxa"/>
          </w:tcPr>
          <w:p w14:paraId="1BCF2CC4" w14:textId="3DCD8DCD" w:rsidR="00301A21" w:rsidRDefault="00301A21">
            <w:pPr>
              <w:rPr>
                <w:rFonts w:ascii="Arial" w:hAnsi="Arial" w:cs="Arial"/>
                <w:sz w:val="22"/>
                <w:szCs w:val="22"/>
              </w:rPr>
            </w:pPr>
            <w:r w:rsidRPr="00301A21">
              <w:rPr>
                <w:rFonts w:ascii="Arial" w:hAnsi="Arial" w:cs="Arial"/>
                <w:sz w:val="22"/>
                <w:szCs w:val="22"/>
              </w:rPr>
              <w:t>0.8448</w:t>
            </w:r>
          </w:p>
        </w:tc>
        <w:tc>
          <w:tcPr>
            <w:tcW w:w="1287" w:type="dxa"/>
          </w:tcPr>
          <w:p w14:paraId="75F5120C" w14:textId="5767277C" w:rsidR="00301A21" w:rsidRDefault="00301A21">
            <w:pPr>
              <w:rPr>
                <w:rFonts w:ascii="Arial" w:hAnsi="Arial" w:cs="Arial"/>
                <w:sz w:val="22"/>
                <w:szCs w:val="22"/>
              </w:rPr>
            </w:pPr>
            <w:r w:rsidRPr="00301A21">
              <w:rPr>
                <w:rFonts w:ascii="Arial" w:hAnsi="Arial" w:cs="Arial"/>
                <w:sz w:val="22"/>
                <w:szCs w:val="22"/>
              </w:rPr>
              <w:t>0.8322</w:t>
            </w:r>
          </w:p>
        </w:tc>
        <w:tc>
          <w:tcPr>
            <w:tcW w:w="1306" w:type="dxa"/>
          </w:tcPr>
          <w:p w14:paraId="55C25510" w14:textId="3B518623" w:rsidR="00301A21" w:rsidRDefault="00301A21">
            <w:pPr>
              <w:rPr>
                <w:rFonts w:ascii="Arial" w:hAnsi="Arial" w:cs="Arial"/>
                <w:sz w:val="22"/>
                <w:szCs w:val="22"/>
              </w:rPr>
            </w:pPr>
            <w:r w:rsidRPr="00301A21">
              <w:rPr>
                <w:rFonts w:ascii="Arial" w:hAnsi="Arial" w:cs="Arial"/>
                <w:sz w:val="22"/>
                <w:szCs w:val="22"/>
              </w:rPr>
              <w:t>0.9104</w:t>
            </w:r>
          </w:p>
        </w:tc>
        <w:tc>
          <w:tcPr>
            <w:tcW w:w="1322" w:type="dxa"/>
          </w:tcPr>
          <w:p w14:paraId="1B4626A6" w14:textId="0710275B" w:rsidR="00301A21" w:rsidRDefault="00301A21">
            <w:pPr>
              <w:rPr>
                <w:rFonts w:ascii="Arial" w:hAnsi="Arial" w:cs="Arial"/>
                <w:sz w:val="22"/>
                <w:szCs w:val="22"/>
              </w:rPr>
            </w:pPr>
            <w:r w:rsidRPr="00301A21">
              <w:rPr>
                <w:rFonts w:ascii="Arial" w:hAnsi="Arial" w:cs="Arial"/>
                <w:sz w:val="22"/>
                <w:szCs w:val="22"/>
              </w:rPr>
              <w:t>1.0880</w:t>
            </w:r>
          </w:p>
        </w:tc>
      </w:tr>
    </w:tbl>
    <w:p w14:paraId="59D61F50" w14:textId="77777777" w:rsidR="00301A21" w:rsidRDefault="00301A21">
      <w:pPr>
        <w:rPr>
          <w:rFonts w:ascii="Arial" w:hAnsi="Arial" w:cs="Arial"/>
          <w:sz w:val="22"/>
          <w:szCs w:val="22"/>
        </w:rPr>
      </w:pPr>
    </w:p>
    <w:p w14:paraId="0C697175" w14:textId="1D4A8196" w:rsidR="00301A21" w:rsidRDefault="00301A21" w:rsidP="00301A21">
      <w:pPr>
        <w:rPr>
          <w:rFonts w:ascii="Arial" w:hAnsi="Arial" w:cs="Arial"/>
          <w:sz w:val="22"/>
          <w:szCs w:val="22"/>
        </w:rPr>
      </w:pPr>
      <w:r w:rsidRPr="00C36225">
        <w:rPr>
          <w:rFonts w:ascii="Arial" w:hAnsi="Arial" w:cs="Arial"/>
          <w:b/>
          <w:bCs/>
          <w:sz w:val="22"/>
          <w:szCs w:val="22"/>
        </w:rPr>
        <w:t xml:space="preserve">Table </w:t>
      </w:r>
      <w:r>
        <w:rPr>
          <w:rFonts w:ascii="Arial" w:hAnsi="Arial" w:cs="Arial"/>
          <w:b/>
          <w:bCs/>
          <w:sz w:val="22"/>
          <w:szCs w:val="22"/>
        </w:rPr>
        <w:t>4</w:t>
      </w:r>
      <w:r w:rsidRPr="00C36225">
        <w:rPr>
          <w:rFonts w:ascii="Arial" w:hAnsi="Arial" w:cs="Arial"/>
          <w:b/>
          <w:bCs/>
          <w:sz w:val="22"/>
          <w:szCs w:val="22"/>
        </w:rPr>
        <w:t>:</w:t>
      </w:r>
      <w:r>
        <w:rPr>
          <w:rFonts w:ascii="Arial" w:hAnsi="Arial" w:cs="Arial"/>
          <w:b/>
          <w:bCs/>
          <w:sz w:val="22"/>
          <w:szCs w:val="22"/>
        </w:rPr>
        <w:t xml:space="preserve"> </w:t>
      </w:r>
      <w:r>
        <w:rPr>
          <w:rFonts w:ascii="Arial" w:hAnsi="Arial" w:cs="Arial"/>
          <w:sz w:val="22"/>
          <w:szCs w:val="22"/>
        </w:rPr>
        <w:t xml:space="preserve">Summary statistics for </w:t>
      </w:r>
      <w:r w:rsidR="00D44A67">
        <w:rPr>
          <w:rFonts w:ascii="Arial" w:hAnsi="Arial" w:cs="Arial"/>
          <w:sz w:val="22"/>
          <w:szCs w:val="22"/>
        </w:rPr>
        <w:t xml:space="preserve">closest </w:t>
      </w:r>
      <w:r>
        <w:rPr>
          <w:rFonts w:ascii="Arial" w:hAnsi="Arial" w:cs="Arial"/>
          <w:sz w:val="22"/>
          <w:szCs w:val="22"/>
        </w:rPr>
        <w:t xml:space="preserve">Euclidean distances between the CTR terms and standardized term from the WHO </w:t>
      </w:r>
      <w:r w:rsidR="00F263B9">
        <w:rPr>
          <w:rFonts w:ascii="Arial" w:hAnsi="Arial" w:cs="Arial"/>
          <w:sz w:val="22"/>
          <w:szCs w:val="22"/>
        </w:rPr>
        <w:t>all</w:t>
      </w:r>
      <w:r>
        <w:rPr>
          <w:rFonts w:ascii="Arial" w:hAnsi="Arial" w:cs="Arial"/>
          <w:sz w:val="22"/>
          <w:szCs w:val="22"/>
        </w:rPr>
        <w:t xml:space="preserve"> edition as visualized for box plots in figure 1b for the method LTE-3 + Euclidean Dist.</w:t>
      </w:r>
      <w:r w:rsidR="00F263B9" w:rsidRPr="00F263B9">
        <w:rPr>
          <w:rFonts w:ascii="Arial" w:hAnsi="Arial" w:cs="Arial"/>
          <w:color w:val="000000" w:themeColor="text1"/>
          <w:sz w:val="22"/>
          <w:szCs w:val="22"/>
        </w:rPr>
        <w:t xml:space="preserve"> </w:t>
      </w:r>
      <w:r w:rsidR="00F263B9" w:rsidRPr="00C36225">
        <w:rPr>
          <w:rFonts w:ascii="Arial" w:hAnsi="Arial" w:cs="Arial"/>
          <w:color w:val="000000" w:themeColor="text1"/>
          <w:sz w:val="22"/>
          <w:szCs w:val="22"/>
        </w:rPr>
        <w:t>1,118 CTR terms</w:t>
      </w:r>
      <w:r w:rsidR="00F263B9">
        <w:rPr>
          <w:rFonts w:ascii="Arial" w:hAnsi="Arial" w:cs="Arial"/>
          <w:color w:val="000000" w:themeColor="text1"/>
          <w:sz w:val="22"/>
          <w:szCs w:val="22"/>
        </w:rPr>
        <w:t xml:space="preserve"> had a ground truth in WHO all edition</w:t>
      </w:r>
    </w:p>
    <w:tbl>
      <w:tblPr>
        <w:tblStyle w:val="TableGrid"/>
        <w:tblW w:w="0" w:type="auto"/>
        <w:tblLook w:val="04A0" w:firstRow="1" w:lastRow="0" w:firstColumn="1" w:lastColumn="0" w:noHBand="0" w:noVBand="1"/>
      </w:tblPr>
      <w:tblGrid>
        <w:gridCol w:w="1513"/>
        <w:gridCol w:w="1314"/>
        <w:gridCol w:w="1306"/>
        <w:gridCol w:w="1302"/>
        <w:gridCol w:w="1287"/>
        <w:gridCol w:w="1306"/>
        <w:gridCol w:w="1322"/>
      </w:tblGrid>
      <w:tr w:rsidR="00301A21" w14:paraId="49B2F79E" w14:textId="77777777" w:rsidTr="0038540B">
        <w:tc>
          <w:tcPr>
            <w:tcW w:w="1513" w:type="dxa"/>
          </w:tcPr>
          <w:p w14:paraId="44325FC2" w14:textId="77777777" w:rsidR="00301A21" w:rsidRDefault="00301A21" w:rsidP="0038540B">
            <w:pPr>
              <w:rPr>
                <w:rFonts w:ascii="Arial" w:hAnsi="Arial" w:cs="Arial"/>
                <w:sz w:val="22"/>
                <w:szCs w:val="22"/>
              </w:rPr>
            </w:pPr>
          </w:p>
        </w:tc>
        <w:tc>
          <w:tcPr>
            <w:tcW w:w="1314" w:type="dxa"/>
          </w:tcPr>
          <w:p w14:paraId="5B906F8A" w14:textId="77777777" w:rsidR="00301A21" w:rsidRDefault="00301A21" w:rsidP="0038540B">
            <w:pPr>
              <w:rPr>
                <w:rFonts w:ascii="Arial" w:hAnsi="Arial" w:cs="Arial"/>
                <w:sz w:val="22"/>
                <w:szCs w:val="22"/>
              </w:rPr>
            </w:pPr>
            <w:r>
              <w:rPr>
                <w:rFonts w:ascii="Arial" w:hAnsi="Arial" w:cs="Arial"/>
                <w:sz w:val="22"/>
                <w:szCs w:val="22"/>
              </w:rPr>
              <w:t>Minimum</w:t>
            </w:r>
          </w:p>
        </w:tc>
        <w:tc>
          <w:tcPr>
            <w:tcW w:w="1306" w:type="dxa"/>
          </w:tcPr>
          <w:p w14:paraId="4F13E7B6" w14:textId="77777777" w:rsidR="00301A21" w:rsidRDefault="00301A21" w:rsidP="0038540B">
            <w:pPr>
              <w:rPr>
                <w:rFonts w:ascii="Arial" w:hAnsi="Arial" w:cs="Arial"/>
                <w:sz w:val="22"/>
                <w:szCs w:val="22"/>
              </w:rPr>
            </w:pPr>
            <w:r>
              <w:rPr>
                <w:rFonts w:ascii="Arial" w:hAnsi="Arial" w:cs="Arial"/>
                <w:sz w:val="22"/>
                <w:szCs w:val="22"/>
              </w:rPr>
              <w:t>1</w:t>
            </w:r>
            <w:r w:rsidRPr="00301A21">
              <w:rPr>
                <w:rFonts w:ascii="Arial" w:hAnsi="Arial" w:cs="Arial"/>
                <w:sz w:val="22"/>
                <w:szCs w:val="22"/>
                <w:vertAlign w:val="superscript"/>
              </w:rPr>
              <w:t>st</w:t>
            </w:r>
            <w:r>
              <w:rPr>
                <w:rFonts w:ascii="Arial" w:hAnsi="Arial" w:cs="Arial"/>
                <w:sz w:val="22"/>
                <w:szCs w:val="22"/>
              </w:rPr>
              <w:t xml:space="preserve"> Quartile</w:t>
            </w:r>
          </w:p>
        </w:tc>
        <w:tc>
          <w:tcPr>
            <w:tcW w:w="1302" w:type="dxa"/>
          </w:tcPr>
          <w:p w14:paraId="49ACFE25" w14:textId="77777777" w:rsidR="00301A21" w:rsidRDefault="00301A21" w:rsidP="0038540B">
            <w:pPr>
              <w:rPr>
                <w:rFonts w:ascii="Arial" w:hAnsi="Arial" w:cs="Arial"/>
                <w:sz w:val="22"/>
                <w:szCs w:val="22"/>
              </w:rPr>
            </w:pPr>
            <w:r>
              <w:rPr>
                <w:rFonts w:ascii="Arial" w:hAnsi="Arial" w:cs="Arial"/>
                <w:sz w:val="22"/>
                <w:szCs w:val="22"/>
              </w:rPr>
              <w:t>Median</w:t>
            </w:r>
          </w:p>
        </w:tc>
        <w:tc>
          <w:tcPr>
            <w:tcW w:w="1287" w:type="dxa"/>
          </w:tcPr>
          <w:p w14:paraId="0C9EA0CB" w14:textId="77777777" w:rsidR="00301A21" w:rsidRDefault="00301A21" w:rsidP="0038540B">
            <w:pPr>
              <w:rPr>
                <w:rFonts w:ascii="Arial" w:hAnsi="Arial" w:cs="Arial"/>
                <w:sz w:val="22"/>
                <w:szCs w:val="22"/>
              </w:rPr>
            </w:pPr>
            <w:r>
              <w:rPr>
                <w:rFonts w:ascii="Arial" w:hAnsi="Arial" w:cs="Arial"/>
                <w:sz w:val="22"/>
                <w:szCs w:val="22"/>
              </w:rPr>
              <w:t>Mean</w:t>
            </w:r>
          </w:p>
        </w:tc>
        <w:tc>
          <w:tcPr>
            <w:tcW w:w="1306" w:type="dxa"/>
          </w:tcPr>
          <w:p w14:paraId="3C8B4CEF" w14:textId="77777777" w:rsidR="00301A21" w:rsidRDefault="00301A21" w:rsidP="0038540B">
            <w:pPr>
              <w:rPr>
                <w:rFonts w:ascii="Arial" w:hAnsi="Arial" w:cs="Arial"/>
                <w:sz w:val="22"/>
                <w:szCs w:val="22"/>
              </w:rPr>
            </w:pPr>
            <w:r>
              <w:rPr>
                <w:rFonts w:ascii="Arial" w:hAnsi="Arial" w:cs="Arial"/>
                <w:sz w:val="22"/>
                <w:szCs w:val="22"/>
              </w:rPr>
              <w:t>3</w:t>
            </w:r>
            <w:r w:rsidRPr="00301A21">
              <w:rPr>
                <w:rFonts w:ascii="Arial" w:hAnsi="Arial" w:cs="Arial"/>
                <w:sz w:val="22"/>
                <w:szCs w:val="22"/>
                <w:vertAlign w:val="superscript"/>
              </w:rPr>
              <w:t>rd</w:t>
            </w:r>
            <w:r>
              <w:rPr>
                <w:rFonts w:ascii="Arial" w:hAnsi="Arial" w:cs="Arial"/>
                <w:sz w:val="22"/>
                <w:szCs w:val="22"/>
              </w:rPr>
              <w:t xml:space="preserve"> Quartile</w:t>
            </w:r>
          </w:p>
        </w:tc>
        <w:tc>
          <w:tcPr>
            <w:tcW w:w="1322" w:type="dxa"/>
          </w:tcPr>
          <w:p w14:paraId="471347B6" w14:textId="77777777" w:rsidR="00301A21" w:rsidRDefault="00301A21" w:rsidP="0038540B">
            <w:pPr>
              <w:rPr>
                <w:rFonts w:ascii="Arial" w:hAnsi="Arial" w:cs="Arial"/>
                <w:sz w:val="22"/>
                <w:szCs w:val="22"/>
              </w:rPr>
            </w:pPr>
            <w:r>
              <w:rPr>
                <w:rFonts w:ascii="Arial" w:hAnsi="Arial" w:cs="Arial"/>
                <w:sz w:val="22"/>
                <w:szCs w:val="22"/>
              </w:rPr>
              <w:t>Maximum</w:t>
            </w:r>
          </w:p>
        </w:tc>
      </w:tr>
      <w:tr w:rsidR="00301A21" w14:paraId="1B965E3C" w14:textId="77777777" w:rsidTr="0038540B">
        <w:tc>
          <w:tcPr>
            <w:tcW w:w="1513" w:type="dxa"/>
          </w:tcPr>
          <w:p w14:paraId="71D254D1" w14:textId="77777777" w:rsidR="00301A21" w:rsidRDefault="00301A21" w:rsidP="0038540B">
            <w:pPr>
              <w:rPr>
                <w:rFonts w:ascii="Arial" w:hAnsi="Arial" w:cs="Arial"/>
                <w:sz w:val="22"/>
                <w:szCs w:val="22"/>
              </w:rPr>
            </w:pPr>
            <w:r>
              <w:rPr>
                <w:rFonts w:ascii="Arial" w:hAnsi="Arial" w:cs="Arial"/>
                <w:sz w:val="22"/>
                <w:szCs w:val="22"/>
              </w:rPr>
              <w:t>Correctly Standardized</w:t>
            </w:r>
          </w:p>
        </w:tc>
        <w:tc>
          <w:tcPr>
            <w:tcW w:w="1314" w:type="dxa"/>
          </w:tcPr>
          <w:p w14:paraId="2D0CCFC3" w14:textId="77777777" w:rsidR="00301A21" w:rsidRDefault="00301A21" w:rsidP="0038540B">
            <w:pPr>
              <w:rPr>
                <w:rFonts w:ascii="Arial" w:hAnsi="Arial" w:cs="Arial"/>
                <w:sz w:val="22"/>
                <w:szCs w:val="22"/>
              </w:rPr>
            </w:pPr>
            <w:r>
              <w:rPr>
                <w:rFonts w:ascii="Arial" w:hAnsi="Arial" w:cs="Arial"/>
                <w:sz w:val="22"/>
                <w:szCs w:val="22"/>
              </w:rPr>
              <w:t>0</w:t>
            </w:r>
          </w:p>
        </w:tc>
        <w:tc>
          <w:tcPr>
            <w:tcW w:w="1306" w:type="dxa"/>
          </w:tcPr>
          <w:p w14:paraId="5F8B2CA7" w14:textId="5FF80952" w:rsidR="00301A21" w:rsidRDefault="00301A21" w:rsidP="0038540B">
            <w:pPr>
              <w:rPr>
                <w:rFonts w:ascii="Arial" w:hAnsi="Arial" w:cs="Arial"/>
                <w:sz w:val="22"/>
                <w:szCs w:val="22"/>
              </w:rPr>
            </w:pPr>
            <w:r w:rsidRPr="00301A21">
              <w:rPr>
                <w:rFonts w:ascii="Arial" w:hAnsi="Arial" w:cs="Arial"/>
                <w:sz w:val="22"/>
                <w:szCs w:val="22"/>
              </w:rPr>
              <w:t>0.5640</w:t>
            </w:r>
          </w:p>
        </w:tc>
        <w:tc>
          <w:tcPr>
            <w:tcW w:w="1302" w:type="dxa"/>
          </w:tcPr>
          <w:p w14:paraId="793CE113" w14:textId="12ED0381" w:rsidR="00301A21" w:rsidRDefault="00301A21" w:rsidP="0038540B">
            <w:pPr>
              <w:rPr>
                <w:rFonts w:ascii="Arial" w:hAnsi="Arial" w:cs="Arial"/>
                <w:sz w:val="22"/>
                <w:szCs w:val="22"/>
              </w:rPr>
            </w:pPr>
            <w:r w:rsidRPr="00301A21">
              <w:rPr>
                <w:rFonts w:ascii="Arial" w:hAnsi="Arial" w:cs="Arial"/>
                <w:sz w:val="22"/>
                <w:szCs w:val="22"/>
              </w:rPr>
              <w:t>0.6866</w:t>
            </w:r>
          </w:p>
        </w:tc>
        <w:tc>
          <w:tcPr>
            <w:tcW w:w="1287" w:type="dxa"/>
          </w:tcPr>
          <w:p w14:paraId="2F939103" w14:textId="41ACCB78" w:rsidR="00301A21" w:rsidRDefault="00301A21" w:rsidP="0038540B">
            <w:pPr>
              <w:rPr>
                <w:rFonts w:ascii="Arial" w:hAnsi="Arial" w:cs="Arial"/>
                <w:sz w:val="22"/>
                <w:szCs w:val="22"/>
              </w:rPr>
            </w:pPr>
            <w:r w:rsidRPr="00301A21">
              <w:rPr>
                <w:rFonts w:ascii="Arial" w:hAnsi="Arial" w:cs="Arial"/>
                <w:sz w:val="22"/>
                <w:szCs w:val="22"/>
              </w:rPr>
              <w:t>0.6458</w:t>
            </w:r>
          </w:p>
        </w:tc>
        <w:tc>
          <w:tcPr>
            <w:tcW w:w="1306" w:type="dxa"/>
          </w:tcPr>
          <w:p w14:paraId="4B2EE459" w14:textId="476F1C3D" w:rsidR="00301A21" w:rsidRDefault="00301A21" w:rsidP="0038540B">
            <w:pPr>
              <w:rPr>
                <w:rFonts w:ascii="Arial" w:hAnsi="Arial" w:cs="Arial"/>
                <w:sz w:val="22"/>
                <w:szCs w:val="22"/>
              </w:rPr>
            </w:pPr>
            <w:r w:rsidRPr="00301A21">
              <w:rPr>
                <w:rFonts w:ascii="Arial" w:hAnsi="Arial" w:cs="Arial"/>
                <w:sz w:val="22"/>
                <w:szCs w:val="22"/>
              </w:rPr>
              <w:t>0.8002</w:t>
            </w:r>
          </w:p>
        </w:tc>
        <w:tc>
          <w:tcPr>
            <w:tcW w:w="1322" w:type="dxa"/>
          </w:tcPr>
          <w:p w14:paraId="60FB1660" w14:textId="1A317071" w:rsidR="00301A21" w:rsidRDefault="00301A21" w:rsidP="0038540B">
            <w:pPr>
              <w:rPr>
                <w:rFonts w:ascii="Arial" w:hAnsi="Arial" w:cs="Arial"/>
                <w:sz w:val="22"/>
                <w:szCs w:val="22"/>
              </w:rPr>
            </w:pPr>
            <w:r w:rsidRPr="00301A21">
              <w:rPr>
                <w:rFonts w:ascii="Arial" w:hAnsi="Arial" w:cs="Arial"/>
                <w:sz w:val="22"/>
                <w:szCs w:val="22"/>
              </w:rPr>
              <w:t>1.0759</w:t>
            </w:r>
          </w:p>
        </w:tc>
      </w:tr>
      <w:tr w:rsidR="00301A21" w14:paraId="06B7AFF7" w14:textId="77777777" w:rsidTr="0038540B">
        <w:tc>
          <w:tcPr>
            <w:tcW w:w="1513" w:type="dxa"/>
          </w:tcPr>
          <w:p w14:paraId="72A9D2D9" w14:textId="77777777" w:rsidR="00301A21" w:rsidRDefault="00301A21" w:rsidP="0038540B">
            <w:pPr>
              <w:rPr>
                <w:rFonts w:ascii="Arial" w:hAnsi="Arial" w:cs="Arial"/>
                <w:sz w:val="22"/>
                <w:szCs w:val="22"/>
              </w:rPr>
            </w:pPr>
            <w:r>
              <w:rPr>
                <w:rFonts w:ascii="Arial" w:hAnsi="Arial" w:cs="Arial"/>
                <w:sz w:val="22"/>
                <w:szCs w:val="22"/>
              </w:rPr>
              <w:t>Incorrectly Standardized</w:t>
            </w:r>
          </w:p>
        </w:tc>
        <w:tc>
          <w:tcPr>
            <w:tcW w:w="1314" w:type="dxa"/>
          </w:tcPr>
          <w:p w14:paraId="780AD1BB" w14:textId="5F7C1467" w:rsidR="00301A21" w:rsidRDefault="00301A21" w:rsidP="0038540B">
            <w:pPr>
              <w:rPr>
                <w:rFonts w:ascii="Arial" w:hAnsi="Arial" w:cs="Arial"/>
                <w:sz w:val="22"/>
                <w:szCs w:val="22"/>
              </w:rPr>
            </w:pPr>
            <w:r w:rsidRPr="00301A21">
              <w:rPr>
                <w:rFonts w:ascii="Arial" w:hAnsi="Arial" w:cs="Arial"/>
                <w:sz w:val="22"/>
                <w:szCs w:val="22"/>
              </w:rPr>
              <w:t>0.3942</w:t>
            </w:r>
          </w:p>
        </w:tc>
        <w:tc>
          <w:tcPr>
            <w:tcW w:w="1306" w:type="dxa"/>
          </w:tcPr>
          <w:p w14:paraId="521CD95C" w14:textId="7224AF29" w:rsidR="00301A21" w:rsidRDefault="00301A21" w:rsidP="0038540B">
            <w:pPr>
              <w:rPr>
                <w:rFonts w:ascii="Arial" w:hAnsi="Arial" w:cs="Arial"/>
                <w:sz w:val="22"/>
                <w:szCs w:val="22"/>
              </w:rPr>
            </w:pPr>
            <w:r w:rsidRPr="00301A21">
              <w:rPr>
                <w:rFonts w:ascii="Arial" w:hAnsi="Arial" w:cs="Arial"/>
                <w:sz w:val="22"/>
                <w:szCs w:val="22"/>
              </w:rPr>
              <w:t>0.7405</w:t>
            </w:r>
          </w:p>
        </w:tc>
        <w:tc>
          <w:tcPr>
            <w:tcW w:w="1302" w:type="dxa"/>
          </w:tcPr>
          <w:p w14:paraId="37CB83F3" w14:textId="72A74622" w:rsidR="00301A21" w:rsidRDefault="00301A21" w:rsidP="0038540B">
            <w:pPr>
              <w:rPr>
                <w:rFonts w:ascii="Arial" w:hAnsi="Arial" w:cs="Arial"/>
                <w:sz w:val="22"/>
                <w:szCs w:val="22"/>
              </w:rPr>
            </w:pPr>
            <w:r w:rsidRPr="00301A21">
              <w:rPr>
                <w:rFonts w:ascii="Arial" w:hAnsi="Arial" w:cs="Arial"/>
                <w:sz w:val="22"/>
                <w:szCs w:val="22"/>
              </w:rPr>
              <w:t>0.8258</w:t>
            </w:r>
          </w:p>
        </w:tc>
        <w:tc>
          <w:tcPr>
            <w:tcW w:w="1287" w:type="dxa"/>
          </w:tcPr>
          <w:p w14:paraId="1591DFD7" w14:textId="740EF3FC" w:rsidR="00301A21" w:rsidRDefault="00301A21" w:rsidP="0038540B">
            <w:pPr>
              <w:rPr>
                <w:rFonts w:ascii="Arial" w:hAnsi="Arial" w:cs="Arial"/>
                <w:sz w:val="22"/>
                <w:szCs w:val="22"/>
              </w:rPr>
            </w:pPr>
            <w:r w:rsidRPr="00301A21">
              <w:rPr>
                <w:rFonts w:ascii="Arial" w:hAnsi="Arial" w:cs="Arial"/>
                <w:sz w:val="22"/>
                <w:szCs w:val="22"/>
              </w:rPr>
              <w:t xml:space="preserve">0.8125  </w:t>
            </w:r>
          </w:p>
        </w:tc>
        <w:tc>
          <w:tcPr>
            <w:tcW w:w="1306" w:type="dxa"/>
          </w:tcPr>
          <w:p w14:paraId="1844F76D" w14:textId="1469C374" w:rsidR="00301A21" w:rsidRDefault="00301A21" w:rsidP="0038540B">
            <w:pPr>
              <w:rPr>
                <w:rFonts w:ascii="Arial" w:hAnsi="Arial" w:cs="Arial"/>
                <w:sz w:val="22"/>
                <w:szCs w:val="22"/>
              </w:rPr>
            </w:pPr>
            <w:r w:rsidRPr="00301A21">
              <w:rPr>
                <w:rFonts w:ascii="Arial" w:hAnsi="Arial" w:cs="Arial"/>
                <w:sz w:val="22"/>
                <w:szCs w:val="22"/>
              </w:rPr>
              <w:t>0.8962</w:t>
            </w:r>
          </w:p>
        </w:tc>
        <w:tc>
          <w:tcPr>
            <w:tcW w:w="1322" w:type="dxa"/>
          </w:tcPr>
          <w:p w14:paraId="28D4CC8B" w14:textId="564B63E2" w:rsidR="00301A21" w:rsidRDefault="00301A21" w:rsidP="0038540B">
            <w:pPr>
              <w:rPr>
                <w:rFonts w:ascii="Arial" w:hAnsi="Arial" w:cs="Arial"/>
                <w:sz w:val="22"/>
                <w:szCs w:val="22"/>
              </w:rPr>
            </w:pPr>
            <w:r w:rsidRPr="00301A21">
              <w:rPr>
                <w:rFonts w:ascii="Arial" w:hAnsi="Arial" w:cs="Arial"/>
                <w:sz w:val="22"/>
                <w:szCs w:val="22"/>
              </w:rPr>
              <w:t>1.0580</w:t>
            </w:r>
          </w:p>
        </w:tc>
      </w:tr>
    </w:tbl>
    <w:p w14:paraId="4F2653CB" w14:textId="77777777" w:rsidR="00301A21" w:rsidRPr="00C36225" w:rsidRDefault="00301A21">
      <w:pPr>
        <w:rPr>
          <w:rFonts w:ascii="Arial" w:hAnsi="Arial" w:cs="Arial"/>
          <w:sz w:val="22"/>
          <w:szCs w:val="22"/>
        </w:rPr>
      </w:pPr>
    </w:p>
    <w:sectPr w:rsidR="00301A21" w:rsidRPr="00C3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3D"/>
    <w:rsid w:val="000453BC"/>
    <w:rsid w:val="0005655B"/>
    <w:rsid w:val="000628CD"/>
    <w:rsid w:val="0006469F"/>
    <w:rsid w:val="000B2CA1"/>
    <w:rsid w:val="000D249E"/>
    <w:rsid w:val="0010518E"/>
    <w:rsid w:val="00194DAA"/>
    <w:rsid w:val="001A27E4"/>
    <w:rsid w:val="001C7D5F"/>
    <w:rsid w:val="001E23EA"/>
    <w:rsid w:val="001F2991"/>
    <w:rsid w:val="00237BF0"/>
    <w:rsid w:val="00301A21"/>
    <w:rsid w:val="00361591"/>
    <w:rsid w:val="003D583D"/>
    <w:rsid w:val="003E2E59"/>
    <w:rsid w:val="003E6B71"/>
    <w:rsid w:val="00413955"/>
    <w:rsid w:val="004707D4"/>
    <w:rsid w:val="004832D5"/>
    <w:rsid w:val="004A2D3A"/>
    <w:rsid w:val="005111BE"/>
    <w:rsid w:val="00515B35"/>
    <w:rsid w:val="005B4055"/>
    <w:rsid w:val="005B6049"/>
    <w:rsid w:val="005E47EA"/>
    <w:rsid w:val="006305F4"/>
    <w:rsid w:val="006566D3"/>
    <w:rsid w:val="006F08F0"/>
    <w:rsid w:val="0076564E"/>
    <w:rsid w:val="00767E0D"/>
    <w:rsid w:val="007F344D"/>
    <w:rsid w:val="008223D7"/>
    <w:rsid w:val="00884974"/>
    <w:rsid w:val="008E08AC"/>
    <w:rsid w:val="00901830"/>
    <w:rsid w:val="00943811"/>
    <w:rsid w:val="00A342FB"/>
    <w:rsid w:val="00BA62C7"/>
    <w:rsid w:val="00C36225"/>
    <w:rsid w:val="00C86FFC"/>
    <w:rsid w:val="00CD1E80"/>
    <w:rsid w:val="00CE08D4"/>
    <w:rsid w:val="00CF762B"/>
    <w:rsid w:val="00D328FA"/>
    <w:rsid w:val="00D44A67"/>
    <w:rsid w:val="00D54156"/>
    <w:rsid w:val="00D60A1B"/>
    <w:rsid w:val="00D71EA0"/>
    <w:rsid w:val="00D910DD"/>
    <w:rsid w:val="00E21439"/>
    <w:rsid w:val="00E9142B"/>
    <w:rsid w:val="00E91A47"/>
    <w:rsid w:val="00EC04F3"/>
    <w:rsid w:val="00F263B9"/>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8CBE06"/>
  <w15:chartTrackingRefBased/>
  <w15:docId w15:val="{A96335E3-93FA-2E4B-A9CF-D84640CD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8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8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8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8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8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8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8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8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83D"/>
    <w:rPr>
      <w:rFonts w:eastAsiaTheme="majorEastAsia" w:cstheme="majorBidi"/>
      <w:color w:val="272727" w:themeColor="text1" w:themeTint="D8"/>
    </w:rPr>
  </w:style>
  <w:style w:type="paragraph" w:styleId="Title">
    <w:name w:val="Title"/>
    <w:basedOn w:val="Normal"/>
    <w:next w:val="Normal"/>
    <w:link w:val="TitleChar"/>
    <w:uiPriority w:val="10"/>
    <w:qFormat/>
    <w:rsid w:val="003D58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8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8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8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8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583D"/>
    <w:rPr>
      <w:i/>
      <w:iCs/>
      <w:color w:val="404040" w:themeColor="text1" w:themeTint="BF"/>
    </w:rPr>
  </w:style>
  <w:style w:type="paragraph" w:styleId="ListParagraph">
    <w:name w:val="List Paragraph"/>
    <w:basedOn w:val="Normal"/>
    <w:uiPriority w:val="34"/>
    <w:qFormat/>
    <w:rsid w:val="003D583D"/>
    <w:pPr>
      <w:ind w:left="720"/>
      <w:contextualSpacing/>
    </w:pPr>
  </w:style>
  <w:style w:type="character" w:styleId="IntenseEmphasis">
    <w:name w:val="Intense Emphasis"/>
    <w:basedOn w:val="DefaultParagraphFont"/>
    <w:uiPriority w:val="21"/>
    <w:qFormat/>
    <w:rsid w:val="003D583D"/>
    <w:rPr>
      <w:i/>
      <w:iCs/>
      <w:color w:val="0F4761" w:themeColor="accent1" w:themeShade="BF"/>
    </w:rPr>
  </w:style>
  <w:style w:type="paragraph" w:styleId="IntenseQuote">
    <w:name w:val="Intense Quote"/>
    <w:basedOn w:val="Normal"/>
    <w:next w:val="Normal"/>
    <w:link w:val="IntenseQuoteChar"/>
    <w:uiPriority w:val="30"/>
    <w:qFormat/>
    <w:rsid w:val="003D5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83D"/>
    <w:rPr>
      <w:i/>
      <w:iCs/>
      <w:color w:val="0F4761" w:themeColor="accent1" w:themeShade="BF"/>
    </w:rPr>
  </w:style>
  <w:style w:type="character" w:styleId="IntenseReference">
    <w:name w:val="Intense Reference"/>
    <w:basedOn w:val="DefaultParagraphFont"/>
    <w:uiPriority w:val="32"/>
    <w:qFormat/>
    <w:rsid w:val="003D583D"/>
    <w:rPr>
      <w:b/>
      <w:bCs/>
      <w:smallCaps/>
      <w:color w:val="0F4761" w:themeColor="accent1" w:themeShade="BF"/>
      <w:spacing w:val="5"/>
    </w:rPr>
  </w:style>
  <w:style w:type="paragraph" w:styleId="NormalWeb">
    <w:name w:val="Normal (Web)"/>
    <w:basedOn w:val="Normal"/>
    <w:uiPriority w:val="99"/>
    <w:unhideWhenUsed/>
    <w:rsid w:val="003D583D"/>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301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29815">
      <w:bodyDiv w:val="1"/>
      <w:marLeft w:val="0"/>
      <w:marRight w:val="0"/>
      <w:marTop w:val="0"/>
      <w:marBottom w:val="0"/>
      <w:divBdr>
        <w:top w:val="none" w:sz="0" w:space="0" w:color="auto"/>
        <w:left w:val="none" w:sz="0" w:space="0" w:color="auto"/>
        <w:bottom w:val="none" w:sz="0" w:space="0" w:color="auto"/>
        <w:right w:val="none" w:sz="0" w:space="0" w:color="auto"/>
      </w:divBdr>
    </w:div>
    <w:div w:id="172536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3</cp:revision>
  <dcterms:created xsi:type="dcterms:W3CDTF">2024-11-12T18:17:00Z</dcterms:created>
  <dcterms:modified xsi:type="dcterms:W3CDTF">2024-11-13T15:13:00Z</dcterms:modified>
</cp:coreProperties>
</file>