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A.) Genetics of Diseases for H/L Exam 2</w:t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Burkitt Lymphoma: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t(8;14) → C-MYC → upregulates proliferation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Follicular Lymphoma: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t(14;18) → BCL-2 → prevents apoptosis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Mantle Cell Lymphoma (MCL):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t(11;14) → BCL-1 → upregulates proliferation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Malt Lymphoma: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t(1;14) → NFκB → modulates proliferation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Anaplastic Large Cell Lymphoma (ALCL):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t(2;5) → ALK → upregulates proliferation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Chronic Lymphocytic Leukemia/Small Lymphocytic Leukemia (CLL/SLL):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+12, -13q, -17p → p53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Acute Myeloblastic Leukemia (AML):</w:t>
      </w:r>
    </w:p>
    <w:p w:rsidR="00000000" w:rsidDel="00000000" w:rsidP="00000000" w:rsidRDefault="00000000" w:rsidRPr="00000000" w14:paraId="00000009">
      <w:pPr>
        <w:widowControl w:val="0"/>
        <w:numPr>
          <w:ilvl w:val="1"/>
          <w:numId w:val="2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Promyelocytic AML: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t(15;17) → PML-RARA fusion protein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2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With maturation: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t(8;21) (core-binding factor)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2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Monocytic with abnormal eosinophils: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inv(16) or t(16;16) (core-binding factor)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2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Poor Prognosis: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11q23 → histone-modifying protein which appears to prolong expression of proliferative pathways, t(11;19)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2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Trisomy of 8 and monosomy of 5 and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Acute Lymphoblastic Leukemia (ALL):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2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Favorable Prognosis (B-ALL):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t(12;21) (core-binding factor)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2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Poor Prognosis (B-ALL):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2"/>
          <w:numId w:val="2"/>
        </w:numPr>
        <w:spacing w:line="480" w:lineRule="auto"/>
        <w:ind w:left="216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t(9;22) → Philadelphia chromosome which results in a BCR-ABL fusion protein (tyrosine kinase) that activates pro-growth and pro-survival pathways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2"/>
          <w:numId w:val="2"/>
        </w:numPr>
        <w:spacing w:line="48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11q23 → histone-modifying protein which appears to prolong expression of proliferative pathways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CML: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t(9;22) → Philadelphia chromosome which results in a BCR-ABL fusion protein (tyrosine kinase) that activates pro-growth and pro-survival pathways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MDS: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Trisomy of 8 and monosomy of 5 and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Polycythemia vera: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JAK2 mutations (95%)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Chronic Idiopathic (Primary) Myelofibrosis: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JAK2 mutations (50%)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Essential Thrombocythemia: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JAK2 mutations (50%)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Diffuse Large B-Cell Lymphoma: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many genetic abnormalities → BCL-6, BCL-2, MYC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Hairy Cell Leukemia: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BRAF mutation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Why chromosome 14?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Site of Ig heavy chain gene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MM High Risk Indicators: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2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FISH Analysis: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t(14;16), t(4;14), or deletion of 17p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2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Karyotyping: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hypodiploidy or deletion of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Marginal Zone Lymphomas (MALT):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t(11;18) creates API2-MALT1 fusion protein which enhances NFκB activity and upregulates proliferation while downregulating apoptosis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B.) Symptoms of Diseases for H/L Exam 2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Lymphoma: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tends to develop in lymphoid tissues → nodes, spleen,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1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Symptoms (BO):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“B” symptoms and organ impairment (infiltration leading to disruption and mass effect in brain (seizures or headaches) an urinary or bowel obstruction)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Malignant Lymphoma (BEEVI):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6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“B” Symptoms: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fevers, night sweats, and weight loss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6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Enlarged lymph nodes: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6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Extranodal involvement: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GI, skin, and/or CNS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6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Visceral involvement: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liver, lung, heart, and kidneys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6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Immune dysfunction: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increased infections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Leukemia: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tends to circulate in peripheral blood and starts in the marrow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1"/>
          <w:numId w:val="6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Symptoms (FBI):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feeling tired and weak, bleeding more easily than expected, and getting sick from infections more easily than expected or difficulties getting over an infection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C.) Flow Cytometry Useful Markers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T-cells: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CD3+, CD4+, CD5+, CD7+, CD8+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B-cells: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CD19+, CD20+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Mature B-cells/Plasma cells: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kappa or lambda light chain restriction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Non-lineage specific/early B and T-cells: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Myeloid Cells: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CD13+, CD15+, CD33+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Immature myeloid cells: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CD117+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Immature lymphoid cells: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TdT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Immaturity in any lineage: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CD34+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D.) Diseases that Affect Children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ALLs, B-ALL specifically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Burkitt’s lymphoma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Anaplastic large cell lymphoma: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least comprises a greater % of pediatric cancers than it does adult cancers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Lymphoblastic lymphoma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E.) Poor survival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5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Chronic idiopathic (primary) myelofibrosis: 3-5 survival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5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Aggressive NHLs (LABDEMAP):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lymphoblastic lymphoma, adult T-cell leukemia/lymphoma, Burkitt’s lymphoma, diffuse large B-cell lymphoma (DLBCL), extranodal NK/T-cell lymphoma (nasal type), mantle cell lymphoma, anaplastic large cell lymphoma, and peripheral T-cell lymphoma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F.) Mnemonics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Hodgkin’s Symptoms (PFBS):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persistent, enlarged cervical and upper thoracic/mediastinal adenopathy, facial swelling (especially in morning, SVC syndrome), “B” symptoms, and SOB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Hodgkins Long-Term Complications (PASHH):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Pulmonary fibrosis:</w:t>
      </w:r>
    </w:p>
    <w:p w:rsidR="00000000" w:rsidDel="00000000" w:rsidP="00000000" w:rsidRDefault="00000000" w:rsidRPr="00000000" w14:paraId="0000003F">
      <w:pPr>
        <w:widowControl w:val="0"/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Accelerated Atherosclerosis: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bleomycin + GCSF therapy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Solid Tumors: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especially breast and lung </w:t>
      </w:r>
    </w:p>
    <w:p w:rsidR="00000000" w:rsidDel="00000000" w:rsidP="00000000" w:rsidRDefault="00000000" w:rsidRPr="00000000" w14:paraId="00000041">
      <w:pPr>
        <w:widowControl w:val="0"/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Hematologic Malignancies:</w:t>
      </w:r>
    </w:p>
    <w:p w:rsidR="00000000" w:rsidDel="00000000" w:rsidP="00000000" w:rsidRDefault="00000000" w:rsidRPr="00000000" w14:paraId="00000042">
      <w:pPr>
        <w:widowControl w:val="0"/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Hypothryoidism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NLPHL Patient Presentation (YIM):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young, isolated cervical and/or axillary LAD, 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Malignant Lymphoma (BOOMIVUBE):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“B” Symptoms: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fevers, night sweats, and weight loss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One or more enlarged lymph nodes:</w:t>
      </w:r>
    </w:p>
    <w:p w:rsidR="00000000" w:rsidDel="00000000" w:rsidP="00000000" w:rsidRDefault="00000000" w:rsidRPr="00000000" w14:paraId="00000047">
      <w:pPr>
        <w:widowControl w:val="0"/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Organ Impairment: 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 effect on brain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Immune dysfunction: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increased infections</w:t>
      </w:r>
    </w:p>
    <w:p w:rsidR="00000000" w:rsidDel="00000000" w:rsidP="00000000" w:rsidRDefault="00000000" w:rsidRPr="00000000" w14:paraId="00000049">
      <w:pPr>
        <w:widowControl w:val="0"/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Visceral involvement: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liver, lung, heart, and kidneys </w:t>
      </w:r>
    </w:p>
    <w:p w:rsidR="00000000" w:rsidDel="00000000" w:rsidP="00000000" w:rsidRDefault="00000000" w:rsidRPr="00000000" w14:paraId="0000004A">
      <w:pPr>
        <w:widowControl w:val="0"/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Urinary obstruction</w:t>
      </w:r>
    </w:p>
    <w:p w:rsidR="00000000" w:rsidDel="00000000" w:rsidP="00000000" w:rsidRDefault="00000000" w:rsidRPr="00000000" w14:paraId="0000004B">
      <w:pPr>
        <w:widowControl w:val="0"/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Bowel obstruction</w:t>
      </w:r>
    </w:p>
    <w:p w:rsidR="00000000" w:rsidDel="00000000" w:rsidP="00000000" w:rsidRDefault="00000000" w:rsidRPr="00000000" w14:paraId="0000004C">
      <w:pPr>
        <w:widowControl w:val="0"/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Extranodal involvement: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GI, skin, and/or CNS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Clinical Classifications of Lymphoma: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Indolent (FEMS):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follicular lymphoma, extranodal marginal zone lymphoma (MALT), mycosis fungoides (T-cell), and small lymphocytic leukemia (SLL/CLL)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Aggressive (LABDEMAP):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lymphoblastic lymphoma, adult T-cell leukemia/lymphoma, Burkitt’s lymphoma, diffuse large B-cell lymphoma (DLBCL), extranodal NK/T-cell lymphoma (nasal type), mantle cell lymphoma, anaplastic large cell lymphoma, and peripheral T-cell lymphoma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Burkitt’s Lymphoma Features (KEE):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affects kids and immunosuppressed (HIV), extranodal involvement is common (jaw, GI, and abdominal viscera), and it may be associated with EBV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Acute Leukemia General Features (BAM):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blasts make up at least 20% of marrow cells, acute onset of many “b” symptoms, and moderate to marked cytopenias (WBC may be high or 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Leukemia Clinical Manifestations (BOI): </w:t>
      </w:r>
    </w:p>
    <w:p w:rsidR="00000000" w:rsidDel="00000000" w:rsidP="00000000" w:rsidRDefault="00000000" w:rsidRPr="00000000" w14:paraId="00000053">
      <w:pPr>
        <w:widowControl w:val="0"/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Bone marrow infiltration: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neutropenias (infections and fever), anemias, and thrombocytopenias (petechial hemorrhages)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Organ infiltration: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Increased metabolism and cell lysis: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LDH and uric acid would be elevated, hyperphosphatemia, hyperkalemia, hypocalcemia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Acute Lymphoblastic Leukemia (ALL, B and T-cell) Symptoms (BCCT):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bone pain, CNS symptoms, children and adolescents most commonly, and testes symptoms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Promyelocytic AML (TD):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t(15;17), DIC sometimes occurs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Promyelocytic AML Morphology (BAD):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bilobed neutrophils, Auer rods, and dense granules 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CML Broad Overview (TIGBET):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t(9;22), increased WBC with left shift, gradual onset with splenomegaly, basophilia, eosinophilia, and thrombocytosis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Polycythemia vera Clinical Features (HDIE):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hyperviscosity, decreased erythropoietin, increased Hgb, Hct, WBCs, and platelets, and elevated red cell mass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Polycythemia vera Symptoms (HED):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headaches, enlarged liver and spleen, and dizziness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Causes of Death Within 100 Days of SCT:</w:t>
      </w:r>
    </w:p>
    <w:p w:rsidR="00000000" w:rsidDel="00000000" w:rsidP="00000000" w:rsidRDefault="00000000" w:rsidRPr="00000000" w14:paraId="0000005D">
      <w:pPr>
        <w:widowControl w:val="0"/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Autologous (POI):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primary disease, organ failure, or infection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Match-related (POIG):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primary disease, organ failure, infection, and GVHD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Haploidentical (OIP):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 failure, infection, and primary disease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Unrelated donor (POIG):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primary disease, organ failure, infection, and GVHD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Autologous vs Allogeneic SCT:</w:t>
      </w:r>
    </w:p>
    <w:p w:rsidR="00000000" w:rsidDel="00000000" w:rsidP="00000000" w:rsidRDefault="00000000" w:rsidRPr="00000000" w14:paraId="00000062">
      <w:pPr>
        <w:widowControl w:val="0"/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Autologous (MHN):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 myeloma, HL, and NHL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numPr>
          <w:ilvl w:val="1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Allogenic (leukemias and MDS):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AML, ALL, CML, CLL, and MDS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E.) Diseases of Old Age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8"/>
        </w:numPr>
        <w:spacing w:line="48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CLL/SLL: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adults &gt;50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36oT/GIiGqdhz17ZebKCn2EpyQ==">AMUW2mVMCrTSK4bBe7WHxudnsexzgx2xvKYYSWsYPFy2KjJv3o2JqxzMMDThODcx9+6Am6WcTH+z4h9Bbn9PwjLm3DtFBaRFlKZm0Oi/C/g0xG34gpnnoRY=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