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</w:pPr>
      <w:r>
        <w:t xml:space="preserve">Contents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0. Founder-side defaults (all [A])</w:t>
      </w:r>
      <w:r>
        <w:rPr>
          <w:b/>
          <w:bCs/>
          <w:sz w:val="20"/>
          <w:szCs w:val="20"/>
        </w:rPr>
        <w:t xml:space="preserve">	2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1. Assumptions</w:t>
      </w:r>
      <w:r>
        <w:rPr>
          <w:b/>
          <w:bCs/>
          <w:sz w:val="20"/>
          <w:szCs w:val="20"/>
        </w:rPr>
        <w:t xml:space="preserve">	3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2. Year-1 Monthly Projection</w:t>
      </w:r>
      <w:r>
        <w:rPr>
          <w:b/>
          <w:bCs/>
          <w:sz w:val="20"/>
          <w:szCs w:val="20"/>
        </w:rPr>
        <w:t xml:space="preserve">	6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3. Three-Year Projection</w:t>
      </w:r>
      <w:r>
        <w:rPr>
          <w:b/>
          <w:bCs/>
          <w:sz w:val="20"/>
          <w:szCs w:val="20"/>
        </w:rPr>
        <w:t xml:space="preserve">	7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4. SDE Add-backs — Detail</w:t>
      </w:r>
      <w:r>
        <w:rPr>
          <w:b/>
          <w:bCs/>
          <w:sz w:val="20"/>
          <w:szCs w:val="20"/>
        </w:rPr>
        <w:t xml:space="preserve">	8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5. Capital Required</w:t>
      </w:r>
      <w:r>
        <w:rPr>
          <w:b/>
          <w:bCs/>
          <w:sz w:val="20"/>
          <w:szCs w:val="20"/>
        </w:rPr>
        <w:t xml:space="preserve">	9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6. Financial Quickview (source of truth)</w:t>
      </w:r>
      <w:r>
        <w:rPr>
          <w:b/>
          <w:bCs/>
          <w:sz w:val="20"/>
          <w:szCs w:val="20"/>
        </w:rPr>
        <w:t xml:space="preserve">	10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7. Sensitivity</w:t>
      </w:r>
      <w:r>
        <w:rPr>
          <w:b/>
          <w:bCs/>
          <w:sz w:val="20"/>
          <w:szCs w:val="20"/>
        </w:rPr>
        <w:t xml:space="preserve">	10</w:t>
      </w:r>
    </w:p>
    <w:p>
      <w:pPr>
        <w:tabs>
          <w:tab w:val="right" w:pos="9360" w:leader="dot"/>
        </w:tabs>
        <w:spacing w:after="90"/>
        <w:ind w:left="0"/>
      </w:pPr>
      <w:r>
        <w:rPr>
          <w:b/>
          <w:bCs/>
          <w:sz w:val="20"/>
          <w:szCs w:val="20"/>
        </w:rPr>
        <w:t xml:space="preserve">8. Change log</w:t>
      </w:r>
      <w:r>
        <w:rPr>
          <w:b/>
          <w:bCs/>
          <w:sz w:val="20"/>
          <w:szCs w:val="20"/>
        </w:rPr>
        <w:t xml:space="preserve">	11</w:t>
      </w:r>
    </w:p>
    <w:p>
      <w:r>
        <w:br w:type="page"/>
      </w:r>
    </w:p>
    <w:p>
      <w:pPr>
        <w:pStyle w:val="Heading1"/>
        <w:spacing w:after="120" w:before="320"/>
      </w:pPr>
      <w:r>
        <w:t xml:space="preserve">XPMatch — Financial Model</w:t>
      </w:r>
    </w:p>
    <w:p>
      <w:pPr>
        <w:spacing w:after="120"/>
        <w:jc w:val="left"/>
      </w:pPr>
      <w:r>
        <w:t xml:space="preserve">Last updated: Sunday, Sep 21, 2026 Companion to </w:t>
      </w:r>
      <w:r>
        <w:rPr>
          <w:rFonts w:ascii="Consolas" w:cs="Consolas" w:eastAsia="Consolas" w:hAnsi="Consolas"/>
        </w:rPr>
        <w:t xml:space="preserve">1-business-summary.md</w:t>
      </w:r>
      <w:r>
        <w:t xml:space="preserve">. Every projection line traces to an assumption row below. Month 1 = October 2026, the month Stripe billing goes live. Year 1 = M1–M12, Year 2 = M13–M24, Year 3 = M25–M36.</w:t>
      </w:r>
    </w:p>
    <w:p>
      <w:pPr>
        <w:spacing w:after="120"/>
        <w:jc w:val="left"/>
      </w:pPr>
      <w:r>
        <w:rPr>
          <w:b/>
          <w:bCs/>
        </w:rPr>
        <w:t xml:space="preserve">Basis.</w:t>
      </w:r>
      <w:r>
        <w:t xml:space="preserve"> Accrual for the P&amp;L: annual Plus plans are recognised at $4.08/month over twelve months. Cash collection differs — annual plans are billed upfront — so the cash-flow rows below use cash receipts. Trip Pass is recognised at purchase (60-day access; the timing difference is immaterial).</w:t>
      </w:r>
    </w:p>
    <w:p>
      <w:pPr>
        <w:spacing w:after="120"/>
        <w:jc w:val="left"/>
      </w:pPr>
      <w:r>
        <w:rPr>
          <w:b/>
          <w:bCs/>
        </w:rPr>
        <w:t xml:space="preserve">Tag key.</w:t>
      </w:r>
      <w:r>
        <w:t xml:space="preserve"> </w:t>
      </w:r>
      <w:r>
        <w:rPr>
          <w:b/>
          <w:bCs/>
        </w:rPr>
        <w:t xml:space="preserve">[V]</w:t>
      </w:r>
      <w:r>
        <w:t xml:space="preserve"> Verified — a document, invoice, statement or screenshot exists. </w:t>
      </w:r>
      <w:r>
        <w:rPr>
          <w:b/>
          <w:bCs/>
        </w:rPr>
        <w:t xml:space="preserve">[E]</w:t>
      </w:r>
      <w:r>
        <w:t xml:space="preserve"> Estimated — grounded in a named comparable, quote or published benchmark. </w:t>
      </w:r>
      <w:r>
        <w:rPr>
          <w:b/>
          <w:bCs/>
        </w:rPr>
        <w:t xml:space="preserve">[A]</w:t>
      </w:r>
      <w:r>
        <w:t xml:space="preserve"> Assumed — nobody knows yet; every [A] row appears on the Validation Scorecard.</w:t>
      </w:r>
    </w:p>
    <w:p>
      <w:pPr>
        <w:pBdr>
          <w:left w:val="single" w:color="C00000" w:sz="18"/>
        </w:pBdr>
        <w:shd w:fill="FCE4E4" w:val="clear"/>
        <w:spacing w:after="160" w:before="120"/>
        <w:ind w:left="180" w:right="180"/>
      </w:pPr>
      <w:r>
        <w:rPr>
          <w:b/>
          <w:bCs/>
        </w:rPr>
        <w:t xml:space="preserve">Founder inputs are defaults.</w:t>
      </w:r>
      <w:r>
        <w:t xml:space="preserve"> Nine founder-side inputs (ownership, hours, entity, capital, spend to date, owner compensation, revenue to date, other businesses, non-competes) were not supplied. Section 0 states the default used for each. All nine are tagged </w:t>
      </w:r>
      <w:r>
        <w:rPr>
          <w:b/>
          <w:bCs/>
        </w:rPr>
        <w:t xml:space="preserve">[A]</w:t>
      </w:r>
      <w:r>
        <w:t xml:space="preserve"> and none has been upgraded. Replace them before this document is shown to a lender or a partner.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0. Founder-side defaults (all [A])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241"/>
        <w:gridCol w:w="3131"/>
        <w:gridCol w:w="3428"/>
      </w:tblGrid>
      <w:tr>
        <w:trPr>
          <w:tblHeader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Default used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if wrong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Ownership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XPMatch, Inc.; Tayo Aki 70% (product, sales, delivery), second founder "Faven" 30% (part-time)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Changes nothing in the P&amp;L; changes who signs an LOI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 hours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Tayo 40 h/wk launch → 25 h/wk steady state; Faven 10 h/wk → 5 h/wk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Drives the founder-replacement add-back (−$26,000/yr)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Entity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Delaware C-corp, incorporated Sep 2026 (Terms of Service effective Sep 16, 2026 name "XPMatch, Inc.")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Franchise tax and filing costs, ~$500/yr, immaterial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 cash available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$25,000, no outside capital, no lender conversation held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Sets the starting cash line; see Section 5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Spent to date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$3,500 — domains, Google/OpenRouter/Railway/Resend during the build, design, ToS/Privacy drafting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Sunk; excluded from capital required, disclosed as founder contribution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 compensation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 through M12; $4,000/mo M13–M24; $8,000/mo M25–M36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Largest SDE add-back; see Section 4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 to date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 No billing integration exists in the codebase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If revenue exists, Gate 1 is already passed and this model is wrong at the start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Other businesses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None sharing staff, cash or customers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Clean books assumption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24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Non-competes / prior-employment IP</w:t>
            </w:r>
          </w:p>
        </w:tc>
        <w:tc>
          <w:tcPr>
            <w:tcW w:type="dxa" w:w="313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None</w:t>
            </w:r>
          </w:p>
        </w:tc>
        <w:tc>
          <w:tcPr>
            <w:tcW w:type="dxa" w:w="342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travel-sector non-compete would be material</w:t>
            </w:r>
          </w:p>
        </w:tc>
      </w:tr>
    </w:tbl>
    <w:p>
      <w:pPr>
        <w:spacing w:after="120"/>
      </w:pP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1. Assumptions</w:t>
      </w:r>
    </w:p>
    <w:p>
      <w:pPr>
        <w:pStyle w:val="Heading3"/>
        <w:spacing w:after="120" w:before="260"/>
      </w:pPr>
      <w:r>
        <w:t xml:space="preserve">Demand and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523"/>
        <w:gridCol w:w="560"/>
        <w:gridCol w:w="2863"/>
        <w:gridCol w:w="1487"/>
      </w:tblGrid>
      <w:tr>
        <w:trPr>
          <w:tblHeader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Assumption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Tag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in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annual price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$49.00/yr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Anchored to Layla $49.99/yr, TripIt Pro $49/yr, Wanderlog Pro $39.99/yr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docs/COMPETITOR_LANDSCAPE.md</w:t>
            </w:r>
            <w:r>
              <w:rPr>
                <w:b w:val="false"/>
                <w:bCs w:val="false"/>
                <w:sz w:val="17"/>
                <w:szCs w:val="17"/>
              </w:rPr>
              <w:t xml:space="preserve">, read Sep 2026)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monthly price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$7.99/mo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Layla $9.99/mo, priced below it deliberately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Trip Pass price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 / 60 days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No competitor sells this shape; StayMatch's $10 day pass is the nearest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Trip Pass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 seat price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$49/seat/mo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Travefy $39–59/mo, Tern $39/seat/mo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Seat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Concierge price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$249 average ($149 / $249 / $399 tiers)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AAA planning fees $250–1,500 international; flat-tier itinerary sellers $97–497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Concierge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New free signups, M1 → M36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→ 1,500 → 3,900 → 6,300 per month; 7,970 in Y1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No channel has produced a signup yet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Every consumer line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Free → paid within 30 days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4% Y1, 5% Y2, 6%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RevenueCat State of Subscription Apps 2026: travel trial conversion 4.1% median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+ Trip Pass volume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Trip Pass share of paid conversions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55%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Judgement: lower friction at the "Turn into a trip" moment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 mix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Annual share of Plus conversions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50% Y1, 60% Y2, 65%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Plan targets ≥60% by M12; modelled one year slower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 recognition, churn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monthly churn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12%/mo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RevenueCat: travel monthly first renewal ~53%, decaying thereafter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subscriber rollforward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annual renewal at 12 months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45%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RevenueCat: travel annual renewal ~40%; +5pts for the taste profile that improves with use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subscriber rollforward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 seat churn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5%/mo Y1–Y2, 3%/mo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Plan targets ≤5% by M12, ≤3% by M24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Seat rollforward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 seat gross adds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2/mo at M3 rising to 33/mo at M36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Outbound has not been run; the LAPS plan targets 1–2 sales/week by week 12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Seat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Concierge trips per month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 at M1 → 10 at M12 → 25 at M24 → 30 at M36; 82 in Y1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Founder-led sales, none booked yet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Concierge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Trips created per month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20% of new signups + 12% of paying accounts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Plan targets 35% first-session trip creation; modelled at 20%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Affiliate revenue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Affiliate revenue per trip</w:t>
            </w:r>
          </w:p>
        </w:tc>
        <w:tc>
          <w:tcPr>
            <w:tcW w:type="dxa" w:w="252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$1.50 Y1, $3.00 Y2, $4.00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286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Pessimistic attach case (≈5% on stays), not the plan's 15% target.</w:t>
            </w:r>
            <w:r>
              <w:rPr>
                <w:b w:val="false"/>
                <w:bCs w:val="false"/>
                <w:sz w:val="17"/>
                <w:szCs w:val="17"/>
              </w:rPr>
              <w:t xml:space="preserve"> Booking.com pays 4% on stays, Expedia up to 4.8%, activity partners 8%</w:t>
            </w:r>
          </w:p>
        </w:tc>
        <w:tc>
          <w:tcPr>
            <w:tcW w:type="dxa" w:w="148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Affiliate revenue</w:t>
            </w:r>
          </w:p>
        </w:tc>
      </w:tr>
    </w:tbl>
    <w:p>
      <w:pPr>
        <w:spacing w:after="120"/>
      </w:pPr>
    </w:p>
    <w:p>
      <w:pPr>
        <w:pStyle w:val="Heading3"/>
        <w:spacing w:after="120" w:before="260"/>
      </w:pPr>
      <w:r>
        <w:t xml:space="preserve">Cost of goods</w:t>
      </w:r>
    </w:p>
    <w:p>
      <w:pPr>
        <w:spacing w:after="120"/>
        <w:jc w:val="left"/>
      </w:pPr>
      <w:r>
        <w:rPr>
          <w:b/>
          <w:bCs/>
        </w:rPr>
        <w:t xml:space="preserve">This section was rebuilt from the code, not the rate card.</w:t>
      </w:r>
      <w:r>
        <w:t xml:space="preserve"> Every expensive cache in the app is keyed on the place or the query, never on the account (</w:t>
      </w:r>
      <w:r>
        <w:rPr>
          <w:rFonts w:ascii="Consolas" w:cs="Consolas" w:eastAsia="Consolas" w:hAnsi="Consolas"/>
        </w:rPr>
        <w:t xml:space="preserve">places</w:t>
      </w:r>
      <w:r>
        <w:t xml:space="preserve">, </w:t>
      </w:r>
      <w:r>
        <w:rPr>
          <w:rFonts w:ascii="Consolas" w:cs="Consolas" w:eastAsia="Consolas" w:hAnsi="Consolas"/>
        </w:rPr>
        <w:t xml:space="preserve">place_facts</w:t>
      </w:r>
      <w:r>
        <w:t xml:space="preserve">, </w:t>
      </w:r>
      <w:r>
        <w:rPr>
          <w:rFonts w:ascii="Consolas" w:cs="Consolas" w:eastAsia="Consolas" w:hAnsi="Consolas"/>
        </w:rPr>
        <w:t xml:space="preserve">photo_urls</w:t>
      </w:r>
      <w:r>
        <w:t xml:space="preserve">, </w:t>
      </w:r>
      <w:r>
        <w:rPr>
          <w:rFonts w:ascii="Consolas" w:cs="Consolas" w:eastAsia="Consolas" w:hAnsi="Consolas"/>
        </w:rPr>
        <w:t xml:space="preserve">search_cache</w:t>
      </w:r>
      <w:r>
        <w:t xml:space="preserve"> — see </w:t>
      </w:r>
      <w:r>
        <w:rPr>
          <w:rFonts w:ascii="Consolas" w:cs="Consolas" w:eastAsia="Consolas" w:hAnsi="Consolas"/>
        </w:rPr>
        <w:t xml:space="preserve">docs/COGS.md</w:t>
      </w:r>
      <w:r>
        <w:t xml:space="preserve"> §2), so Google spend </w:t>
      </w:r>
      <w:r>
        <w:rPr>
          <w:b/>
          <w:bCs/>
        </w:rPr>
        <w:t xml:space="preserve">saturates per city</w:t>
      </w:r>
      <w:r>
        <w:t xml:space="preserve">. A flat per-head rate cannot express that: it overstates a dense user base and understates city expansion.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985"/>
        <w:gridCol w:w="560"/>
        <w:gridCol w:w="3382"/>
        <w:gridCol w:w="1759"/>
      </w:tblGrid>
      <w:tr>
        <w:trPr>
          <w:tblHeader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Assumption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Tag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in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 Details Enterprise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$0.035/call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Only for a place id never stored, plus the 30-day refresh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 Details + Atmosphere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$0.040/call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 sheet and Ask; cached 30 days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place_facts</w:t>
            </w:r>
            <w:r>
              <w:rPr>
                <w:b w:val="false"/>
                <w:bCs w:val="false"/>
                <w:sz w:val="17"/>
                <w:szCs w:val="17"/>
              </w:rPr>
              <w:t xml:space="preserve">, shared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Text / Nearby Search Enterprise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$0.035/call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Returns up to 20 places for one fee; cached 24 h, shared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cost, seeding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 Photos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$0.007/call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Cached 24 h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photo_urls</w:t>
            </w:r>
            <w:r>
              <w:rPr>
                <w:b w:val="false"/>
                <w:bCs w:val="false"/>
                <w:sz w:val="17"/>
                <w:szCs w:val="17"/>
              </w:rPr>
              <w:t xml:space="preserve">, shared by everyone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Dynamic Maps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$0.007/load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Client-side, per user, never shared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Routes Essentials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$0.005/leg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 routed leg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$0.005/message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OpenRouter,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openai/gpt-4o-mini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Seed queries per city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SEED_QUERIES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src/server/seed.ts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Seeding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Catalog places per city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380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~20 queries × ~20 results, deduped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Saturation pool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Distinct list-search queries per city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Explore tabs plus home picks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Saturation pool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Places shown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/admin</w:t>
            </w:r>
            <w:r>
              <w:rPr>
                <w:b w:val="false"/>
                <w:bCs w:val="false"/>
                <w:sz w:val="17"/>
                <w:szCs w:val="17"/>
              </w:rPr>
              <w:t xml:space="preserve"> now reports the real number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Photos shown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Place sheets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 searches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Messages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Map loads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Routed legs / effective user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Unmeasured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Unshared per user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Days active / month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Drives the 24 h photo and search TTLs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Free-user traffic weight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Lookup traffic vs one paying consumer; free tier is capped at 40/day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Effective users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Paying-consumer traffic weight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1.00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reference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Effective users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Advisor-seat traffic weight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seat serves several clients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Effective users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Cities with a seeded catalog, year end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12 / 45 / 100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dominant COGS driver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Shared city cost</w:t>
            </w:r>
          </w:p>
        </w:tc>
      </w:tr>
      <w:tr>
        <w:trPr>
          <w:tblHeader w:val="false"/>
        </w:trPr>
        <w:tc>
          <w:tcPr>
            <w:tcW w:type="dxa" w:w="267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Payment processing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2.9% + $0.30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[V]</w:t>
            </w:r>
          </w:p>
        </w:tc>
        <w:tc>
          <w:tcPr>
            <w:tcW w:type="dxa" w:w="338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Stripe published US pricing</w:t>
            </w:r>
          </w:p>
        </w:tc>
        <w:tc>
          <w:tcPr>
            <w:tcW w:type="dxa" w:w="17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Processing COGS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rPr>
          <w:b/>
          <w:bCs/>
        </w:rPr>
        <w:t xml:space="preserve">How the engine works.</w:t>
      </w:r>
      <w:r>
        <w:t xml:space="preserve"> Effective users = free × 0.30 + paying × 1.00 + seats × 2.00. Divide by cities to get users per city. Each city's shared cost saturates as those users collectively touch the whole catalog — past roughly 250 users in a city, the next user shows Google nothing new. On top sits an unshared floor of </w:t>
      </w:r>
      <w:r>
        <w:rPr>
          <w:b/>
          <w:bCs/>
        </w:rPr>
        <w:t xml:space="preserve">$0.20 per effective user per month</w:t>
      </w:r>
      <w:r>
        <w:t xml:space="preserve"> (model, maps, routes) that never amortises, plus </w:t>
      </w:r>
      <w:r>
        <w:rPr>
          <w:b/>
          <w:bCs/>
        </w:rPr>
        <w:t xml:space="preserve">$0.70 to seed each new city</w:t>
      </w:r>
      <w:r>
        <w:t xml:space="preserve"> (20 searches × $0.035 for ~380 places, which is 19× cheaper than buying each place individually).</w:t>
      </w:r>
    </w:p>
    <w:p>
      <w:pPr>
        <w:spacing w:after="120"/>
        <w:jc w:val="left"/>
      </w:pPr>
      <w:r>
        <w:rPr>
          <w:b/>
          <w:bCs/>
        </w:rPr>
        <w:t xml:space="preserve">What this produces at month 36:</w:t>
      </w:r>
      <w:r>
        <w:t xml:space="preserve"> 100 cities, 10,757 effective users, 108 per city, $56.16 of shared cost per city, and </w:t>
      </w:r>
      <w:r>
        <w:rPr>
          <w:b/>
          <w:bCs/>
        </w:rPr>
        <w:t xml:space="preserve">$0.72 per effective user per month</w:t>
      </w:r>
      <w:r>
        <w:t xml:space="preserve"> — against the flat $2.00 the previous version of this model charged.</w:t>
      </w:r>
    </w:p>
    <w:p>
      <w:pPr>
        <w:pStyle w:val="Heading3"/>
        <w:spacing w:after="120" w:before="260"/>
      </w:pPr>
      <w:r>
        <w:t xml:space="preserve">Operating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2737"/>
        <w:gridCol w:w="560"/>
        <w:gridCol w:w="3061"/>
        <w:gridCol w:w="1354"/>
      </w:tblGrid>
      <w:tr>
        <w:trPr>
          <w:tblHeader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Assumption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Tag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in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Hosting (Railway + Postgres)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$25/mo Y1, $150/mo Y2, $400/mo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docs/COGS.md</w:t>
            </w:r>
            <w:r>
              <w:rPr>
                <w:b w:val="false"/>
                <w:bCs w:val="false"/>
                <w:sz w:val="17"/>
                <w:szCs w:val="17"/>
              </w:rPr>
              <w:t xml:space="preserve"> current $20–25/mo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Software subscriptions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$150/mo Y1, $400/mo Y2, $600/mo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Resend, error monitoring, analytics, CRM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Cold-email infrastructure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$150/mo from M1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 secondary domains, 4 inboxes, sending tool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Part-time concierge reviewer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$1,500/mo from M15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Plan's hiring trigger is &gt;20 trips/mo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Support contractor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$1,500/mo from M25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Scale assumption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Marketing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 to M3; $400→$1,200/mo ramp in Y1; $2,000/mo Y2; $4,000/mo Y3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Creator payouts at $1–2 per activated signup (Mindtrip pays $1); $500 paid-social test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One-time costs, M1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$3,850 — app-specific ToS/Privacy $2,000, landing pages and brand $1,500, trademark filing $350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docs/BETA_READINESS.md</w:t>
            </w:r>
            <w:r>
              <w:rPr>
                <w:b w:val="false"/>
                <w:bCs w:val="false"/>
                <w:sz w:val="17"/>
                <w:szCs w:val="17"/>
              </w:rPr>
              <w:t xml:space="preserve"> names the required Privacy Policy app section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Capital, SDE add-back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 salary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 / $48,000 / $96,000 by year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Default 6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Opex, SDE add-back</w:t>
            </w:r>
          </w:p>
        </w:tc>
      </w:tr>
      <w:tr>
        <w:trPr>
          <w:tblHeader w:val="false"/>
        </w:trPr>
        <w:tc>
          <w:tcPr>
            <w:tcW w:type="dxa" w:w="16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Founder-replacement cost</w:t>
            </w:r>
          </w:p>
        </w:tc>
        <w:tc>
          <w:tcPr>
            <w:tcW w:type="dxa" w:w="27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−$26,000/yr (second founder, 10 h/wk at $50/h)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  <w:tc>
          <w:tcPr>
            <w:tcW w:type="dxa" w:w="306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Market rate for part-time ops/support</w:t>
            </w:r>
          </w:p>
        </w:tc>
        <w:tc>
          <w:tcPr>
            <w:tcW w:type="dxa" w:w="1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SDE (negative add-back)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rPr>
          <w:b/>
          <w:bCs/>
        </w:rPr>
        <w:t xml:space="preserve">Tag counts across this section: [V] 1 · [E] 17 · [A] 20.</w:t>
      </w:r>
      <w:r>
        <w:t xml:space="preserve"> Verified share: </w:t>
      </w:r>
      <w:r>
        <w:rPr>
          <w:b/>
          <w:bCs/>
        </w:rPr>
        <w:t xml:space="preserve">3%.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2. Year-1 Monthly Projection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>
        <w:trPr>
          <w:tblHeader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Line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M11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M12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Y1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New signups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220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1,100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1,300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1,500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7,970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Plus subs — annual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Plus subs — monthly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Advisor seats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Concierge trips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82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Cities seeded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11.0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12.0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12.0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Effective users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133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306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420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562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727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912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1,114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1,344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1,597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1,597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  <w:sz w:val="13"/>
                <w:szCs w:val="13"/>
              </w:rPr>
              <w:t xml:space="preserve">Revenue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Plus annual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115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238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293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1,233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Plus monthly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134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175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223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275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335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1,820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Trip Pass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167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209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272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334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397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543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627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3,331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Advisor seats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240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424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648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909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1,158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1,443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1,763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2,067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2,404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11,155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Concierge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498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747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996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1,245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1,494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1,743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1,992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1,992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2,241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2,490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2,490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2,490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20,418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Affiliate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157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205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253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302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351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416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481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2,165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551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836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1,234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1,688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2,200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2,918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3,597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4,028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4,755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5,529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6,089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6,698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40,123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  <w:sz w:val="13"/>
                <w:szCs w:val="13"/>
              </w:rPr>
              <w:t xml:space="preserve">Cost of goods sold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Google + model (cost engine)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118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184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256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332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412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592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687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786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999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5,813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Concierge delivery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410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Payment processing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104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129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147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174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203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227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252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1,465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Gross profit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465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675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987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1,347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1,759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2,366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2,929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3,249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3,849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4,490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4,922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5,397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32,434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  <w:sz w:val="13"/>
                <w:szCs w:val="13"/>
              </w:rPr>
              <w:t xml:space="preserve">Operating expenses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Advertising &amp; marketing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500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800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1,000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1,100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1,200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7,200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Contractors &amp; staff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Software, hosting &amp; sending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3,900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Owner salary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Net operating profit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140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662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622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934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1,441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1,904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2,124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2,624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3,165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3,497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3,872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21,334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One-time costs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3,850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3,850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Net cash flow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-3,670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742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726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1,068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1,601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2,105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2,362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2,893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3,460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3,833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4,241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19,766</w:t>
            </w:r>
          </w:p>
        </w:tc>
      </w:tr>
      <w:tr>
        <w:trPr>
          <w:tblHeader w:val="false"/>
        </w:trPr>
        <w:tc>
          <w:tcPr>
            <w:tcW w:type="dxa" w:w="2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Cumulative cash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21,330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21,737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22,478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23,205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24,272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25,873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27,978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30,340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33,233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36,693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40,525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44,766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3"/>
                <w:szCs w:val="13"/>
              </w:rPr>
              <w:t xml:space="preserve">44,766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t xml:space="preserve">Cumulative cash opens at the $25,000 founder capital. The cash low point is </w:t>
      </w:r>
      <w:r>
        <w:rPr>
          <w:b/>
          <w:bCs/>
        </w:rPr>
        <w:t xml:space="preserve">M1 at $21,364</w:t>
      </w:r>
      <w:r>
        <w:t xml:space="preserve">, a drawdown of </w:t>
      </w:r>
      <w:r>
        <w:rPr>
          <w:b/>
          <w:bCs/>
        </w:rPr>
        <w:t xml:space="preserve">$3,636</w:t>
      </w:r>
      <w:r>
        <w:t xml:space="preserve"> against opening capital — the business never goes cash-negative because the concierge line sells from month one at 98% contribution margin and no owner salary is drawn. </w:t>
      </w:r>
      <w:r>
        <w:rPr>
          <w:b/>
          <w:bCs/>
        </w:rPr>
        <w:t xml:space="preserve">That early profitability is an artefact of unpaid founder labour, not of the cost structure.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3. Three-Year Projection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5"/>
        <w:gridCol w:w="1468"/>
        <w:gridCol w:w="1468"/>
        <w:gridCol w:w="1469"/>
      </w:tblGrid>
      <w:tr>
        <w:trPr>
          <w:tblHeader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1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2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3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Revenue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$40,123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$190,673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$427,320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Growth YoY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+375%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+124%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Cost of goods sold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$7,688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$48,920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$106,163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Gross profit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$32,434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$141,753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$321,157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Gross margin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81%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74%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75%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Advertising &amp; marketing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$7,200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$24,000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$48,000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Contractors &amp; staff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$15,000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$36,000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Software, hosting &amp; sending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$3,900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$8,400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$13,800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 salary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$48,000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$96,000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operating expenses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$11,100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$95,400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$193,800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Net operating profit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$21,334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$46,353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$127,357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Owner add-backs (net)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−$26,455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+$20,635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+$70,000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SDE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−$5,121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$66,988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SDE margin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−13%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35%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46%</w:t>
            </w:r>
          </w:p>
        </w:tc>
      </w:tr>
      <w:tr>
        <w:trPr>
          <w:tblHeader w:val="false"/>
        </w:trPr>
        <w:tc>
          <w:tcPr>
            <w:tcW w:type="dxa" w:w="495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Exit-month ARR run-rate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$80,379</w:t>
            </w:r>
          </w:p>
        </w:tc>
        <w:tc>
          <w:tcPr>
            <w:tcW w:type="dxa" w:w="14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$275,875</w:t>
            </w:r>
          </w:p>
        </w:tc>
        <w:tc>
          <w:tcPr>
            <w:tcW w:type="dxa" w:w="146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$548,932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rPr>
          <w:b/>
          <w:bCs/>
        </w:rPr>
        <w:t xml:space="preserve">Growth drivers.</w:t>
      </w:r>
      <w:r>
        <w:t xml:space="preserve"> Year 1: concierge trips sold by hand (51% of revenue) plus the first 49 advisor seats. Year 2: advisor outbound matures (seats become the largest line at 34% of revenue) and the consumer funnel compounds. Year 3: seat count reaches 405 and the paid consumer base reaches 1,695.</w:t>
      </w:r>
    </w:p>
    <w:p>
      <w:pPr>
        <w:spacing w:after="120"/>
        <w:jc w:val="left"/>
      </w:pPr>
      <w:r>
        <w:rPr>
          <w:b/>
          <w:bCs/>
        </w:rPr>
        <w:t xml:space="preserve">Revenue mix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0"/>
        <w:gridCol w:w="1070"/>
        <w:gridCol w:w="1070"/>
        <w:gridCol w:w="1070"/>
      </w:tblGrid>
      <w:tr>
        <w:trPr>
          <w:tblHeader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Stream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Y1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Y2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Y3</w:t>
            </w:r>
          </w:p>
        </w:tc>
      </w:tr>
      <w:tr>
        <w:trPr>
          <w:tblHeader w:val="false"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Concierge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51%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32%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19%</w:t>
            </w:r>
          </w:p>
        </w:tc>
      </w:tr>
      <w:tr>
        <w:trPr>
          <w:tblHeader w:val="false"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 seats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28%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34%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41%</w:t>
            </w:r>
          </w:p>
        </w:tc>
      </w:tr>
      <w:tr>
        <w:trPr>
          <w:tblHeader w:val="false"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Trip Pass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9%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9%</w:t>
            </w:r>
          </w:p>
        </w:tc>
      </w:tr>
      <w:tr>
        <w:trPr>
          <w:tblHeader w:val="false"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Affiliate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12%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6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Plus (annual + monthly)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13%</w:t>
            </w:r>
          </w:p>
        </w:tc>
        <w:tc>
          <w:tcPr>
            <w:tcW w:type="dxa" w:w="10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17%</w:t>
            </w:r>
          </w:p>
        </w:tc>
      </w:tr>
    </w:tbl>
    <w:p>
      <w:pPr>
        <w:spacing w:after="120"/>
      </w:pP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4. SDE Add-backs — Detail</w:t>
      </w:r>
    </w:p>
    <w:p>
      <w:pPr>
        <w:spacing w:after="120"/>
        <w:jc w:val="left"/>
      </w:pPr>
      <w:r>
        <w:t xml:space="preserve">SDE assumes a single owner-operator who does the work one founder does today. Owner salary is added back. The </w:t>
      </w:r>
      <w:r>
        <w:rPr>
          <w:b/>
          <w:bCs/>
        </w:rPr>
        <w:t xml:space="preserve">second</w:t>
      </w:r>
      <w:r>
        <w:t xml:space="preserve"> founder's unpaid 10 h/week is subtracted, because a buyer would have to pay someone for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4"/>
        <w:gridCol w:w="985"/>
        <w:gridCol w:w="985"/>
        <w:gridCol w:w="986"/>
      </w:tblGrid>
      <w:tr>
        <w:trPr>
          <w:tblHeader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Add-back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1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2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3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Net operating profit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$21,334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$46,353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$127,357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 Owner salary and payroll taxes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$48,000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$96,000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 Owner benefits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 Interest, depreciation, amortisation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 One-time costs (legal, brand, trademark)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$3,850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+ Personal expenses through the business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 Replace second founder (10 h/wk @ $50/h)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−$26,000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−$26,000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−$26,000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 Replace unpaid founder concierge review (Y1 82 trips, Y2 26 trips in M13–M14, × 1.5 h @ $35/h)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−$4,305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−$1,365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64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SDE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−$5,121</w:t>
            </w:r>
          </w:p>
        </w:tc>
        <w:tc>
          <w:tcPr>
            <w:tcW w:type="dxa" w:w="98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$66,988</w:t>
            </w:r>
          </w:p>
        </w:tc>
        <w:tc>
          <w:tcPr>
            <w:tcW w:type="dxa" w:w="98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rPr>
          <w:b/>
          <w:bCs/>
        </w:rPr>
        <w:t xml:space="preserve">Year-1 SDE is still negative.</w:t>
      </w:r>
      <w:r>
        <w:t xml:space="preserve"> The business produces $21,334 of net operating profit in Year 1 and returns −$5,121 of SDE, because two founders working unpaid are worth more than the profit they generate. Rebuilding COGS improved this by $454; it did not change the conclusion. Year 1 is a funded experiment, not yet a business.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5. Capital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9"/>
        <w:gridCol w:w="1111"/>
      </w:tblGrid>
      <w:tr>
        <w:trPr>
          <w:tblHeader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One-time build costs (legal, landing pages, trademark)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$3,850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Initial inventory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Cash low point (M1 drawdown against opening capital)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$3,670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Working-capital buffer (3 × month-12 operating expenses)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$4,575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Business capital required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$12,095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t xml:space="preserve">The business is cheap to start. The founders are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9"/>
        <w:gridCol w:w="1111"/>
      </w:tblGrid>
      <w:tr>
        <w:trPr>
          <w:tblHeader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Business capital required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$12,095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 personal runway (12 months unpaid × $4,000/mo)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$48,000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cash the founders must hold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$60,095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 cash available [A]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$25,000</w:t>
            </w:r>
          </w:p>
        </w:tc>
      </w:tr>
      <w:tr>
        <w:trPr>
          <w:tblHeader w:val="false"/>
        </w:trPr>
        <w:tc>
          <w:tcPr>
            <w:tcW w:type="dxa" w:w="824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Shortfall</w:t>
            </w:r>
          </w:p>
        </w:tc>
        <w:tc>
          <w:tcPr>
            <w:tcW w:type="dxa" w:w="11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$35,095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t xml:space="preserve">Already sunk and excluded above: </w:t>
      </w:r>
      <w:r>
        <w:rPr>
          <w:b/>
          <w:bCs/>
        </w:rPr>
        <w:t xml:space="preserve">$3,500</w:t>
      </w:r>
      <w:r>
        <w:t xml:space="preserve"> of founder contribution during the build.</w:t>
      </w:r>
    </w:p>
    <w:p>
      <w:pPr>
        <w:spacing w:after="120"/>
        <w:jc w:val="left"/>
      </w:pPr>
      <w:r>
        <w:rPr>
          <w:b/>
          <w:bCs/>
        </w:rPr>
        <w:t xml:space="preserve">Financing.</w:t>
      </w:r>
      <w:r>
        <w:t xml:space="preserve"> Bootstrapped, revenue-first. No lender has been approached, so no loan is presented as the plan. SBA 7(a) terms in comparable packages required a 35–40% equity injection and are stricter for startups than for acquisitions; a pre-revenue applicant with no trading history would not qualify today. Tagged </w:t>
      </w:r>
      <w:r>
        <w:rPr>
          <w:b/>
          <w:bCs/>
        </w:rPr>
        <w:t xml:space="preserve">[A]</w:t>
      </w:r>
      <w:r>
        <w:t xml:space="preserve">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6. Financial Quickview (source of truth)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9"/>
        <w:gridCol w:w="2939"/>
        <w:gridCol w:w="762"/>
      </w:tblGrid>
      <w:tr>
        <w:trPr>
          <w:tblHeader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Tag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Startup capital required (business)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$12,095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cash founders must hold (incl. 12-month runway)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$60,095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Months to first revenue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Months to breakeven (cash)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Year-1 revenue (projected)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$40,123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Year-3 revenue (projected)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$427,320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Year-3 SDE (projected)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Year-3 SDE margin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46%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Founder hours / week (launch → steady state)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50 → 30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[A]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Target exit multiple (SDE)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3.2x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[E]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Implied Year-3 valuation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$631,542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derived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Financing path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Bootstrapped, revenue-first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5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Facts Verified / Estimated / Assumed</w:t>
            </w:r>
          </w:p>
        </w:tc>
        <w:tc>
          <w:tcPr>
            <w:tcW w:type="dxa" w:w="293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8 / 15 / 25</w:t>
            </w:r>
          </w:p>
        </w:tc>
        <w:tc>
          <w:tcPr>
            <w:tcW w:type="dxa" w:w="76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after="120" w:before="260"/>
      </w:pPr>
      <w:r>
        <w:t xml:space="preserve">Choosing 3.2x</w:t>
      </w:r>
    </w:p>
    <w:p>
      <w:pPr>
        <w:spacing w:after="120"/>
        <w:jc w:val="left"/>
      </w:pPr>
      <w:r>
        <w:t xml:space="preserve">Comparable packages priced between 1.9x and 4.2x SDE. The top of that band went to a vertical SaaS with 0.6% monthly churn, 96% contracted annual revenue and 70%+ margins; the bottom to a small SaaS with flat revenue and a departing team. XPMatch at Year 3 sits in the middle: 75% gross margin and a 41%-of-revenue subscription seat line argue upward, while four things pull down — a single founder who still runs sales, a concierge line that is 19% of revenue and does not transfer, cost dependence on Google Places and OpenRouter pricing neither founder controls, and 14% of revenue from affiliate attach rates that have never been measured. 3.2x.</w:t>
      </w:r>
    </w:p>
    <w:p>
      <w:pPr>
        <w:spacing w:after="120"/>
        <w:jc w:val="left"/>
      </w:pPr>
      <w:r>
        <w:rPr>
          <w:b/>
          <w:bCs/>
        </w:rPr>
        <w:t xml:space="preserve">This is materially below `docs/BUSINESS_PLAN.md` §1</w:t>
      </w:r>
      <w:r>
        <w:t xml:space="preserve">, which targets a $2.0–2.7M sale. That figure applies a 3–4x multiple to </w:t>
      </w:r>
      <w:r>
        <w:rPr>
          <w:i/>
          <w:iCs/>
        </w:rPr>
        <w:t xml:space="preserve">ARR</w:t>
      </w:r>
      <w:r>
        <w:t xml:space="preserve">, not SDE. At a 46% SDE margin the two methods still cannot both hold: 3.2x SDE is $632K, while 3.5x ARR would be $1.9M. Marketplace comparables reach 3–4x ARR only when SDE margin approaches 70–80%. Rebuilding COGS closed part of this gap — margin rose from 40% to 46% and the implied valuation from $551K to $632K — but it did not close it.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7. Sensitivity</w:t>
      </w:r>
    </w:p>
    <w:p>
      <w:pPr>
        <w:spacing w:after="120"/>
        <w:jc w:val="left"/>
      </w:pPr>
      <w:r>
        <w:t xml:space="preserve">Year-3 SDE at base, 30% worse and 30% better, ranked by swing.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8"/>
        <w:gridCol w:w="1248"/>
        <w:gridCol w:w="1248"/>
        <w:gridCol w:w="1248"/>
        <w:gridCol w:w="1248"/>
      </w:tblGrid>
      <w:tr>
        <w:trPr>
          <w:tblHeader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Assumption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−30%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+30%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Swing</w:t>
            </w:r>
          </w:p>
        </w:tc>
      </w:tr>
      <w:tr>
        <w:trPr>
          <w:tblHeader w:val="false"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Advisor seat adds per month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$147,302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$247,415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$100,113</w:t>
            </w:r>
          </w:p>
        </w:tc>
      </w:tr>
      <w:tr>
        <w:trPr>
          <w:tblHeader w:val="false"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Free signup volume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$155,452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$239,772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$84,320</w:t>
            </w:r>
          </w:p>
        </w:tc>
      </w:tr>
      <w:tr>
        <w:trPr>
          <w:tblHeader w:val="false"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Free → paid conversion rate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$164,425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$230,301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$65,876</w:t>
            </w:r>
          </w:p>
        </w:tc>
      </w:tr>
      <w:tr>
        <w:trPr>
          <w:tblHeader w:val="false"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Cities with a seeded catalog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$212,314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$183,243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$29,071</w:t>
            </w:r>
          </w:p>
        </w:tc>
      </w:tr>
      <w:tr>
        <w:trPr>
          <w:tblHeader w:val="false"/>
        </w:trPr>
        <w:tc>
          <w:tcPr>
            <w:tcW w:type="dxa" w:w="436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Days active per month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$205,901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$197,357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$188,813</w:t>
            </w:r>
          </w:p>
        </w:tc>
        <w:tc>
          <w:tcPr>
            <w:tcW w:type="dxa" w:w="124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$17,088</w:t>
            </w:r>
          </w:p>
        </w:tc>
      </w:tr>
    </w:tbl>
    <w:p>
      <w:pPr>
        <w:spacing w:after="120"/>
      </w:pPr>
    </w:p>
    <w:p>
      <w:pPr>
        <w:spacing w:after="120"/>
        <w:jc w:val="left"/>
      </w:pPr>
      <w:r>
        <w:t xml:space="preserve">No single 30% miss makes Year-3 SDE negative. </w:t>
      </w:r>
      <w:r>
        <w:rPr>
          <w:b/>
          <w:bCs/>
        </w:rPr>
        <w:t xml:space="preserve">Advisor seat adds still dominate</w:t>
      </w:r>
      <w:r>
        <w:t xml:space="preserve"> — a 30% miss costs $50K of Year-3 SDE, more than the entire concierge line contributes.</w:t>
      </w:r>
    </w:p>
    <w:p>
      <w:pPr>
        <w:spacing w:after="120"/>
        <w:jc w:val="left"/>
      </w:pPr>
      <w:r>
        <w:t xml:space="preserve">Two things changed when COGS was rebuilt around cities. </w:t>
      </w:r>
      <w:r>
        <w:rPr>
          <w:b/>
          <w:bCs/>
        </w:rPr>
        <w:t xml:space="preserve">Signup volume moved from fourth to second</w:t>
      </w:r>
      <w:r>
        <w:t xml:space="preserve">, because a higher gross margin means each marginal signup carries more profit. And </w:t>
      </w:r>
      <w:r>
        <w:rPr>
          <w:b/>
          <w:bCs/>
        </w:rPr>
        <w:t xml:space="preserve">cities seeded and days active are new levers that did not exist before</w:t>
      </w:r>
      <w:r>
        <w:t xml:space="preserve"> — they run the other way, since more cities and more engaged users both cost more Google. Between 50 and 250 cities, Year-3 SDE swings $63,775: the old flat $2.00 per-user rate was, without anyone saying so, an implicit bet on roughly 150–180 cities.</w:t>
      </w:r>
    </w:p>
    <w:p>
      <w:pPr>
        <w:pBdr>
          <w:bottom w:val="single" w:color="BFBFBF" w:sz="6"/>
        </w:pBdr>
        <w:spacing w:after="60"/>
      </w:pPr>
    </w:p>
    <w:p>
      <w:pPr>
        <w:pStyle w:val="Heading2"/>
        <w:spacing w:after="120" w:before="260"/>
      </w:pPr>
      <w:r>
        <w:t xml:space="preserve">8. Change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3429"/>
        <w:gridCol w:w="4819"/>
      </w:tblGrid>
      <w:tr>
        <w:trPr>
          <w:tblHeader/>
        </w:trPr>
        <w:tc>
          <w:tcPr>
            <w:tcW w:type="dxa" w:w="11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42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11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 21, 2026</w:t>
            </w:r>
          </w:p>
        </w:tc>
        <w:tc>
          <w:tcPr>
            <w:tcW w:type="dxa" w:w="342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Initial model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First build, founder inputs defaulted</w:t>
            </w:r>
          </w:p>
        </w:tc>
      </w:tr>
      <w:tr>
        <w:trPr>
          <w:tblHeader w:val="false"/>
        </w:trPr>
        <w:tc>
          <w:tcPr>
            <w:tcW w:type="dxa" w:w="11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 22, 2026</w:t>
            </w:r>
          </w:p>
        </w:tc>
        <w:tc>
          <w:tcPr>
            <w:tcW w:type="dxa" w:w="342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COGS rebuilt around cities, not users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flat $0.20/$2.00/$4.00 per-head rates did not match the code. Every expensive cache is shared, so spend scales with cities and days. Year-3 COGS $131,447 → $106,163, margin 69% → 75%, SDE $172,073 → $197,357, valuation $551K → $632K. Instrumentation added in the same change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docs/COGS.md</w:t>
            </w:r>
            <w:r>
              <w:rPr>
                <w:b w:val="false"/>
                <w:bCs w:val="false"/>
                <w:sz w:val="17"/>
                <w:szCs w:val="17"/>
              </w:rPr>
              <w:t xml:space="preserve"> §9) so these become measurements rather than estimates</w:t>
            </w:r>
          </w:p>
        </w:tc>
      </w:tr>
    </w:tbl>
    <w:p>
      <w:pPr>
        <w:spacing w:after="12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XPMatch financial-model   · 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rial" w:cs="Arial" w:eastAsia="Arial" w:hAnsi="Arial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Arial" w:cs="Arial" w:eastAsia="Arial" w:hAnsi="Arial"/>
      <w:b/>
      <w:bCs/>
      <w:color w:val="595959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XPMatch financial-model</dc:title>
  <dc:creator>XPMatch, Inc.</dc:creator>
  <cp:lastModifiedBy>Un-named</cp:lastModifiedBy>
  <cp:revision>1</cp:revision>
  <dcterms:created xsi:type="dcterms:W3CDTF">2026-09-22T21:10:45.841Z</dcterms:created>
  <dcterms:modified xsi:type="dcterms:W3CDTF">2026-09-22T21:10:45.841Z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