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Contents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0. Founder-side defaults (all [A])</w:t>
      </w:r>
      <w:r>
        <w:rPr>
          <w:b/>
          <w:bCs/>
          <w:sz w:val="20"/>
          <w:szCs w:val="20"/>
        </w:rPr>
        <w:t xml:space="preserve">	2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1. Assumptions</w:t>
      </w:r>
      <w:r>
        <w:rPr>
          <w:b/>
          <w:bCs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2. Year-1 Monthly Projection</w:t>
      </w:r>
      <w:r>
        <w:rPr>
          <w:b/>
          <w:bCs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3. Three-Year Projection</w:t>
      </w:r>
      <w:r>
        <w:rPr>
          <w:b/>
          <w:bCs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4. SDE Add-backs — Detail</w:t>
      </w:r>
      <w:r>
        <w:rPr>
          <w:b/>
          <w:bCs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5. Capital Required</w:t>
      </w:r>
      <w:r>
        <w:rPr>
          <w:b/>
          <w:bCs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6. Financial Quickview (source of truth)</w:t>
      </w:r>
      <w:r>
        <w:rPr>
          <w:b/>
          <w:bCs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7. Sensitivity</w:t>
      </w:r>
      <w:r>
        <w:rPr>
          <w:b/>
          <w:bCs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8. Change log</w:t>
      </w:r>
      <w:r>
        <w:rPr>
          <w:b/>
          <w:bCs/>
          <w:sz w:val="20"/>
          <w:szCs w:val="20"/>
        </w:rPr>
        <w:t xml:space="preserve">	10</w:t>
      </w:r>
    </w:p>
    <w:p>
      <w:r>
        <w:br w:type="page"/>
      </w:r>
    </w:p>
    <w:p>
      <w:pPr>
        <w:pStyle w:val="Heading1"/>
        <w:spacing w:after="120" w:before="320"/>
      </w:pPr>
      <w:r>
        <w:t xml:space="preserve">XPMatch — Financial Model</w:t>
      </w:r>
    </w:p>
    <w:p>
      <w:pPr>
        <w:spacing w:after="120"/>
        <w:jc w:val="left"/>
      </w:pPr>
      <w:r>
        <w:t xml:space="preserve">Last updated: Sunday, Sep 21, 2026 Companion to </w:t>
      </w:r>
      <w:r>
        <w:rPr>
          <w:rFonts w:ascii="Consolas" w:cs="Consolas" w:eastAsia="Consolas" w:hAnsi="Consolas"/>
        </w:rPr>
        <w:t xml:space="preserve">1-business-summary.md</w:t>
      </w:r>
      <w:r>
        <w:t xml:space="preserve">. Every projection line traces to an assumption row below. Month 1 = October 2026, the month Stripe billing goes live. Year 1 = M1–M12, Year 2 = M13–M24, Year 3 = M25–M36.</w:t>
      </w:r>
    </w:p>
    <w:p>
      <w:pPr>
        <w:spacing w:after="120"/>
        <w:jc w:val="left"/>
      </w:pPr>
      <w:r>
        <w:rPr>
          <w:b/>
          <w:bCs/>
        </w:rPr>
        <w:t xml:space="preserve">Basis.</w:t>
      </w:r>
      <w:r>
        <w:t xml:space="preserve"> Accrual for the P&amp;L: annual Plus plans are recognised at $4.08/month over twelve months. Cash collection differs — annual plans are billed upfront — so the cash-flow rows below use cash receipts. Trip Pass is recognised at purchase (60-day access; the timing difference is immaterial).</w:t>
      </w:r>
    </w:p>
    <w:p>
      <w:pPr>
        <w:spacing w:after="120"/>
        <w:jc w:val="left"/>
      </w:pPr>
      <w:r>
        <w:rPr>
          <w:b/>
          <w:bCs/>
        </w:rPr>
        <w:t xml:space="preserve">Tag key.</w:t>
      </w:r>
      <w:r>
        <w:t xml:space="preserve"> </w:t>
      </w:r>
      <w:r>
        <w:rPr>
          <w:b/>
          <w:bCs/>
        </w:rPr>
        <w:t xml:space="preserve">[V]</w:t>
      </w:r>
      <w:r>
        <w:t xml:space="preserve"> Verified — a document, invoice, statement or screenshot exists. </w:t>
      </w:r>
      <w:r>
        <w:rPr>
          <w:b/>
          <w:bCs/>
        </w:rPr>
        <w:t xml:space="preserve">[E]</w:t>
      </w:r>
      <w:r>
        <w:t xml:space="preserve"> Estimated — grounded in a named comparable, quote or published benchmark. </w:t>
      </w:r>
      <w:r>
        <w:rPr>
          <w:b/>
          <w:bCs/>
        </w:rPr>
        <w:t xml:space="preserve">[A]</w:t>
      </w:r>
      <w:r>
        <w:t xml:space="preserve"> Assumed — nobody knows yet; every [A] row appears on the Validation Scorecard.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b/>
          <w:bCs/>
        </w:rPr>
        <w:t xml:space="preserve">Founder inputs are defaults.</w:t>
      </w:r>
      <w:r>
        <w:t xml:space="preserve"> Nine founder-side inputs (ownership, hours, entity, capital, spend to date, owner compensation, revenue to date, other businesses, non-competes) were not supplied. Section 0 states the default used for each. All nine are tagged </w:t>
      </w:r>
      <w:r>
        <w:rPr>
          <w:b/>
          <w:bCs/>
        </w:rPr>
        <w:t xml:space="preserve">[A]</w:t>
      </w:r>
      <w:r>
        <w:t xml:space="preserve"> and none has been upgraded. Replace them before this document is shown to a lender or a partner.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0. Founder-side defaults (all [A])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1"/>
        <w:gridCol w:w="3131"/>
        <w:gridCol w:w="3428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 used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 if wrong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Ownership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XPMatch, Inc.; Tayo Aki 70% (product, sales, delivery), second founder "Faven" 30% (part-time)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Changes nothing in the P&amp;L; changes who signs an LOI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 hours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Tayo 40 h/wk launch → 25 h/wk steady state; Faven 10 h/wk → 5 h/wk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Drives the founder-replacement add-back (−$26,000/yr)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Entity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Delaware C-corp, incorporated Sep 2026 (Terms of Service effective Sep 16, 2026 name "XPMatch, Inc.")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Franchise tax and filing costs, ~$500/yr, immaterial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 cash available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$25,000, no outside capital, no lender conversation held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Sets the starting cash line; see Section 5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Spent to date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$3,500 — domains, Google/OpenRouter/Railway/Resend during the build, design, ToS/Privacy drafting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Sunk; excluded from capital required, disclosed as founder contribution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 compensation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 through M12; $4,000/mo M13–M24; $8,000/mo M25–M36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Largest SDE add-back; see Section 4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 to date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$0. No billing integration exists in the codebase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If revenue exists, Gate 1 is already passed and this model is wrong at the start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 businesses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sharing staff, cash or customers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 books assumption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2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Non-competes / prior-employment IP</w:t>
            </w:r>
          </w:p>
        </w:tc>
        <w:tc>
          <w:tcPr>
            <w:tcW w:type="dxa" w:w="31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34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 travel-sector non-compete would be material</w:t>
            </w:r>
          </w:p>
        </w:tc>
      </w:tr>
    </w:tbl>
    <w:p>
      <w:pPr>
        <w:spacing w:after="120"/>
      </w:pP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1. Assumptions</w:t>
      </w:r>
    </w:p>
    <w:p>
      <w:pPr>
        <w:pStyle w:val="Heading3"/>
        <w:spacing w:after="120" w:before="260"/>
      </w:pPr>
      <w:r>
        <w:t xml:space="preserve">Demand and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523"/>
        <w:gridCol w:w="560"/>
        <w:gridCol w:w="2863"/>
        <w:gridCol w:w="1487"/>
      </w:tblGrid>
      <w:tr>
        <w:trPr>
          <w:tblHeader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annual price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$49.00/yr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Anchored to Layla $49.99/yr, TripIt Pro $49/yr, Wanderlog Pro $39.99/yr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docs/COMPETITOR_LANDSCAPE.md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read Sep 2026)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monthly price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$7.99/mo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Layla $9.99/mo, priced below it deliberately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Trip Pass price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$19 / 60 days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competitor sells this shape; StayMatch's $10 day pass is the nearest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Trip Pass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Advisor seat price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$49/seat/mo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Travefy $39–59/mo, Tern $39/seat/mo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Seat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price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$249 average ($149 / $249 / $399 tiers)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AAA planning fees $250–1,500 international; flat-tier itinerary sellers $97–497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free signups, M1 → M36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→ 1,500 → 3,900 → 6,300 per month; 7,970 in Y1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channel has produced a signup yet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consumer line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→ paid within 30 days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4% Y1, 5% Y2, 6% Y3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RevenueCat State of Subscription Apps 2026: travel trial conversion 4.1% median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+ Trip Pass volume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Trip Pass share of paid conversions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55%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Judgement: lower friction at the "Turn into a trip" moment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 mix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Annual share of Plus conversions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50% Y1, 60% Y2, 65% Y3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 targets ≥60% by M12; modelled one year slower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 recognition, churn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monthly churn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12%/mo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RevenueCat: travel monthly first renewal ~53%, decaying thereafter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subscriber rollforward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annual renewal at 12 months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45%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RevenueCat: travel annual renewal ~40%; +5pts for the taste profile that improves with use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subscriber rollforward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Advisor seat churn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5%/mo Y1–Y2, 3%/mo Y3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 targets ≤5% by M12, ≤3% by M24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Seat rollforward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Advisor seat gross adds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2/mo at M3 rising to 33/mo at M36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Outbound has not been run; the LAPS plan targets 1–2 sales/week by week 12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Seat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trips per month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at M1 → 10 at M12 → 25 at M24 → 30 at M36; 82 in Y1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Founder-led sales, none booked yet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Trips created per month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20% of new signups + 12% of paying accounts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 targets 35% first-session trip creation; modelled at 20%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Affiliate revenue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Affiliate revenue per trip</w:t>
            </w:r>
          </w:p>
        </w:tc>
        <w:tc>
          <w:tcPr>
            <w:tcW w:type="dxa" w:w="25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$1.50 Y1, $3.00 Y2, $4.00 Y3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Pessimistic attach case (≈5% on stays), not the plan's 15% target.</w:t>
            </w:r>
            <w:r>
              <w:rPr>
                <w:b w:val="false"/>
                <w:bCs w:val="false"/>
                <w:sz w:val="17"/>
                <w:szCs w:val="17"/>
              </w:rPr>
              <w:t xml:space="preserve"> Booking.com pays 4% on stays, Expedia up to 4.8%, activity partners 8%</w:t>
            </w:r>
          </w:p>
        </w:tc>
        <w:tc>
          <w:tcPr>
            <w:tcW w:type="dxa" w:w="14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Affiliate revenue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t xml:space="preserve">Cost of goods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2"/>
        <w:gridCol w:w="2470"/>
        <w:gridCol w:w="560"/>
        <w:gridCol w:w="2813"/>
        <w:gridCol w:w="1515"/>
      </w:tblGrid>
      <w:tr>
        <w:trPr>
          <w:tblHeader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rPr>
          <w:tblHeader w:val="false"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COGS per free active user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$0.20/mo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docs/COGS.md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free-tier cap, enforced by catalog-only cards and 40 lookups/day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 COGS</w:t>
            </w:r>
          </w:p>
        </w:tc>
      </w:tr>
      <w:tr>
        <w:trPr>
          <w:tblHeader w:val="false"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COGS per paying consumer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$2.00/mo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docs/COGS.md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post-catalog range $1.40–2.00; cap $3.00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 COGS</w:t>
            </w:r>
          </w:p>
        </w:tc>
      </w:tr>
      <w:tr>
        <w:trPr>
          <w:tblHeader w:val="false"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COGS per advisor seat (incl. clients)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$4.00/mo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docs/COGS.md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advisor cap $6.00; modelled at the plan's estimate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 COGS</w:t>
            </w:r>
          </w:p>
        </w:tc>
      </w:tr>
      <w:tr>
        <w:trPr>
          <w:tblHeader w:val="false"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Free-base monthly decay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cohort data exists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Active-user count</w:t>
            </w:r>
          </w:p>
        </w:tc>
      </w:tr>
      <w:tr>
        <w:trPr>
          <w:tblHeader w:val="false"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API cost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$5.00/trip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docs/COGS.md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per-action pricing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COGS</w:t>
            </w:r>
          </w:p>
        </w:tc>
      </w:tr>
      <w:tr>
        <w:trPr>
          <w:tblHeader w:val="false"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human review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1.5 h/trip; founder unpaid to M14, then $35/h contractor from M15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Plan's SOP time; $25–35/h stated hiring range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COGS, SDE add-back</w:t>
            </w:r>
          </w:p>
        </w:tc>
      </w:tr>
      <w:tr>
        <w:trPr>
          <w:tblHeader w:val="false"/>
        </w:trPr>
        <w:tc>
          <w:tcPr>
            <w:tcW w:type="dxa" w:w="2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Payment processing</w:t>
            </w:r>
          </w:p>
        </w:tc>
        <w:tc>
          <w:tcPr>
            <w:tcW w:type="dxa" w:w="2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2.9% + $0.30 per transaction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  <w:tc>
          <w:tcPr>
            <w:tcW w:type="dxa" w:w="2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Stripe published US pricing</w:t>
            </w:r>
          </w:p>
        </w:tc>
        <w:tc>
          <w:tcPr>
            <w:tcW w:type="dxa" w:w="15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Processing COGS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t xml:space="preserve">Operating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2737"/>
        <w:gridCol w:w="560"/>
        <w:gridCol w:w="3061"/>
        <w:gridCol w:w="1354"/>
      </w:tblGrid>
      <w:tr>
        <w:trPr>
          <w:tblHeader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 (Railway + Postgres)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$25/mo Y1, $150/mo Y2, $400/mo Y3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docs/COGS.md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current $20–25/mo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Opex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Software subscriptions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$150/mo Y1, $400/mo Y2, $600/mo Y3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Resend, error monitoring, analytics, CRM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Opex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Cold-email infrastructure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$150/mo from M1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secondary domains, 4 inboxes, sending tool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Opex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Part-time concierge reviewer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$1,500/mo from M15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Plan's hiring trigger is &gt;20 trips/mo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Opex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Support contractor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$1,500/mo from M25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Scale assumption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Opex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Marketing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 to M3; $400→$1,200/mo ramp in Y1; $2,000/mo Y2; $4,000/mo Y3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Creator payouts at $1–2 per activated signup (Mindtrip pays $1); $500 paid-social test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Opex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One-time costs, M1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$3,850 — app-specific ToS/Privacy $2,000, landing pages and brand $1,500, trademark filing $350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docs/BETA_READINESS.md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names the required Privacy Policy app section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Capital, SDE add-back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 salary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 / $48,000 / $96,000 by year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Default 6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Opex, SDE add-back</w:t>
            </w:r>
          </w:p>
        </w:tc>
      </w:tr>
      <w:tr>
        <w:trPr>
          <w:tblHeader w:val="false"/>
        </w:trPr>
        <w:tc>
          <w:tcPr>
            <w:tcW w:type="dxa" w:w="16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Founder-replacement cost</w:t>
            </w:r>
          </w:p>
        </w:tc>
        <w:tc>
          <w:tcPr>
            <w:tcW w:type="dxa" w:w="27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−$26,000/yr (second founder, 10 h/wk at $50/h)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30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Market rate for part-time ops/support</w:t>
            </w:r>
          </w:p>
        </w:tc>
        <w:tc>
          <w:tcPr>
            <w:tcW w:type="dxa" w:w="1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SDE (negative add-back)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Tag counts across this section: [V] 1 · [E] 17 · [A] 20.</w:t>
      </w:r>
      <w:r>
        <w:t xml:space="preserve"> Verified share: </w:t>
      </w:r>
      <w:r>
        <w:rPr>
          <w:b/>
          <w:bCs/>
        </w:rPr>
        <w:t xml:space="preserve">3%.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2. Year-1 Monthly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Line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M10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M11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M12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Y1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New signups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220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1,100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1,300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1,500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7,970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Plus subs — annual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Plus subs — monthly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Advisor seats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Concierge trips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82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3"/>
                <w:szCs w:val="13"/>
              </w:rPr>
              <w:t xml:space="preserve">Revenue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Plus annual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115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190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238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293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1,233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Plus monthly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175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223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335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403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1,820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Trip Pass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167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209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272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397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460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543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627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3,331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Advisor seats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240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424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648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909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1,158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1,443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1,763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2,067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2,404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11,155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Concierge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498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747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996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1,245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1,494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1,743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1,992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1,992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2,241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2,490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2,490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2,490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20,418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Affiliate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157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205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253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302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351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416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481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2,165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Total revenue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551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836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1,234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1,688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2,200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2,918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3,597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4,028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4,755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5,529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6,089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6,698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40,123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3"/>
                <w:szCs w:val="13"/>
              </w:rPr>
              <w:t xml:space="preserve">Cost of goods sold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API, model &amp; hosting per user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170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253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352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475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615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773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947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1,142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1,359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6,268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Concierge delivery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410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Payment processing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129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147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174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203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227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1,465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Gross profit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498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737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1,066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1,433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1,838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2,427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2,954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3,226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3,763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4,329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4,671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5,038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31,980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3"/>
                <w:szCs w:val="13"/>
              </w:rPr>
              <w:t xml:space="preserve">Operating expenses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Advertising &amp; marketing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1,100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1,200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7,200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Contractors &amp; staff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Software, hosting &amp; sending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3,900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Owner salary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Net operating profit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173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412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741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708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1,013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1,502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1,929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2,101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2,538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3,004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3,246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3,513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20,880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One-time costs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3,850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3,850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Net cash flow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-3,636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469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821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812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1,147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1,662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2,130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2,339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2,807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3,299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3,581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3,881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19,312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Cumulative cash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21,364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21,833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22,654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23,465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24,612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26,273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28,404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30,743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33,550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36,849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40,430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44,312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44,312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t xml:space="preserve">Cumulative cash opens at the $25,000 founder capital. The cash low point is </w:t>
      </w:r>
      <w:r>
        <w:rPr>
          <w:b/>
          <w:bCs/>
        </w:rPr>
        <w:t xml:space="preserve">M1 at $21,364</w:t>
      </w:r>
      <w:r>
        <w:t xml:space="preserve">, a drawdown of </w:t>
      </w:r>
      <w:r>
        <w:rPr>
          <w:b/>
          <w:bCs/>
        </w:rPr>
        <w:t xml:space="preserve">$3,636</w:t>
      </w:r>
      <w:r>
        <w:t xml:space="preserve"> against opening capital — the business never goes cash-negative because the concierge line sells from month one at 98% contribution margin and no owner salary is drawn. </w:t>
      </w:r>
      <w:r>
        <w:rPr>
          <w:b/>
          <w:bCs/>
        </w:rPr>
        <w:t xml:space="preserve">That early profitability is an artefact of unpaid founder labour, not of the cost structure.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3. Three-Year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5"/>
        <w:gridCol w:w="1468"/>
        <w:gridCol w:w="1468"/>
        <w:gridCol w:w="1469"/>
      </w:tblGrid>
      <w:tr>
        <w:trPr>
          <w:tblHeader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$40,123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$190,673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$427,320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Growth YoY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+375%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+124%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Cost of goods sold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$8,143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$59,342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$131,447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Gross profit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$31,980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$131,331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$295,873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80%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69%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69%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Advertising &amp; marketing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$7,200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$24,000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$48,000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Contractors &amp; staff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$15,000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$36,000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Software, hosting &amp; sending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$3,900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$8,400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$13,800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 salary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$48,000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$96,000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operating expenses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$11,100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$95,400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$193,800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Net operating profit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$20,880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$35,931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$102,073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 add-backs (net)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−$26,455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+$20,635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+$70,000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SDE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−$5,575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$56,566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SDE margin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−14%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49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Exit-month ARR run-rate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$80,379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$275,875</w:t>
            </w:r>
          </w:p>
        </w:tc>
        <w:tc>
          <w:tcPr>
            <w:tcW w:type="dxa" w:w="14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$548,932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Growth drivers.</w:t>
      </w:r>
      <w:r>
        <w:t xml:space="preserve"> Year 1: concierge trips sold by hand (51% of revenue) plus the first 49 advisor seats. Year 2: advisor outbound matures (seats become the largest line at 34% of revenue) and the consumer funnel compounds. Year 3: seat count reaches 405 and the paid consumer base reaches 1,695.</w:t>
      </w:r>
    </w:p>
    <w:p>
      <w:pPr>
        <w:spacing w:after="120"/>
        <w:jc w:val="left"/>
      </w:pPr>
      <w:r>
        <w:rPr>
          <w:b/>
          <w:bCs/>
        </w:rPr>
        <w:t xml:space="preserve">Revenue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0"/>
        <w:gridCol w:w="1070"/>
        <w:gridCol w:w="1070"/>
        <w:gridCol w:w="1070"/>
      </w:tblGrid>
      <w:tr>
        <w:trPr>
          <w:tblHeader/>
        </w:trPr>
        <w:tc>
          <w:tcPr>
            <w:tcW w:type="dxa" w:w="6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Stream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Y1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Y2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Y3</w:t>
            </w:r>
          </w:p>
        </w:tc>
      </w:tr>
      <w:tr>
        <w:trPr>
          <w:tblHeader w:val="false"/>
        </w:trPr>
        <w:tc>
          <w:tcPr>
            <w:tcW w:type="dxa" w:w="6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51%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32%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19%</w:t>
            </w:r>
          </w:p>
        </w:tc>
      </w:tr>
      <w:tr>
        <w:trPr>
          <w:tblHeader w:val="false"/>
        </w:trPr>
        <w:tc>
          <w:tcPr>
            <w:tcW w:type="dxa" w:w="6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Advisor seats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28%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34%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41%</w:t>
            </w:r>
          </w:p>
        </w:tc>
      </w:tr>
      <w:tr>
        <w:trPr>
          <w:tblHeader w:val="false"/>
        </w:trPr>
        <w:tc>
          <w:tcPr>
            <w:tcW w:type="dxa" w:w="6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Trip Pass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9%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9%</w:t>
            </w:r>
          </w:p>
        </w:tc>
      </w:tr>
      <w:tr>
        <w:trPr>
          <w:tblHeader w:val="false"/>
        </w:trPr>
        <w:tc>
          <w:tcPr>
            <w:tcW w:type="dxa" w:w="6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Affiliate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12%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6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Plus (annual + monthly)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13%</w:t>
            </w:r>
          </w:p>
        </w:tc>
        <w:tc>
          <w:tcPr>
            <w:tcW w:type="dxa" w:w="10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17%</w:t>
            </w:r>
          </w:p>
        </w:tc>
      </w:tr>
    </w:tbl>
    <w:p>
      <w:pPr>
        <w:spacing w:after="120"/>
      </w:pP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4. SDE Add-backs — Detail</w:t>
      </w:r>
    </w:p>
    <w:p>
      <w:pPr>
        <w:spacing w:after="120"/>
        <w:jc w:val="left"/>
      </w:pPr>
      <w:r>
        <w:t xml:space="preserve">SDE assumes a single owner-operator who does the work one founder does today. Owner salary is added back. The </w:t>
      </w:r>
      <w:r>
        <w:rPr>
          <w:b/>
          <w:bCs/>
        </w:rPr>
        <w:t xml:space="preserve">second</w:t>
      </w:r>
      <w:r>
        <w:t xml:space="preserve"> founder's unpaid 10 h/week is subtracted, because a buyer would have to pay someone for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4"/>
        <w:gridCol w:w="985"/>
        <w:gridCol w:w="985"/>
        <w:gridCol w:w="986"/>
      </w:tblGrid>
      <w:tr>
        <w:trPr>
          <w:tblHeader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Add-back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Net operating profit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$20,880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$35,931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$102,073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 Owner salary and payroll taxes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$48,000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$96,000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 Owner benefits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 Interest, depreciation, amortisation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 One-time costs (legal, brand, trademark)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$3,850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 Personal expenses through the business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 Replace second founder (10 h/wk @ $50/h)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−$26,000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−$26,000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−$26,000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 Replace unpaid founder concierge review (Y1 82 trips, Y2 26 trips in M13–M14, × 1.5 h @ $35/h)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−$4,305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−$1,365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SDE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−$5,575</w:t>
            </w:r>
          </w:p>
        </w:tc>
        <w:tc>
          <w:tcPr>
            <w:tcW w:type="dxa" w:w="9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$56,566</w:t>
            </w:r>
          </w:p>
        </w:tc>
        <w:tc>
          <w:tcPr>
            <w:tcW w:type="dxa" w:w="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Year-1 SDE is negative.</w:t>
      </w:r>
      <w:r>
        <w:t xml:space="preserve"> The business produces $20,880 of net operating profit in Year 1 and still returns −$5,575 of SDE, because two founders working unpaid are worth more than the profit they generate. This is the single most important number in the document: it says Year 1 is not a business yet, it is a funded experiment.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5. Capital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9"/>
        <w:gridCol w:w="1111"/>
      </w:tblGrid>
      <w:tr>
        <w:trPr>
          <w:tblHeader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One-time build costs (legal, landing pages, trademark)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$3,850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Initial inventory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Cash low point (M1 drawdown against opening capital)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$3,636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Working-capital buffer (3 × month-12 operating expenses)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$4,575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capital required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$12,061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t xml:space="preserve">The business is cheap to start. The founders are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9"/>
        <w:gridCol w:w="1111"/>
      </w:tblGrid>
      <w:tr>
        <w:trPr>
          <w:tblHeader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capital required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$12,061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 personal runway (12 months unpaid × $4,000/mo)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$48,000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cash the founders must hold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$60,061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 cash available [A]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$25,000</w:t>
            </w:r>
          </w:p>
        </w:tc>
      </w:tr>
      <w:tr>
        <w:trPr>
          <w:tblHeader w:val="false"/>
        </w:trPr>
        <w:tc>
          <w:tcPr>
            <w:tcW w:type="dxa" w:w="8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Shortfall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$35,061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t xml:space="preserve">Already sunk and excluded above: </w:t>
      </w:r>
      <w:r>
        <w:rPr>
          <w:b/>
          <w:bCs/>
        </w:rPr>
        <w:t xml:space="preserve">$3,500</w:t>
      </w:r>
      <w:r>
        <w:t xml:space="preserve"> of founder contribution during the build.</w:t>
      </w:r>
    </w:p>
    <w:p>
      <w:pPr>
        <w:spacing w:after="120"/>
        <w:jc w:val="left"/>
      </w:pPr>
      <w:r>
        <w:rPr>
          <w:b/>
          <w:bCs/>
        </w:rPr>
        <w:t xml:space="preserve">Financing.</w:t>
      </w:r>
      <w:r>
        <w:t xml:space="preserve"> Bootstrapped, revenue-first. No lender has been approached, so no loan is presented as the plan. SBA 7(a) terms in comparable packages required a 35–40% equity injection and are stricter for startups than for acquisitions; a pre-revenue applicant with no trading history would not qualify today. Tagged </w:t>
      </w:r>
      <w:r>
        <w:rPr>
          <w:b/>
          <w:bCs/>
        </w:rPr>
        <w:t xml:space="preserve">[A]</w:t>
      </w:r>
      <w:r>
        <w:t xml:space="preserve">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6. Financial Quickview (source of truth)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59"/>
        <w:gridCol w:w="2939"/>
        <w:gridCol w:w="762"/>
      </w:tblGrid>
      <w:tr>
        <w:trPr>
          <w:tblHeader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Tag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Startup capital required (business)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$12,061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cash founders must hold (incl. 12-month runway)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$60,061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Months to first revenue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Months to breakeven (cash)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Year-1 revenue (projected)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$40,123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Year-3 revenue (projected)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$427,320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Year-3 SDE (projected)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Year-3 SDE margin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 hours / week (launch → steady state)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50 → 30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Target exit multiple (SDE)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3.2x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Implied Year-3 valuation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$550,635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derived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Financing path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Bootstrapped, revenue-first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Facts Verified / Estimated / Assumed</w:t>
            </w:r>
          </w:p>
        </w:tc>
        <w:tc>
          <w:tcPr>
            <w:tcW w:type="dxa" w:w="29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/ 17 / 20</w:t>
            </w:r>
          </w:p>
        </w:tc>
        <w:tc>
          <w:tcPr>
            <w:tcW w:type="dxa" w:w="7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t xml:space="preserve">Choosing 3.2x</w:t>
      </w:r>
    </w:p>
    <w:p>
      <w:pPr>
        <w:spacing w:after="120"/>
        <w:jc w:val="left"/>
      </w:pPr>
      <w:r>
        <w:t xml:space="preserve">Comparable packages priced between 1.9x and 4.2x SDE. The top of that band went to a vertical SaaS with 0.6% monthly churn, 96% contracted annual revenue and 70%+ margins; the bottom to a small SaaS with flat revenue and a departing team. XPMatch at Year 3 sits in the middle: 69% gross margin and a 41%-of-revenue subscription seat line argue upward, while four things pull down — a single founder who still runs sales, a concierge line that is 20% of revenue and does not transfer, cost dependence on Google Places and OpenRouter pricing neither founder controls, and 14% of revenue from affiliate attach rates that have never been measured. 3.2x.</w:t>
      </w:r>
    </w:p>
    <w:p>
      <w:pPr>
        <w:spacing w:after="120"/>
        <w:jc w:val="left"/>
      </w:pPr>
      <w:r>
        <w:rPr>
          <w:b/>
          <w:bCs/>
        </w:rPr>
        <w:t xml:space="preserve">This is materially below `docs/BUSINESS_PLAN.md` §1</w:t>
      </w:r>
      <w:r>
        <w:t xml:space="preserve">, which targets a $2.0–2.7M sale. That figure applies a 3–4x multiple to </w:t>
      </w:r>
      <w:r>
        <w:rPr>
          <w:i/>
          <w:iCs/>
        </w:rPr>
        <w:t xml:space="preserve">ARR</w:t>
      </w:r>
      <w:r>
        <w:t xml:space="preserve">, not SDE. At a 40% SDE margin the two methods cannot both hold: 3.2x SDE is $551K, while 3.5x ARR would be $1.9M. Marketplace comparables reach 3–4x ARR only when SDE margin approaches 70–80%. Reconciling the two requires either a materially leaner cost structure or a revenue mix weighted much harder toward advisor seats. This is the largest single disagreement between this model and the business plan.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7. Sensitivity</w:t>
      </w:r>
    </w:p>
    <w:p>
      <w:pPr>
        <w:spacing w:after="120"/>
        <w:jc w:val="left"/>
      </w:pPr>
      <w:r>
        <w:t xml:space="preserve">Year-3 SDE at base, 30% worse and 30% better, ranked by swing.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2"/>
        <w:gridCol w:w="1269"/>
        <w:gridCol w:w="1269"/>
        <w:gridCol w:w="1269"/>
        <w:gridCol w:w="1111"/>
      </w:tblGrid>
      <w:tr>
        <w:trPr>
          <w:tblHeader/>
        </w:trPr>
        <w:tc>
          <w:tcPr>
            <w:tcW w:type="dxa" w:w="4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−30%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+30%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Swing</w:t>
            </w:r>
          </w:p>
        </w:tc>
      </w:tr>
      <w:tr>
        <w:trPr>
          <w:tblHeader w:val="false"/>
        </w:trPr>
        <w:tc>
          <w:tcPr>
            <w:tcW w:type="dxa" w:w="4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Advisor seat adds per month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$125,782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$218,365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$92,583</w:t>
            </w:r>
          </w:p>
        </w:tc>
      </w:tr>
      <w:tr>
        <w:trPr>
          <w:tblHeader w:val="false"/>
        </w:trPr>
        <w:tc>
          <w:tcPr>
            <w:tcW w:type="dxa" w:w="4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COGS per paid user per month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$200,870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$143,276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$57,594</w:t>
            </w:r>
          </w:p>
        </w:tc>
      </w:tr>
      <w:tr>
        <w:trPr>
          <w:tblHeader w:val="false"/>
        </w:trPr>
        <w:tc>
          <w:tcPr>
            <w:tcW w:type="dxa" w:w="4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→ paid conversion rate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$146,872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$197,274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$50,402</w:t>
            </w:r>
          </w:p>
        </w:tc>
      </w:tr>
      <w:tr>
        <w:trPr>
          <w:tblHeader w:val="false"/>
        </w:trPr>
        <w:tc>
          <w:tcPr>
            <w:tcW w:type="dxa" w:w="4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signup volume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$148,187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$195,959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$47,772</w:t>
            </w:r>
          </w:p>
        </w:tc>
      </w:tr>
      <w:tr>
        <w:trPr>
          <w:tblHeader w:val="false"/>
        </w:trPr>
        <w:tc>
          <w:tcPr>
            <w:tcW w:type="dxa" w:w="4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trips per month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$153,675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$190,471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$36,796</w:t>
            </w:r>
          </w:p>
        </w:tc>
      </w:tr>
      <w:tr>
        <w:trPr>
          <w:tblHeader w:val="false"/>
        </w:trPr>
        <w:tc>
          <w:tcPr>
            <w:tcW w:type="dxa" w:w="4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Affiliate revenue per trip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$155,010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$172,073</w:t>
            </w:r>
          </w:p>
        </w:tc>
        <w:tc>
          <w:tcPr>
            <w:tcW w:type="dxa" w:w="12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$189,136</w:t>
            </w:r>
          </w:p>
        </w:tc>
        <w:tc>
          <w:tcPr>
            <w:tcW w:type="dxa" w:w="11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$34,126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t xml:space="preserve">No single 30% miss makes Year-3 SDE negative, which is the one genuinely reassuring result in this file. </w:t>
      </w:r>
      <w:r>
        <w:rPr>
          <w:b/>
          <w:bCs/>
        </w:rPr>
        <w:t xml:space="preserve">Advisor seat adds dominate</w:t>
      </w:r>
      <w:r>
        <w:t xml:space="preserve"> — a 30% miss costs $46K of Year-3 SDE, more than the entire concierge line contributes. Seat acquisition is row 1 of the Validation Scorecard.</w:t>
      </w:r>
    </w:p>
    <w:p>
      <w:pPr>
        <w:spacing w:after="120"/>
        <w:jc w:val="left"/>
      </w:pPr>
      <w:r>
        <w:t xml:space="preserve">Note the COGS row runs the other way: a 30% </w:t>
      </w:r>
      <w:r>
        <w:rPr>
          <w:i/>
          <w:iCs/>
        </w:rPr>
        <w:t xml:space="preserve">overrun</w:t>
      </w:r>
      <w:r>
        <w:t xml:space="preserve"> on cost per user costs $29K of Year-3 SDE. The catalog work that took COGS from ~$10 to $1.40–2.00 per active user is what makes the consumer tier viable at all; losing it would not be survivable at these prices.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8.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1963"/>
        <w:gridCol w:w="5585"/>
      </w:tblGrid>
      <w:tr>
        <w:trPr>
          <w:tblHeader/>
        </w:trPr>
        <w:tc>
          <w:tcPr>
            <w:tcW w:type="dxa" w:w="18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9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5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8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21, 2026</w:t>
            </w:r>
          </w:p>
        </w:tc>
        <w:tc>
          <w:tcPr>
            <w:tcW w:type="dxa" w:w="19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Initial model</w:t>
            </w:r>
          </w:p>
        </w:tc>
        <w:tc>
          <w:tcPr>
            <w:tcW w:type="dxa" w:w="5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First build, founder inputs defaulted</w:t>
            </w:r>
          </w:p>
        </w:tc>
      </w:tr>
    </w:tbl>
    <w:p>
      <w:pPr>
        <w:spacing w:after="12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XPMatch Financial Model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595959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XPMatch Financial Model</dc:title>
  <dc:creator>XPMatch, Inc.</dc:creator>
  <cp:lastModifiedBy>Un-named</cp:lastModifiedBy>
  <cp:revision>1</cp:revision>
  <dcterms:created xsi:type="dcterms:W3CDTF">2026-09-21T18:32:22.357Z</dcterms:created>
  <dcterms:modified xsi:type="dcterms:W3CDTF">2026-09-21T18:32:22.357Z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