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 vs NP Unusual Approaches Research</w:t>
      </w:r>
    </w:p>
    <w:p>
      <w:r>
        <w:t>Research reviewed through 13 September 2026</w:t>
      </w:r>
    </w:p>
    <w:p>
      <w:r>
        <w:t>The best leads are unusually precise reformulations of the missing work: a streaming compression lower bound, a sufficiently simple counterexample generator, and an algebraic obstruction to every efficient inverse. Several specialist papers repair part of our earlier setup. None supplies the remaining unrestricted lower bound, and none warrants a promise that this programme will reach a proof.</w:t>
      </w:r>
    </w:p>
    <w:p>
      <w:r>
        <w:t>P versus NP remains listed as unsolved by the Clay Mathematics Institute. This report therefore distinguishes a proved implication from an established premise. A theorem of the form “if we prove X, then P≠NP” is valuable, but it is not evidence that X is easy or that we already have it.</w:t>
      </w:r>
      <w:r>
        <w:rPr>
          <w:rStyle w:val="FootnoteReference"/>
        </w:rPr>
        <w:footnoteReference w:id="1"/>
      </w:r>
    </w:p>
    <w:p>
      <w:r>
        <w:t>My recommendation is to prioritize explicit counterexample extraction and streaming compression, use semigroup inversion to keep the quantification over all algorithms honest, and treat nonstandard models and topology as sources of new lemmas. The ranking below measures usefulness to our existing gaps, not a numerical chance of solving P versus NP.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835"/>
        <w:gridCol w:w="2909"/>
        <w:gridCol w:w="6192"/>
      </w:tblGrid>
      <w:tr>
        <w:trPr>
          <w:cantSplit/>
          <w:tblHeader/>
        </w:trPr>
        <w:tc>
          <w:tcPr>
            <w:tcW w:type="dxa" w:w="835"/>
            <w:vAlign w:val="center"/>
            <w:shd w:fill="F2F2F2"/>
          </w:tcPr>
          <w:p>
            <w:pPr>
              <w:spacing w:after="40" w:line="247" w:lineRule="auto"/>
              <w:jc w:val="center"/>
            </w:pPr>
            <w:r>
              <w:rPr>
                <w:b/>
                <w:sz w:val="19"/>
              </w:rPr>
              <w:t>Priority</w:t>
            </w:r>
          </w:p>
        </w:tc>
        <w:tc>
          <w:tcPr>
            <w:tcW w:type="dxa" w:w="2909"/>
            <w:vAlign w:val="center"/>
            <w:shd w:fill="F2F2F2"/>
          </w:tcPr>
          <w:p>
            <w:pPr>
              <w:spacing w:after="40" w:line="247" w:lineRule="auto"/>
            </w:pPr>
            <w:r>
              <w:rPr>
                <w:b/>
                <w:sz w:val="19"/>
              </w:rPr>
              <w:t>Lead</w:t>
            </w:r>
          </w:p>
        </w:tc>
        <w:tc>
          <w:tcPr>
            <w:tcW w:type="dxa" w:w="6192"/>
            <w:vAlign w:val="center"/>
            <w:shd w:fill="F2F2F2"/>
          </w:tcPr>
          <w:p>
            <w:pPr>
              <w:spacing w:after="40" w:line="247" w:lineRule="auto"/>
            </w:pPr>
            <w:r>
              <w:rPr>
                <w:b/>
                <w:sz w:val="19"/>
              </w:rPr>
              <w:t>What it contributes</w:t>
            </w:r>
          </w:p>
        </w:tc>
      </w:tr>
      <w:tr>
        <w:trPr>
          <w:cantSplit/>
        </w:trPr>
        <w:tc>
          <w:tcPr>
            <w:tcW w:type="dxa" w:w="835"/>
            <w:vAlign w:val="center"/>
          </w:tcPr>
          <w:p>
            <w:pPr>
              <w:spacing w:after="40" w:line="247" w:lineRule="auto"/>
              <w:jc w:val="center"/>
            </w:pPr>
            <w:r>
              <w:rPr>
                <w:b w:val="0"/>
                <w:sz w:val="19"/>
              </w:rPr>
              <w:t>1</w:t>
            </w:r>
          </w:p>
        </w:tc>
        <w:tc>
          <w:tcPr>
            <w:tcW w:type="dxa" w:w="2909"/>
            <w:vAlign w:val="center"/>
          </w:tcPr>
          <w:p>
            <w:pPr>
              <w:spacing w:after="40" w:line="247" w:lineRule="auto"/>
            </w:pPr>
            <w:r>
              <w:rPr>
                <w:b w:val="0"/>
                <w:sz w:val="19"/>
              </w:rPr>
              <w:t>Compression and constructive refuters</w:t>
            </w:r>
          </w:p>
        </w:tc>
        <w:tc>
          <w:tcPr>
            <w:tcW w:type="dxa" w:w="6192"/>
            <w:vAlign w:val="center"/>
          </w:tcPr>
          <w:p>
            <w:pPr>
              <w:spacing w:after="40" w:line="247" w:lineRule="auto"/>
            </w:pPr>
            <w:r>
              <w:rPr>
                <w:b w:val="0"/>
                <w:sz w:val="19"/>
              </w:rPr>
              <w:t>Exact sufficient targets and a way to turn an existential lower bound into an algorithmic task.</w:t>
            </w:r>
          </w:p>
        </w:tc>
      </w:tr>
      <w:tr>
        <w:trPr>
          <w:cantSplit/>
        </w:trPr>
        <w:tc>
          <w:tcPr>
            <w:tcW w:type="dxa" w:w="835"/>
            <w:vAlign w:val="center"/>
          </w:tcPr>
          <w:p>
            <w:pPr>
              <w:spacing w:after="40" w:line="247" w:lineRule="auto"/>
              <w:jc w:val="center"/>
            </w:pPr>
            <w:r>
              <w:rPr>
                <w:b w:val="0"/>
                <w:sz w:val="19"/>
              </w:rPr>
              <w:t>2</w:t>
            </w:r>
          </w:p>
        </w:tc>
        <w:tc>
          <w:tcPr>
            <w:tcW w:type="dxa" w:w="2909"/>
            <w:vAlign w:val="center"/>
          </w:tcPr>
          <w:p>
            <w:pPr>
              <w:spacing w:after="40" w:line="247" w:lineRule="auto"/>
            </w:pPr>
            <w:r>
              <w:rPr>
                <w:b w:val="0"/>
                <w:sz w:val="19"/>
              </w:rPr>
              <w:t>Information in proof search</w:t>
            </w:r>
          </w:p>
        </w:tc>
        <w:tc>
          <w:tcPr>
            <w:tcW w:type="dxa" w:w="6192"/>
            <w:vAlign w:val="center"/>
          </w:tcPr>
          <w:p>
            <w:pPr>
              <w:spacing w:after="40" w:line="247" w:lineRule="auto"/>
            </w:pPr>
            <w:r>
              <w:rPr>
                <w:b w:val="0"/>
                <w:sz w:val="19"/>
              </w:rPr>
              <w:t>A rigorous witness-search cost measure, with a clearly exposed proof-system restriction.</w:t>
            </w:r>
          </w:p>
        </w:tc>
      </w:tr>
      <w:tr>
        <w:trPr>
          <w:cantSplit/>
        </w:trPr>
        <w:tc>
          <w:tcPr>
            <w:tcW w:type="dxa" w:w="835"/>
            <w:vAlign w:val="center"/>
          </w:tcPr>
          <w:p>
            <w:pPr>
              <w:spacing w:after="40" w:line="247" w:lineRule="auto"/>
              <w:jc w:val="center"/>
            </w:pPr>
            <w:r>
              <w:rPr>
                <w:b w:val="0"/>
                <w:sz w:val="19"/>
              </w:rPr>
              <w:t>3</w:t>
            </w:r>
          </w:p>
        </w:tc>
        <w:tc>
          <w:tcPr>
            <w:tcW w:type="dxa" w:w="2909"/>
            <w:vAlign w:val="center"/>
          </w:tcPr>
          <w:p>
            <w:pPr>
              <w:spacing w:after="40" w:line="247" w:lineRule="auto"/>
            </w:pPr>
            <w:r>
              <w:rPr>
                <w:b w:val="0"/>
                <w:sz w:val="19"/>
              </w:rPr>
              <w:t>Semigroup nonregularity</w:t>
            </w:r>
          </w:p>
        </w:tc>
        <w:tc>
          <w:tcPr>
            <w:tcW w:type="dxa" w:w="6192"/>
            <w:vAlign w:val="center"/>
          </w:tcPr>
          <w:p>
            <w:pPr>
              <w:spacing w:after="40" w:line="247" w:lineRule="auto"/>
            </w:pPr>
            <w:r>
              <w:rPr>
                <w:b w:val="0"/>
                <w:sz w:val="19"/>
              </w:rPr>
              <w:t>An exact algebraic formulation that includes every polynomial-time inverse.</w:t>
            </w:r>
          </w:p>
        </w:tc>
      </w:tr>
      <w:tr>
        <w:trPr>
          <w:cantSplit/>
        </w:trPr>
        <w:tc>
          <w:tcPr>
            <w:tcW w:type="dxa" w:w="835"/>
            <w:vAlign w:val="center"/>
          </w:tcPr>
          <w:p>
            <w:pPr>
              <w:spacing w:after="40" w:line="247" w:lineRule="auto"/>
              <w:jc w:val="center"/>
            </w:pPr>
            <w:r>
              <w:rPr>
                <w:b w:val="0"/>
                <w:sz w:val="19"/>
              </w:rPr>
              <w:t>4</w:t>
            </w:r>
          </w:p>
        </w:tc>
        <w:tc>
          <w:tcPr>
            <w:tcW w:type="dxa" w:w="2909"/>
            <w:vAlign w:val="center"/>
          </w:tcPr>
          <w:p>
            <w:pPr>
              <w:spacing w:after="40" w:line="247" w:lineRule="auto"/>
            </w:pPr>
            <w:r>
              <w:rPr>
                <w:b w:val="0"/>
                <w:sz w:val="19"/>
              </w:rPr>
              <w:t>Canonical range avoidance</w:t>
            </w:r>
          </w:p>
        </w:tc>
        <w:tc>
          <w:tcPr>
            <w:tcW w:type="dxa" w:w="6192"/>
            <w:vAlign w:val="center"/>
          </w:tcPr>
          <w:p>
            <w:pPr>
              <w:spacing w:after="40" w:line="247" w:lineRule="auto"/>
            </w:pPr>
            <w:r>
              <w:rPr>
                <w:b w:val="0"/>
                <w:sz w:val="19"/>
              </w:rPr>
              <w:t>A real consistency repair; locality and NP verification remain open.</w:t>
            </w:r>
          </w:p>
        </w:tc>
      </w:tr>
      <w:tr>
        <w:trPr>
          <w:cantSplit/>
        </w:trPr>
        <w:tc>
          <w:tcPr>
            <w:tcW w:type="dxa" w:w="835"/>
            <w:vAlign w:val="center"/>
          </w:tcPr>
          <w:p>
            <w:pPr>
              <w:spacing w:after="40" w:line="247" w:lineRule="auto"/>
              <w:jc w:val="center"/>
            </w:pPr>
            <w:r>
              <w:rPr>
                <w:b w:val="0"/>
                <w:sz w:val="19"/>
              </w:rPr>
              <w:t>5</w:t>
            </w:r>
          </w:p>
        </w:tc>
        <w:tc>
          <w:tcPr>
            <w:tcW w:type="dxa" w:w="2909"/>
            <w:vAlign w:val="center"/>
          </w:tcPr>
          <w:p>
            <w:pPr>
              <w:spacing w:after="40" w:line="247" w:lineRule="auto"/>
            </w:pPr>
            <w:r>
              <w:rPr>
                <w:b w:val="0"/>
                <w:sz w:val="19"/>
              </w:rPr>
              <w:t>Nonstandard models and categorical invariants</w:t>
            </w:r>
          </w:p>
        </w:tc>
        <w:tc>
          <w:tcPr>
            <w:tcW w:type="dxa" w:w="6192"/>
            <w:vAlign w:val="center"/>
          </w:tcPr>
          <w:p>
            <w:pPr>
              <w:spacing w:after="40" w:line="247" w:lineRule="auto"/>
            </w:pPr>
            <w:r>
              <w:rPr>
                <w:b w:val="0"/>
                <w:sz w:val="19"/>
              </w:rPr>
              <w:t>Unusual but mathematically concrete ways to reformulate finite hardness.</w:t>
            </w:r>
          </w:p>
        </w:tc>
      </w:tr>
      <w:tr>
        <w:trPr>
          <w:cantSplit/>
        </w:trPr>
        <w:tc>
          <w:tcPr>
            <w:tcW w:type="dxa" w:w="835"/>
            <w:vAlign w:val="center"/>
          </w:tcPr>
          <w:p>
            <w:pPr>
              <w:spacing w:after="40" w:line="247" w:lineRule="auto"/>
              <w:jc w:val="center"/>
            </w:pPr>
            <w:r>
              <w:rPr>
                <w:b w:val="0"/>
                <w:sz w:val="19"/>
              </w:rPr>
              <w:t>6</w:t>
            </w:r>
          </w:p>
        </w:tc>
        <w:tc>
          <w:tcPr>
            <w:tcW w:type="dxa" w:w="2909"/>
            <w:vAlign w:val="center"/>
          </w:tcPr>
          <w:p>
            <w:pPr>
              <w:spacing w:after="40" w:line="247" w:lineRule="auto"/>
            </w:pPr>
            <w:r>
              <w:rPr>
                <w:b w:val="0"/>
                <w:sz w:val="19"/>
              </w:rPr>
              <w:t>Cohomology and new hardness axioms</w:t>
            </w:r>
          </w:p>
        </w:tc>
        <w:tc>
          <w:tcPr>
            <w:tcW w:type="dxa" w:w="6192"/>
            <w:vAlign w:val="center"/>
          </w:tcPr>
          <w:p>
            <w:pPr>
              <w:spacing w:after="40" w:line="247" w:lineRule="auto"/>
            </w:pPr>
            <w:r>
              <w:rPr>
                <w:b w:val="0"/>
                <w:sz w:val="19"/>
              </w:rPr>
              <w:t>Potentially original directions whose transfer lemmas are still conjectural.</w:t>
            </w:r>
          </w:p>
        </w:tc>
      </w:tr>
    </w:tbl>
    <w:p>
      <w:r/>
    </w:p>
    <w:p>
      <w:r>
        <w:t>Reading route: Sections 2–4 contain the most actionable leads. Sections 5–8 address the earlier diagonalization, fusion and infinity ideas. Section 12 states concrete research targets and stopping conditions. Numbered footnotes and the final Sources section link to the originals.</w:t>
      </w:r>
    </w:p>
    <w:p>
      <w:pPr>
        <w:pStyle w:val="Heading1"/>
      </w:pPr>
      <w:r>
        <w:t>1 What needs repairing</w:t>
      </w:r>
    </w:p>
    <w:p>
      <w:r>
        <w:t>The project mapping uses recovered excerpts from the 24 August 2026 theorem hunt, proof synthesis and project audit. I did not recover complete formal definitions for every object in those files. In particular, I cannot certify a transfer theorem for the surviving fusion measure from excerpts alone. The gap analysis below is conditional on those recorded definitions and counterexamples.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86"/>
        <w:gridCol w:w="3787"/>
        <w:gridCol w:w="4363"/>
      </w:tblGrid>
      <w:tr>
        <w:trPr>
          <w:cantSplit/>
          <w:tblHeader/>
        </w:trPr>
        <w:tc>
          <w:tcPr>
            <w:tcW w:type="dxa" w:w="1786"/>
            <w:vAlign w:val="center"/>
            <w:shd w:fill="F2F2F2"/>
          </w:tcPr>
          <w:p>
            <w:pPr>
              <w:spacing w:after="40" w:line="247" w:lineRule="auto"/>
            </w:pPr>
            <w:r>
              <w:rPr>
                <w:b/>
                <w:sz w:val="19"/>
              </w:rPr>
              <w:t>Earlier direction</w:t>
            </w:r>
          </w:p>
        </w:tc>
        <w:tc>
          <w:tcPr>
            <w:tcW w:type="dxa" w:w="3787"/>
            <w:vAlign w:val="center"/>
            <w:shd w:fill="F2F2F2"/>
          </w:tcPr>
          <w:p>
            <w:pPr>
              <w:spacing w:after="40" w:line="247" w:lineRule="auto"/>
            </w:pPr>
            <w:r>
              <w:rPr>
                <w:b/>
                <w:sz w:val="19"/>
              </w:rPr>
              <w:t>Recorded obstruction</w:t>
            </w:r>
          </w:p>
        </w:tc>
        <w:tc>
          <w:tcPr>
            <w:tcW w:type="dxa" w:w="4363"/>
            <w:vAlign w:val="center"/>
            <w:shd w:fill="F2F2F2"/>
          </w:tcPr>
          <w:p>
            <w:pPr>
              <w:spacing w:after="40" w:line="247" w:lineRule="auto"/>
            </w:pPr>
            <w:r>
              <w:rPr>
                <w:b/>
                <w:sz w:val="19"/>
              </w:rPr>
              <w:t>What a useful repair must deliver</w:t>
            </w:r>
          </w:p>
        </w:tc>
      </w:tr>
      <w:tr>
        <w:trPr>
          <w:cantSplit/>
        </w:trPr>
        <w:tc>
          <w:tcPr>
            <w:tcW w:type="dxa" w:w="1786"/>
            <w:vAlign w:val="center"/>
          </w:tcPr>
          <w:p>
            <w:pPr>
              <w:spacing w:after="40" w:line="247" w:lineRule="auto"/>
            </w:pPr>
            <w:r>
              <w:rPr>
                <w:b w:val="0"/>
                <w:sz w:val="19"/>
              </w:rPr>
              <w:t>Truth table fusion</w:t>
            </w:r>
          </w:p>
        </w:tc>
        <w:tc>
          <w:tcPr>
            <w:tcW w:type="dxa" w:w="3787"/>
            <w:vAlign w:val="center"/>
          </w:tcPr>
          <w:p>
            <w:pPr>
              <w:spacing w:after="40" w:line="247" w:lineRule="auto"/>
            </w:pPr>
            <w:r>
              <w:rPr>
                <w:b w:val="0"/>
                <w:sz w:val="19"/>
              </w:rPr>
              <w:t>The two-block splice has a small circuit; the graph-cover quantity can be 1. More blocks remain cheap to multiplex.</w:t>
            </w:r>
          </w:p>
        </w:tc>
        <w:tc>
          <w:tcPr>
            <w:tcW w:type="dxa" w:w="4363"/>
            <w:vAlign w:val="center"/>
          </w:tcPr>
          <w:p>
            <w:pPr>
              <w:spacing w:after="40" w:line="247" w:lineRule="auto"/>
            </w:pPr>
            <w:r>
              <w:rPr>
                <w:b w:val="0"/>
                <w:sz w:val="19"/>
              </w:rPr>
              <w:t>An invariant that survives arbitrary circuit sharing and defeats the actual splice construction.</w:t>
            </w:r>
          </w:p>
        </w:tc>
      </w:tr>
      <w:tr>
        <w:trPr>
          <w:cantSplit/>
        </w:trPr>
        <w:tc>
          <w:tcPr>
            <w:tcW w:type="dxa" w:w="1786"/>
            <w:vAlign w:val="center"/>
          </w:tcPr>
          <w:p>
            <w:pPr>
              <w:spacing w:after="40" w:line="247" w:lineRule="auto"/>
            </w:pPr>
            <w:r>
              <w:rPr>
                <w:b w:val="0"/>
                <w:sz w:val="19"/>
              </w:rPr>
              <w:t>Berry and range avoidance</w:t>
            </w:r>
          </w:p>
        </w:tc>
        <w:tc>
          <w:tcPr>
            <w:tcW w:type="dxa" w:w="3787"/>
            <w:vAlign w:val="center"/>
          </w:tcPr>
          <w:p>
            <w:pPr>
              <w:spacing w:after="40" w:line="247" w:lineRule="auto"/>
            </w:pPr>
            <w:r>
              <w:rPr>
                <w:b w:val="0"/>
                <w:sz w:val="19"/>
              </w:rPr>
              <w:t>A missing truth table can require exponential materialization; different runs can choose inconsistent missing strings.</w:t>
            </w:r>
          </w:p>
        </w:tc>
        <w:tc>
          <w:tcPr>
            <w:tcW w:type="dxa" w:w="4363"/>
            <w:vAlign w:val="center"/>
          </w:tcPr>
          <w:p>
            <w:pPr>
              <w:spacing w:after="40" w:line="247" w:lineRule="auto"/>
            </w:pPr>
            <w:r>
              <w:rPr>
                <w:b w:val="0"/>
                <w:sz w:val="19"/>
              </w:rPr>
              <w:t>One canonical global object with efficient, consistent bit access and the required NP verification.</w:t>
            </w:r>
          </w:p>
        </w:tc>
      </w:tr>
      <w:tr>
        <w:trPr>
          <w:cantSplit/>
        </w:trPr>
        <w:tc>
          <w:tcPr>
            <w:tcW w:type="dxa" w:w="1786"/>
            <w:vAlign w:val="center"/>
          </w:tcPr>
          <w:p>
            <w:pPr>
              <w:spacing w:after="40" w:line="247" w:lineRule="auto"/>
            </w:pPr>
            <w:r>
              <w:rPr>
                <w:b w:val="0"/>
                <w:sz w:val="19"/>
              </w:rPr>
              <w:t>Vectors and tensors</w:t>
            </w:r>
          </w:p>
        </w:tc>
        <w:tc>
          <w:tcPr>
            <w:tcW w:type="dxa" w:w="3787"/>
            <w:vAlign w:val="center"/>
          </w:tcPr>
          <w:p>
            <w:pPr>
              <w:spacing w:after="40" w:line="247" w:lineRule="auto"/>
            </w:pPr>
            <w:r>
              <w:rPr>
                <w:b w:val="0"/>
                <w:sz w:val="19"/>
              </w:rPr>
              <w:t>A compact forward or backward representation does not provide semantic zero-testing or a witness.</w:t>
            </w:r>
          </w:p>
        </w:tc>
        <w:tc>
          <w:tcPr>
            <w:tcW w:type="dxa" w:w="4363"/>
            <w:vAlign w:val="center"/>
          </w:tcPr>
          <w:p>
            <w:pPr>
              <w:spacing w:after="40" w:line="247" w:lineRule="auto"/>
            </w:pPr>
            <w:r>
              <w:rPr>
                <w:b w:val="0"/>
                <w:sz w:val="19"/>
              </w:rPr>
              <w:t>A charged algorithm for the decisive query, including decoding and intermediate sizes.</w:t>
            </w:r>
          </w:p>
        </w:tc>
      </w:tr>
      <w:tr>
        <w:trPr>
          <w:cantSplit/>
        </w:trPr>
        <w:tc>
          <w:tcPr>
            <w:tcW w:type="dxa" w:w="1786"/>
            <w:vAlign w:val="center"/>
          </w:tcPr>
          <w:p>
            <w:pPr>
              <w:spacing w:after="40" w:line="247" w:lineRule="auto"/>
            </w:pPr>
            <w:r>
              <w:rPr>
                <w:b w:val="0"/>
                <w:sz w:val="19"/>
              </w:rPr>
              <w:t>Uniform diagonalization</w:t>
            </w:r>
          </w:p>
        </w:tc>
        <w:tc>
          <w:tcPr>
            <w:tcW w:type="dxa" w:w="3787"/>
            <w:vAlign w:val="center"/>
          </w:tcPr>
          <w:p>
            <w:pPr>
              <w:spacing w:after="40" w:line="247" w:lineRule="auto"/>
            </w:pPr>
            <w:r>
              <w:rPr>
                <w:b w:val="0"/>
                <w:sz w:val="19"/>
              </w:rPr>
              <w:t>Verifier overhead can grow faster than the lower-bound exponent.</w:t>
            </w:r>
          </w:p>
        </w:tc>
        <w:tc>
          <w:tcPr>
            <w:tcW w:type="dxa" w:w="4363"/>
            <w:vAlign w:val="center"/>
          </w:tcPr>
          <w:p>
            <w:pPr>
              <w:spacing w:after="40" w:line="247" w:lineRule="auto"/>
            </w:pPr>
            <w:r>
              <w:rPr>
                <w:b w:val="0"/>
                <w:sz w:val="19"/>
              </w:rPr>
              <w:t>A uniform family with an unbounded lower-bound-to-verification exponent ratio.</w:t>
            </w:r>
          </w:p>
        </w:tc>
      </w:tr>
      <w:tr>
        <w:trPr>
          <w:cantSplit/>
        </w:trPr>
        <w:tc>
          <w:tcPr>
            <w:tcW w:type="dxa" w:w="1786"/>
            <w:vAlign w:val="center"/>
          </w:tcPr>
          <w:p>
            <w:pPr>
              <w:spacing w:after="40" w:line="247" w:lineRule="auto"/>
            </w:pPr>
            <w:r>
              <w:rPr>
                <w:b w:val="0"/>
                <w:sz w:val="19"/>
              </w:rPr>
              <w:t>Witness cost for all algorithms</w:t>
            </w:r>
          </w:p>
        </w:tc>
        <w:tc>
          <w:tcPr>
            <w:tcW w:type="dxa" w:w="3787"/>
            <w:vAlign w:val="center"/>
          </w:tcPr>
          <w:p>
            <w:pPr>
              <w:spacing w:after="40" w:line="247" w:lineRule="auto"/>
            </w:pPr>
            <w:r>
              <w:rPr>
                <w:b w:val="0"/>
                <w:sz w:val="19"/>
              </w:rPr>
              <w:t>A model-specific search lower bound can omit another algorithm or another proof system.</w:t>
            </w:r>
          </w:p>
        </w:tc>
        <w:tc>
          <w:tcPr>
            <w:tcW w:type="dxa" w:w="4363"/>
            <w:vAlign w:val="center"/>
          </w:tcPr>
          <w:p>
            <w:pPr>
              <w:spacing w:after="40" w:line="247" w:lineRule="auto"/>
            </w:pPr>
            <w:r>
              <w:rPr>
                <w:b w:val="0"/>
                <w:sz w:val="19"/>
              </w:rPr>
              <w:t>An explicit transfer that covers every relevant polynomial-time solver.</w:t>
            </w:r>
          </w:p>
        </w:tc>
      </w:tr>
      <w:tr>
        <w:trPr>
          <w:cantSplit/>
        </w:trPr>
        <w:tc>
          <w:tcPr>
            <w:tcW w:type="dxa" w:w="1786"/>
            <w:vAlign w:val="center"/>
          </w:tcPr>
          <w:p>
            <w:pPr>
              <w:spacing w:after="40" w:line="247" w:lineRule="auto"/>
            </w:pPr>
            <w:r>
              <w:rPr>
                <w:b w:val="0"/>
                <w:sz w:val="19"/>
              </w:rPr>
              <w:t>Infinity and reusable tables</w:t>
            </w:r>
          </w:p>
        </w:tc>
        <w:tc>
          <w:tcPr>
            <w:tcW w:type="dxa" w:w="3787"/>
            <w:vAlign w:val="center"/>
          </w:tcPr>
          <w:p>
            <w:pPr>
              <w:spacing w:after="40" w:line="247" w:lineRule="auto"/>
            </w:pPr>
            <w:r>
              <w:rPr>
                <w:b w:val="0"/>
                <w:sz w:val="19"/>
              </w:rPr>
              <w:t>Cardinality and table length do not bound finite uniform computation.</w:t>
            </w:r>
          </w:p>
        </w:tc>
        <w:tc>
          <w:tcPr>
            <w:tcW w:type="dxa" w:w="4363"/>
            <w:vAlign w:val="center"/>
          </w:tcPr>
          <w:p>
            <w:pPr>
              <w:spacing w:after="40" w:line="247" w:lineRule="auto"/>
            </w:pPr>
            <w:r>
              <w:rPr>
                <w:b w:val="0"/>
                <w:sz w:val="19"/>
              </w:rPr>
              <w:t>A finite, quantified hardness statement with a standard input and runtime model.</w:t>
            </w:r>
          </w:p>
        </w:tc>
      </w:tr>
    </w:tbl>
    <w:p>
      <w:r/>
    </w:p>
    <w:p>
      <w:r>
        <w:t>The previous audit also recorded small parity distinguishers for affine samplers, fixed covers for local-cylinder semifilters, and a bipartition cover for hitting semifilters. These are adversarial examples to retain. Adding a new mathematical vocabulary does not remove an old counterexample if the underlying construction is unchanged.</w:t>
      </w:r>
    </w:p>
    <w:p>
      <w:r>
        <w:t>Four tasks must remain separate: describing a relation, performing operations on that description, extracting a correct witness or refutation, and transferring a bound to unrestricted computation. Most apparent shortcuts cross one of those boundaries without charging its cost. The sources below are valuable because several make that boundary explicit.</w:t>
      </w:r>
    </w:p>
    <w:p>
      <w:pPr>
        <w:pStyle w:val="Heading1"/>
      </w:pPr>
      <w:r>
        <w:t>2 Compression and constructive counterexamples</w:t>
      </w:r>
    </w:p>
    <w:p>
      <w:pPr>
        <w:pStyle w:val="Heading2"/>
      </w:pPr>
      <w:r>
        <w:t>Streaming compression is an exact sufficient target</w:t>
      </w:r>
    </w:p>
    <w:p>
      <w:r>
        <w:t>McKay, Murray and Williams prove the following. For a time-constructible size bound s(n)≥n and an oracle A in the polynomial hierarchy, ruling out every streaming algorithm for search-MCSP with A-oracle circuits that uses polynomial-in-s(n) space and polynomial-in-s(n) update time implies P≠NP. The input is a truth table of length N=2ⁿ. Their upper bound uses short queries to a third-level satisfiability oracle; P=NP would make those updates efficient. The theorem is about computation between stream symbols as well as storage.</w:t>
      </w:r>
      <w:r>
        <w:rPr>
          <w:rStyle w:val="FootnoteReference"/>
        </w:rPr>
        <w:footnoteReference w:id="2"/>
      </w:r>
    </w:p>
    <w:p>
      <w:r>
        <w:t>Why it fits our work. We have repeatedly tried to show that a compact object cannot encode enough information. This route permits compact encodings and asks whether they can be maintained efficiently as constraints arrive. That is a more faithful version of the missing semantic-operation problem. A small circuit can fit in the allowed memory; the challenge is finding and updating an adequate circuit.</w:t>
      </w:r>
    </w:p>
    <w:p>
      <w:r>
        <w:t>Oded Goldreich’s original commentary is especially useful here: it directs attention to the process of reading the truth table while retaining an explanatory circuit. It is a specialist comment that makes the theorem easier to use, rather than a separate conjectural proof.</w:t>
      </w:r>
      <w:r>
        <w:rPr>
          <w:rStyle w:val="FootnoteReference"/>
        </w:rPr>
        <w:footnoteReference w:id="3"/>
      </w:r>
    </w:p>
    <w:p>
      <w:r>
        <w:t>Proposed project adaptation. Define the state of our proposed compressor after each revealed truth-table bit. Identify the exact update operation needed when the current description disagrees with the next bit. Then ask whether our invariant obstructs that operation even when the state is any polynomial-size program or circuit. A lower bound only against a chosen tensor format does not satisfy this test.</w:t>
      </w:r>
    </w:p>
    <w:p>
      <w:r>
        <w:t>The quantifier matters: showing failure with one fixed space exponent does not rule out polynomial space in the parameter. Nor does demonstrating an expensive update in one implementation exclude an alternative update algorithm. The useful target is a uniform impossibility across all polynomial resource bounds in the theorem’s model.</w:t>
      </w:r>
    </w:p>
    <w:p>
      <w:pPr>
        <w:pStyle w:val="Heading2"/>
      </w:pPr>
      <w:r>
        <w:t>Constructivity can be the missing hardness</w:t>
      </w:r>
    </w:p>
    <w:p>
      <w:r>
        <w:t>Chen, Jin, Santhanam and Williams show that P≠NP would yield polynomial-time SAT refuters, with quantifiers “for every candidate A, there exists a refuter,” succeeding infinitely often. Theorem 1.4 says that a polylogtime-uniform AC⁰ constructive separation of DISJ from randomized streaming algorithms with the bounds below, for h(n)=ω(1), implies P≠NP. DISJ asks whether two n-bit strings share no position containing 1. Each refuter family must generate a 2n-bit counterexample on unary length input, infinitely often. Proposition 1.8 also excludes polynomial-time refuters that simply output high time-bounded Kolmogorov-complexity strings against the constant-zero algorithm.</w:t>
      </w:r>
      <w:r>
        <w:rPr>
          <w:rStyle w:val="FootnoteReference"/>
        </w:rPr>
        <w:footnoteReference w:id="4"/>
      </w:r>
    </w:p>
    <w:p>
      <w:pPr>
        <w:spacing w:before="60" w:after="160"/>
      </w:pPr>
      <m:oMathPara>
        <m:oMath>
          <m:r>
            <m:t>Time O(n · </m:t>
          </m:r>
          <m:sSup>
            <m:e>
              <m:r>
                <m:t>(log n)</m:t>
              </m:r>
            </m:e>
            <m:sup>
              <m:r>
                <m:t>h(n)</m:t>
              </m:r>
            </m:sup>
          </m:sSup>
          <m:r>
            <m:t>)    Space O(</m:t>
          </m:r>
          <m:sSup>
            <m:e>
              <m:r>
                <m:t>(log n)</m:t>
              </m:r>
            </m:e>
            <m:sup>
              <m:r>
                <m:t>h(n)</m:t>
              </m:r>
            </m:sup>
          </m:sSup>
          <m:r>
            <m:t>)</m:t>
          </m:r>
        </m:oMath>
      </m:oMathPara>
    </w:p>
    <w:p>
      <w:r>
        <w:t>For SAT, the statement does not automatically provide one efficient machine taking arbitrary A as input. For DISJ, finding an error with an ordinary polynomial-time search does not meet the stronger circuit-generation requirement.</w:t>
      </w:r>
    </w:p>
    <w:p>
      <w:r>
        <w:t>Our opportunity is therefore specific: inspect whether a lower-bound argument already contains a short description of a bad input, and whether a bit of that description can be obtained with the required uniformity. Avoid claiming that a probabilistic existence proof supplies a usable seed. Selecting the seed may carry all the computational difficulty.</w:t>
      </w:r>
    </w:p>
    <w:p>
      <w:r>
        <w:t>A useful independent diagnostic is to run the proposed generator on two different bit indices in two different executions. If the answers require incompatible choices of an existential object, the result is not a single string. This was already a failure mode of our range-avoidance construction and remains a failure mode here.</w:t>
      </w:r>
    </w:p>
    <w:p>
      <w:pPr>
        <w:pStyle w:val="Heading2"/>
      </w:pPr>
      <w:r>
        <w:t>A new paper offers a realistic training ground</w:t>
      </w:r>
    </w:p>
    <w:p>
      <w:r>
        <w:t>Carmosino, Dang and Jackman’s April 2026 preprint extracts refuters from gate-elimination arguments for XOR and the multiplexer. It also obtains an affine-subspace refuter; converting that output into a counterexample for the relevant explicit affine disperser uses an NP oracle in the stated corollary. Their XOR refinement handles incorrect circuits exactly at the optimal size by using a characterization of optimal circuits. They ask whether these arguments can be formalized in bounded arithmetic.</w:t>
      </w:r>
      <w:r>
        <w:rPr>
          <w:rStyle w:val="FootnoteReference"/>
        </w:rPr>
        <w:footnoteReference w:id="5"/>
      </w:r>
    </w:p>
    <w:p>
      <w:r>
        <w:t>This is a real partial repair to the “existence versus finding” gap. It is also a warning against overgeneralization: a method that identifies a structured region on which a circuit is constant has not necessarily found a disagreeing point inside that region. An additional witness search may remain.</w:t>
      </w:r>
    </w:p>
    <w:p>
      <w:r>
        <w:t>The right initial experiment is to reproduce one XOR refuter and trace every choice it makes. Then test which choices require the whole candidate circuit, which require global search, and which can be made from an index and a short description. Success would give us a verified component and a measured uniformity gap. It would not by itself establish the streaming theorem’s much stronger constructivity premise.</w:t>
      </w:r>
    </w:p>
    <w:p>
      <w:pPr>
        <w:pStyle w:val="Heading1"/>
      </w:pPr>
      <w:r>
        <w:t>3 Information cost and every possible witness search</w:t>
      </w:r>
    </w:p>
    <w:p>
      <w:r>
        <w:t>Krajíček introduces a proof-information measure for a fixed propositional proof system Π. For each proof of τ, its conditional Kt cost is the minimum program length plus logarithm of runtime needed to produce it from τ; the measure minimizes over proofs. Any fixed Π-search algorithm A gives the upper bound below, up to coding conventions. Universal search achieves time exponential in the measure within constant factors in the exponent.</w:t>
      </w:r>
      <w:r>
        <w:rPr>
          <w:rStyle w:val="FootnoteReference"/>
        </w:rPr>
        <w:footnoteReference w:id="6"/>
      </w:r>
    </w:p>
    <w:p>
      <w:pPr>
        <w:spacing w:before="60" w:after="160"/>
      </w:pPr>
      <m:oMathPara>
        <m:oMath>
          <m:sSub>
            <m:e>
              <m:r>
                <m:t>i</m:t>
              </m:r>
            </m:e>
            <m:sub>
              <m:r>
                <m:t>Π</m:t>
              </m:r>
            </m:sub>
          </m:sSub>
          <m:r>
            <m:t>(</m:t>
          </m:r>
          <m:r>
            <m:t>τ</m:t>
          </m:r>
          <m:r>
            <m:t>) = </m:t>
          </m:r>
          <m:sSub>
            <m:e>
              <m:r>
                <m:t>min</m:t>
              </m:r>
            </m:e>
            <m:sub>
              <m:r>
                <m:t>Π(w)=τ</m:t>
              </m:r>
            </m:sub>
          </m:sSub>
          <m:r>
            <m:t> Kt(w | τ)</m:t>
          </m:r>
        </m:oMath>
      </m:oMathPara>
    </w:p>
    <w:p>
      <w:pPr>
        <w:spacing w:before="60" w:after="160"/>
      </w:pPr>
      <m:oMathPara>
        <m:oMath>
          <m:sSub>
            <m:e>
              <m:r>
                <m:t>i</m:t>
              </m:r>
            </m:e>
            <m:sub>
              <m:r>
                <m:t>Π</m:t>
              </m:r>
            </m:sub>
          </m:sSub>
          <m:r>
            <m:t>(τ) ≤ |A| + log </m:t>
          </m:r>
          <m:sSub>
            <m:e>
              <m:r>
                <m:t>time</m:t>
              </m:r>
            </m:e>
            <m:sub>
              <m:r>
                <m:t>A</m:t>
              </m:r>
            </m:sub>
          </m:sSub>
          <m:r>
            <m:t>(τ) + O(1)</m:t>
          </m:r>
        </m:oMath>
      </m:oMathPara>
    </w:p>
    <w:p>
      <w:r>
        <w:t>For a fixed search procedure, sufficiently large information cost therefore forces large runtime. This is much closer to our intended witness-cost quantity than counting the number of possible witnesses or the rank of a representation. Conditioning on the instance is essential: an apparently complicated witness can be easy to generate from information already present in the input.</w:t>
      </w:r>
    </w:p>
    <w:p>
      <w:r>
        <w:t>The paper also studies simulation between proof systems and the relationship between globally optimal proof search and p-optimal proof systems. None of that automatically proves that one chosen proof system efficiently captures the soundness of every SAT algorithm. This is the remaining boundary between the elegant fixed-system measure and our unrestricted objective.</w:t>
      </w:r>
    </w:p>
    <w:p>
      <w:r>
        <w:t>Concrete repair to attempt. Write a translation from a hypothetical SAT solver into the exact kind of search procedure bounded by our measure. Account for the length of its correctness proof, any simulation overhead, and the theory that verifies the translation. If the translation assumes those correctness proofs are short, record that as a separate hypothesis. Do not hide it inside the word “universal.”</w:t>
      </w:r>
    </w:p>
    <w:p>
      <w:r>
        <w:t>My assessment: this is the closest specialist match to the all-algorithms witness-cost idea. It supplies a disciplined definition and useful inequalities. It does not supply the hard instances or the unrestricted certification bridge. Those are now sharply stated mathematical tasks rather than informal appeals to information.</w:t>
      </w:r>
    </w:p>
    <w:p>
      <w:pPr>
        <w:pStyle w:val="Heading1"/>
      </w:pPr>
      <w:r>
        <w:t>4 Semigroups expose the exact inversion obstruction</w:t>
      </w:r>
    </w:p>
    <w:p>
      <w:r>
        <w:t>Birget’s semigroup fP consists of polynomially balanced, polynomial-time computable partial functions on finite strings. He proves that fP is regular exactly when P=NP. Regularity means that each f has an efficient inner inverse g satisfying f∘g∘f=f. The paper’s one-way functions are worst-case objects; they should not be identified with average-case cryptographic one-way functions.</w:t>
      </w:r>
      <w:r>
        <w:rPr>
          <w:rStyle w:val="FootnoteReference"/>
        </w:rPr>
        <w:footnoteReference w:id="7"/>
      </w:r>
    </w:p>
    <w:p>
      <w:pPr>
        <w:spacing w:before="60" w:after="160"/>
      </w:pPr>
      <m:oMathPara>
        <m:oMath>
          <m:r>
            <m:t>P = NP  ⇔  ∀f ∈ fP  ∃g ∈ fP : f ∘ g ∘ f = f</m:t>
          </m:r>
        </m:oMath>
      </m:oMathPara>
    </w:p>
    <w:p>
      <w:r>
        <w:t>Self-contained specialization for our project. Let f map a valid pair consisting of a formula φ and a satisfying assignment w to φ, and be undefined on invalid pairs. Fix a polynomial witness-length bound and an ordinary binary encoding. This is a polynomially balanced partial function that is easy to compute on its domain.</w:t>
      </w:r>
    </w:p>
    <w:p>
      <w:r>
        <w:t>If an efficient inner inverse g exists, every satisfiable φ acquires a valid preimage. On any input formula, run the polynomially clocked computation for g, then verify its candidate witness. A satisfiable formula must pass; an unsatisfiable one cannot pass. Conversely, a polynomial-time SAT algorithm gives an inverse by the usual process of fixing witness bits using satisfiability queries. Thus the specialized inversion problem is exactly the missing SAT search problem.</w:t>
      </w:r>
    </w:p>
    <w:p>
      <w:r>
        <w:t>Why this is useful. It forbids a familiar escape: disproving inversion only for our preferred representation and then asserting that every algorithm uses that representation. Here the variable g already ranges over every efficient partial map. Vectors, symbolic programs, dynamic programming and an unknown future algorithm are all included if their computation fits the definition.</w:t>
      </w:r>
    </w:p>
    <w:p>
      <w:r>
        <w:t>What would count as progress. Find a structural obstruction to an inner inverse that is stable under every allowed efficient composition and representation change. Proving noninvertibility only for linear maps, bounded-depth circuits, or a chosen collection of semigroup words would remain a restricted result. The equivalence itself is a clean target, not an easier proof in disguise.</w:t>
      </w:r>
    </w:p>
    <w:p>
      <w:pPr>
        <w:pStyle w:val="Heading2"/>
      </w:pPr>
      <w:r>
        <w:t>The category theory warning about forgetting the map</w:t>
      </w:r>
    </w:p>
    <w:p>
      <w:r>
        <w:t>Basu and Isik define categorical complexity for constructions involving objects, diagrams and morphisms. A particularly relevant obstruction is that the graph of a polynomial map from affine n-space is isomorphic to affine n-space, regardless of the map’s circuit complexity. The intrinsic isomorphism type can erase the very computation one hoped to measure. Their framework therefore pays attention to maps and constructions, not just the final object.</w:t>
      </w:r>
      <w:r>
        <w:rPr>
          <w:rStyle w:val="FootnoteReference"/>
        </w:rPr>
        <w:footnoteReference w:id="8"/>
      </w:r>
    </w:p>
    <w:p>
      <w:r>
        <w:t>The finite analogue is immediate. Every Boolean function on n input bits has a graph containing exactly 2ⁿ points. If arbitrary relabellings are free, many descriptions of those graphs forget which point encodes which input-output pair. The decoding map carries the lost information. A new topological, numerical or categorical invariant must retain that map or explicitly charge its cost.</w:t>
      </w:r>
    </w:p>
    <w:p>
      <w:r>
        <w:t>This is a genuine repair criterion for our tensor work: attach the coordinate and witness-extraction maps to the object, and measure the operations used to obtain them. A beautiful invariant that is unchanged by an expensive recoding cannot alone lower-bound the cost of evaluating the original function.</w:t>
      </w:r>
    </w:p>
    <w:p>
      <w:pPr>
        <w:pStyle w:val="Heading1"/>
      </w:pPr>
      <w:r>
        <w:t>5 Range avoidance has gained consistency but not NP locality</w:t>
      </w:r>
    </w:p>
    <w:p>
      <w:r>
        <w:t>Li’s truly uniform range-avoidance result gives a single-valued FS₂P algorithm for finding an output outside a Boolean circuit’s range. It removes the advice requirement from the earlier construction and yields a near-maximum circuit lower bound for symmetric exponential time. The result relativizes. This is a real advance in canonical choice, but FS₂P is not an ordinary NP witness relation.</w:t>
      </w:r>
      <w:r>
        <w:rPr>
          <w:rStyle w:val="FootnoteReference"/>
        </w:rPr>
        <w:footnoteReference w:id="9"/>
      </w:r>
    </w:p>
    <w:p>
      <w:r>
        <w:t>The earlier Chen–Hirahara–Ren paper is useful context: it reached near-maximum bounds through an infinitely-often, zero-error pseudodeterministic range-avoidance construction with an NP oracle and one advice bit. Comparing it with Li’s revision isolates which consistency and advice problems have actually been removed.</w:t>
      </w:r>
      <w:r>
        <w:rPr>
          <w:rStyle w:val="FootnoteReference"/>
        </w:rPr>
        <w:footnoteReference w:id="10"/>
      </w:r>
    </w:p>
    <w:p>
      <w:r>
        <w:t>Our remaining difficulty has two independent parts. First, a unique answer selected by a symmetric second-level computation is not automatically selectable through the NP verifier our construction needs. Second, polynomial time in a truth table of length N=2ⁿ is exponential time in the original n-bit index. A full-output algorithm and a polynomial-in-n bit-access algorithm are different achievements.</w:t>
      </w:r>
    </w:p>
    <w:p>
      <w:r>
        <w:t>Even under the temporary assumption P=NP, collapsing polynomial-hierarchy reasoning does not erase this exponential change of scale. An algorithm that spends polynomial time in N can remain an exponential-time algorithm in n. Consequently, substituting a hierarchy collapse into a range-avoidance construction need not produce an NP language with the desired circuit lower bound.</w:t>
      </w:r>
    </w:p>
    <w:p>
      <w:r>
        <w:t>The July 2026 Ren–Williams preprint gives another calibration point: it proves near-maximum lower bounds for exponential time with promise Merlin–Arthur queries and one advice bit. The improvement tracks resources such as query structure and witness lengths. Its class is still far from the NP endpoint required here.</w:t>
      </w:r>
      <w:r>
        <w:rPr>
          <w:rStyle w:val="FootnoteReference"/>
        </w:rPr>
        <w:footnoteReference w:id="11"/>
      </w:r>
    </w:p>
    <w:p>
      <w:r>
        <w:t>For our project, maintain a resource ledger with five separate columns: index length, total output length, bit-generation time, witness length and verification time. Write the uniqueness condition across separate executions explicitly. Unless both the class and the scale line up, a more canonical missing string is a partial repair only.</w:t>
      </w:r>
    </w:p>
    <w:p>
      <w:pPr>
        <w:pStyle w:val="Heading2"/>
      </w:pPr>
      <w:r>
        <w:t>Missing strings also reveal barriers</w:t>
      </w:r>
    </w:p>
    <w:p>
      <w:r>
        <w:t>Chen, Hu and Ren use the communication complexity of XOR missing-string to obtain new algebrization barriers for specified circuit lower bounds. In that communication problem, two parties hold string lists and seek a string absent from all pairwise XORs. The scope is specific, but the message for this project is clear: algebraizing a missing-string argument does not automatically make its lower-bound transfer valid.</w:t>
      </w:r>
      <w:r>
        <w:rPr>
          <w:rStyle w:val="FootnoteReference"/>
        </w:rPr>
        <w:footnoteReference w:id="12"/>
      </w:r>
    </w:p>
    <w:p>
      <w:r>
        <w:t>The earlier nonlocal fusion target should therefore be accompanied by an explicit account of what happens with an oracle or algebraic oracle. Passing to a ring, a tensor or a category is not itself an explanation of how an argument escapes an oracle barrier. The explanation has to identify an actual step that fails to survive the relevant oracle extension.</w:t>
      </w:r>
    </w:p>
    <w:p>
      <w:pPr>
        <w:pStyle w:val="Heading1"/>
      </w:pPr>
      <w:r>
        <w:t>6 Generators whose missing outputs resist efficient recognition</w:t>
      </w:r>
    </w:p>
    <w:p>
      <w:r>
        <w:t>Krajíček studies the conjecture that a polynomial-time generator stretching each input by one bit can have a range that intersects every infinite NP set. This is an exceptionally strong proof-complexity generator requirement. The paper relates it to hardness for proof systems and investigates a concrete gadget-generator candidate; it does not prove the required generator exists.</w:t>
      </w:r>
      <w:r>
        <w:rPr>
          <w:rStyle w:val="FootnoteReference"/>
        </w:rPr>
        <w:footnoteReference w:id="13"/>
      </w:r>
    </w:p>
    <w:p>
      <w:r>
        <w:t>Here is a short implication worth retaining. Let B be the complement of the generator’s range. Counting guarantees missing outputs at unbounded lengths, so B is infinite. Range membership has a polynomial-size preimage witness, hence B is in coNP. If NP=coNP, B is an infinite NP set disjoint from the range, contradicting the generator property. The conjecture therefore implies NP≠coNP and consequently P≠NP.</w:t>
      </w:r>
    </w:p>
    <w:p>
      <w:r>
        <w:t>Section 6 of the same paper proposes a weaker proof-search variant: require the range to intersect every infinite P set. This already suffices for P≠NP. Indeed, P=NP would put the infinite complement B in P, giving the same contradiction. For our search-cost objective, this weaker target deserves priority over the NP-set version.</w:t>
      </w:r>
    </w:p>
    <w:p>
      <w:r>
        <w:t>This changes the question posed by our Berry argument. Instead of trying to efficiently name a missing truth table, ask whether a concrete generator leaves a complement so hard to certify that it contains no infinite NP subset. That is a clean sufficient target. It is also stronger than merely showing that the generator misses many strings, which follows from counting and says nothing about certificates.</w:t>
      </w:r>
    </w:p>
    <w:p>
      <w:r>
        <w:t>Ren, Wang and Zhong derive range-avoidance hardness and proof-complexity generators from demi-bits, a cryptographic assumption involving nondeterministic adversaries. Their results include restricted generator settings under appropriate stronger hypotheses. These are conditional bridges, not unconditional constructions of the needed hardness.</w:t>
      </w:r>
      <w:r>
        <w:rPr>
          <w:rStyle w:val="FootnoteReference"/>
        </w:rPr>
        <w:footnoteReference w:id="14"/>
      </w:r>
    </w:p>
    <w:p>
      <w:r>
        <w:t>A sensible next lemma would establish the generator’s intersection property for one larger, precisely defined class of NP predicates than was previously covered. Such a partial theorem is informative only if the restriction is explicit. Replacing “every infinite NP set” by an easy collection of syntactic predicates must not be reported as the full target.</w:t>
      </w:r>
    </w:p>
    <w:p>
      <w:pPr>
        <w:pStyle w:val="Heading1"/>
      </w:pPr>
      <w:r>
        <w:t>7 Locality and the old fusion counterexample</w:t>
      </w:r>
    </w:p>
    <w:p>
      <w:r>
        <w:t>Pich’s localizability analysis explains why important approximation-method lower bounds can continue to work in the presence of arbitrary small-input oracle gates, and why this conflicts with certain hardness-magnification strategies. This is a barrier for a mathematical mechanism, not a theorem that every conceivable invariant is impossible.</w:t>
      </w:r>
      <w:r>
        <w:rPr>
          <w:rStyle w:val="FootnoteReference"/>
        </w:rPr>
        <w:footnoteReference w:id="15"/>
      </w:r>
    </w:p>
    <w:p>
      <w:r>
        <w:t>The broader Chen–Hirahara–Oliveira–Pich–Rajgopal–Santhanam paper ties specific magnification frontiers to natural proofs, pseudorandomness and locality. Its conclusions depend on the exact problem and circuit class. A frontier yielding NP outside a restricted circuit class must not automatically be promoted to P≠NP.</w:t>
      </w:r>
      <w:r>
        <w:rPr>
          <w:rStyle w:val="FootnoteReference"/>
        </w:rPr>
        <w:footnoteReference w:id="16"/>
      </w:r>
    </w:p>
    <w:p>
      <w:r>
        <w:t>The recovered project counterexample is more concrete than either general warning. If two blocks are computed by small circuits f₀ and f₁, a selector joins them cheaply:</w:t>
      </w:r>
    </w:p>
    <w:p>
      <w:pPr>
        <w:spacing w:before="60" w:after="160"/>
      </w:pPr>
      <m:oMathPara>
        <m:oMath>
          <m:r>
            <m:t>g(x) = (¬</m:t>
          </m:r>
          <m:sSub>
            <m:e>
              <m:r>
                <m:t>x</m:t>
              </m:r>
            </m:e>
            <m:sub>
              <m:r>
                <m:t>1</m:t>
              </m:r>
            </m:sub>
          </m:sSub>
          <m:r>
            <m:t> ∧ </m:t>
          </m:r>
          <m:sSub>
            <m:e>
              <m:r>
                <m:t>f</m:t>
              </m:r>
            </m:e>
            <m:sub>
              <m:r>
                <m:t>0</m:t>
              </m:r>
            </m:sub>
          </m:sSub>
          <m:r>
            <m:t>(x)) ∨ (</m:t>
          </m:r>
          <m:sSub>
            <m:e>
              <m:r>
                <m:t>x</m:t>
              </m:r>
            </m:e>
            <m:sub>
              <m:r>
                <m:t>1</m:t>
              </m:r>
            </m:sub>
          </m:sSub>
          <m:r>
            <m:t> ∧ </m:t>
          </m:r>
          <m:sSub>
            <m:e>
              <m:r>
                <m:t>f</m:t>
              </m:r>
            </m:e>
            <m:sub>
              <m:r>
                <m:t>1</m:t>
              </m:r>
            </m:sub>
          </m:sSub>
          <m:r>
            <m:t>(x))</m:t>
          </m:r>
        </m:oMath>
      </m:oMathPara>
    </w:p>
    <w:p>
      <w:r>
        <w:t>The recorded size is 2s+O(1), below the relevant threshold t. The corresponding graph-cover measure can therefore equal 1. With r blocks, the splice costs rs+O(r), and the recorded intersection depth is at most r−1. Increasing the number of blocks without defeating that construction does not create the missing lower bound.</w:t>
      </w:r>
    </w:p>
    <w:p>
      <w:r>
        <w:t>A proposed repair must point to a specific reason why this selector is no longer a legal low-cost representation. It might retain a coordinate-sensitive global relation, require an operation not preserved by the splice, or establish a new simulation theorem with a charged overhead. Merely describing the invariant as “nonlocal” supplies none of those facts.</w:t>
      </w:r>
    </w:p>
    <w:p>
      <w:r>
        <w:t>The surviving target, a superlinear bound on ρ(Yₛ, truth-table literals), is worth keeping as an internal conjecture. Before using it as a route to P≠NP, we must recover the full definition and prove the exact transfer, including thresholds and uniformity. I have not verified that transfer from the available project excerpts.</w:t>
      </w:r>
    </w:p>
    <w:p>
      <w:pPr>
        <w:pStyle w:val="Heading1"/>
      </w:pPr>
      <w:r>
        <w:t>8 Nonstandard models and finite incompleteness</w:t>
      </w:r>
    </w:p>
    <w:p>
      <w:pPr>
        <w:pStyle w:val="Heading2"/>
      </w:pPr>
      <w:r>
        <w:t>The most concrete infinity lead</w:t>
      </w:r>
    </w:p>
    <w:p>
      <w:r>
        <w:t>Maly and Müller connect nonstandard models built using forcing with random variables to hard SAT instances. Theorem 2 equates a “mad pseudo proof system” in a suitable nonstandard model with finite hardness conditions involving invertible sampling. One formulation has a polynomial-time f such that, for every ε&gt;0 and polynomial-time g, infinitely many lengths n satisfy both: all n-bit inputs x produce falsifiable formulas f(x), and g(x) falsifies f(x) for at most an ε fraction of x. The paper gives sufficient hardness and pseudorandomness hypotheses; it does not prove this unconditionally.</w:t>
      </w:r>
      <w:r>
        <w:rPr>
          <w:rStyle w:val="FootnoteReference"/>
        </w:rPr>
        <w:footnoteReference w:id="17"/>
      </w:r>
    </w:p>
    <w:p>
      <w:r>
        <w:t>This is the strongest match I found to the earlier idea of exploiting infinity. The unusual model is useful because there is a stated finite transfer theorem. The unproved work is moved into an exact property of the model or an equivalent finite hardness condition, rather than inferred from different cardinalities.</w:t>
      </w:r>
    </w:p>
    <w:p>
      <w:r>
        <w:t>The order of quantifiers deserves particular attention. A hard sequence allowed to depend on each polynomial bound is different from one efficient sequence that defeats a given solver across all polynomial bounds. Likewise, a distributional failure statement at infinitely many lengths is different from failure on every input length. The theorem’s original quantifiers must survive any translation into our notation.</w:t>
      </w:r>
    </w:p>
    <w:p>
      <w:r>
        <w:t>Own diagnostic. All finite binary strings form a countable set, as do finite programs and finite proofs. Counting different kinds of infinity therefore cannot by itself distinguish P from NP. A nonstandard construction can still help, but only through a theorem that returns to finite inputs, a uniform algorithm and a specified resource bound. This paper provides a model for what such a theorem looks like.</w:t>
      </w:r>
    </w:p>
    <w:p>
      <w:pPr>
        <w:pStyle w:val="Heading2"/>
      </w:pPr>
      <w:r>
        <w:t>Incompleteness does not automatically become runtime</w:t>
      </w:r>
    </w:p>
    <w:p>
      <w:r>
        <w:t>Pudlák’s finite-incompleteness programme separates an unbounded consistency statement from its bounded finite instances. A theory may have relatively short proofs of its own finite consistency statements even though it cannot prove its full consistency. The stronger quantitative conjectures concern proof lengths and relationships between theories. Gödel-style unprovability is therefore not already the finite lower bound our diagonal argument needs.</w:t>
      </w:r>
      <w:r>
        <w:rPr>
          <w:rStyle w:val="FootnoteReference"/>
        </w:rPr>
        <w:footnoteReference w:id="18"/>
      </w:r>
    </w:p>
    <w:p>
      <w:r>
        <w:t>For a deadline or self-application construction, ask for an explicit finite family and a lower bound on the cost of producing the relevant certificate. An inability to prove one universal sentence is a different property. The missing quantitative bridge must be stated before running the self-reference, not extracted afterward from the fact that a sentence is undecidable in a chosen theory.</w:t>
      </w:r>
    </w:p>
    <w:p>
      <w:pPr>
        <w:pStyle w:val="Heading2"/>
      </w:pPr>
      <w:r>
        <w:t>Extended Frege bridges reveal the hidden assumption</w:t>
      </w:r>
    </w:p>
    <w:p>
      <w:r>
        <w:t>Pich and Santhanam give conditional routes from Extended Frege lower bounds to P≠NP using additional feasible witness-generation principles provable in bounded arithmetic. These include efficient antichecker generation or extraction of same-length failures of SAT search circuits under the stated hypotheses. The weak-theory provability and length requirements are load-bearing. A lower bound for Extended Frege alone is not the claimed implication.</w:t>
      </w:r>
      <w:r>
        <w:rPr>
          <w:rStyle w:val="FootnoteReference"/>
        </w:rPr>
        <w:footnoteReference w:id="19"/>
      </w:r>
    </w:p>
    <w:p>
      <w:r>
        <w:t>Bogdanov, Talwar and Wan’s dreambreaker constructions are a related older lead: under explicit hardness assumptions, algorithms can produce certified counterexamples to candidate SAT search procedures. Their time and output-length overheads matter. A counterexample on a polynomially larger instance cannot simply be substituted for a same-length circuit refuter.</w:t>
      </w:r>
      <w:r>
        <w:rPr>
          <w:rStyle w:val="FootnoteReference"/>
        </w:rPr>
        <w:footnoteReference w:id="20"/>
      </w:r>
    </w:p>
    <w:p>
      <w:r>
        <w:t>These papers give a productive comparison table to build in our formal work: what is supplied to the refuter; what size error it returns; how its runtime depends on the candidate solver; how often it succeeds; and which theory proves it sound. Two mechanisms both called “counterexample generators” may disagree on every one of these coordinates.</w:t>
      </w:r>
    </w:p>
    <w:p>
      <w:pPr>
        <w:pStyle w:val="Heading2"/>
      </w:pPr>
      <w:r>
        <w:t>An unusually bold new axiom programme</w:t>
      </w:r>
    </w:p>
    <w:p>
      <w:r>
        <w:t>Monroe’s 2026 preprint proposes Kolmogorov Hardness as an information-constraint assumption and explores its separation consequences. In the revised version, Assumption 3.20 explicitly introduces a Level-Respecting Certification Bridge: successful efficient computation at a specified level must receive certification at the corresponding logical level. The paper presents this as an additional substantive assumption. It cannot be imported as an established repair to our proof-system gap.</w:t>
      </w:r>
      <w:r>
        <w:rPr>
          <w:rStyle w:val="FootnoteReference"/>
        </w:rPr>
        <w:footnoteReference w:id="21"/>
      </w:r>
    </w:p>
    <w:p>
      <w:r>
        <w:t>Own stress test for an overly broad version of that idea. Fix a suitable consistent theory T with polynomial-time proof checking. Define A(p) to output 0 if p is a valid T-proof of contradiction and 1 otherwise. A runs in polynomial time and, in the standard model, always outputs 1. But the assertion that it always outputs 1 is the consistency of T, which T cannot prove under the usual incompleteness conditions.</w:t>
      </w:r>
    </w:p>
    <w:p>
      <w:r>
        <w:t>This example does not refute Monroe’s specifically restricted bridge. It does refute the unrestricted intuition that every actually correct efficient program must have its global correctness provable in the same fixed theory. Any attempted use in our project must explain exactly which algorithms and which certifications avoid this example. The programme is interesting as an explicit conjectural foundation, not as a hidden theorem we can invoke.</w:t>
      </w:r>
    </w:p>
    <w:p>
      <w:pPr>
        <w:pStyle w:val="Heading1"/>
      </w:pPr>
      <w:r>
        <w:t>9 Topology that might retain computational information</w:t>
      </w:r>
    </w:p>
    <w:p>
      <w:pPr>
        <w:pStyle w:val="Heading2"/>
      </w:pPr>
      <w:r>
        <w:t>The sheaf programme of Friedman</w:t>
      </w:r>
    </w:p>
    <w:p>
      <w:r>
        <w:t>Friedman’s 2005 programme seeks Boolean complexity measures from cohomology in Grothendieck topologies. It investigates bounds under AND and invariance under NOT, using devices such as virtual zero extensions and duality. The simultaneous useful gate bounds remain the central difficulty. The intended implications concern depth and must not be silently read as unrestricted superpolynomial circuit-size bounds.</w:t>
      </w:r>
      <w:r>
        <w:rPr>
          <w:rStyle w:val="FootnoteReference"/>
        </w:rPr>
        <w:footnoteReference w:id="22"/>
      </w:r>
    </w:p>
    <w:p>
      <w:r>
        <w:t>The 2006 follow-up is particularly useful for calibration: its AND-only example recovers a set-cover bound through linear-programming relaxation. It is a worked mathematical example, not a new unrestricted Boolean circuit lower bound.</w:t>
      </w:r>
      <w:r>
        <w:rPr>
          <w:rStyle w:val="FootnoteReference"/>
        </w:rPr>
        <w:footnoteReference w:id="23"/>
      </w:r>
    </w:p>
    <w:p>
      <w:r>
        <w:t>My assessment. This is among the most unusual serious programmes found. It is worth borrowing its insistence on tracking how a measure changes under logical operations. It is not yet a replacement for the missing all-gates induction. If the measure multiplies by a constant at each depth level, an exponential value may imply only linear depth; the arithmetic connecting the invariant to the desired resource cannot be skipped.</w:t>
      </w:r>
    </w:p>
    <w:p>
      <w:r>
        <w:t>A useful project experiment would pair each proposed cohomological invariant with a complete gate ledger: literals, NOT, AND, OR and reuse of a computed subfunction. Test the old selector construction before searching for large values on a hard function. An invariant that already fails the selector test should be rejected early.</w:t>
      </w:r>
    </w:p>
    <w:p>
      <w:pPr>
        <w:pStyle w:val="Heading2"/>
      </w:pPr>
      <w:r>
        <w:t>Homology of function classes</w:t>
      </w:r>
    </w:p>
    <w:p>
      <w:r>
        <w:t>Greg Yang associates topological and homological objects with classes of functions. Changes in these objects can witness that a target function is absent from a class. The framework recovers examples involving polynomial threshold degree and relates homological dimension to VC dimension. Its object is a function class, not merely a picture of a SAT instance’s solution landscape.</w:t>
      </w:r>
      <w:r>
        <w:rPr>
          <w:rStyle w:val="FootnoteReference"/>
        </w:rPr>
        <w:footnoteReference w:id="24"/>
      </w:r>
    </w:p>
    <w:p>
      <w:r>
        <w:t>This suggests a more disciplined topology proposal: build the invariant for the class of all functions realized by the resource bound, then prove that the target function changes it in a forbidden way. The difficult input is control over the entire circuit class. Enumerating that class is already enormous, so a useful theorem needs a structural description of its invariant.</w:t>
      </w:r>
    </w:p>
    <w:p>
      <w:r>
        <w:t>Topology of the final solution set alone is too weak a guide. A geometrically complicated set may come from equations that have an efficient algebraic solver. The categorical warning from Section 4 applies again: preserve the construction and the maps, not just an object after a free change of coordinates.</w:t>
      </w:r>
    </w:p>
    <w:p>
      <w:pPr>
        <w:pStyle w:val="Heading1"/>
      </w:pPr>
      <w:r>
        <w:t>10 Closure and time space tradeoffs</w:t>
      </w:r>
    </w:p>
    <w:p>
      <w:pPr>
        <w:pStyle w:val="Heading2"/>
      </w:pPr>
      <w:r>
        <w:t>The knowledge compilation literature already prices our operations</w:t>
      </w:r>
    </w:p>
    <w:p>
      <w:r>
        <w:t>Darwiche and Marquis compare representations by succinctness, supported queries and transformations. DNNF supports useful operations such as consistency testing and forgetting, but arbitrary bounded conjunction is not efficiently supported unless P=NP. Ordered binary decision diagrams with a common variable order support bounded conjunction; dropping the common-order discipline changes the situation. This directly matches our wish for overlapping extendability relations closed under intersection and projection.</w:t>
      </w:r>
      <w:r>
        <w:rPr>
          <w:rStyle w:val="FootnoteReference"/>
        </w:rPr>
        <w:footnoteReference w:id="25"/>
      </w:r>
    </w:p>
    <w:p>
      <w:r>
        <w:t>A stronger internal audit is needed even if each operation is polynomial in the current representation size. Repeatedly replacing a size m representation by one of size m² can cause enormous growth over a sequence of operations. To obtain a polynomial-time SAT algorithm, prove a global size and total-time bound in terms of the original formula, not just a separate polynomial bound for each operation.</w:t>
      </w:r>
    </w:p>
    <w:p>
      <w:r>
        <w:t>A positive route remains logically possible: discover a representation that contains every SAT instance, supports the required semantic query, and admits a compilation procedure with a global polynomial bound. But compactly naming all instances is only the first of these conditions. This literature lets us locate exactly which closure property a new vector or tensor format would have to improve.</w:t>
      </w:r>
    </w:p>
    <w:p>
      <w:pPr>
        <w:pStyle w:val="Heading2"/>
      </w:pPr>
      <w:r>
        <w:t>A surprising unrestricted simulation</w:t>
      </w:r>
    </w:p>
    <w:p>
      <w:r>
        <w:t>Williams proves that deterministic multitape time t(n), for t(n)≥n, can be simulated in space O(√(t(n) log t(n))). The simulation need not preserve time. The resulting time–space consequences include strong time requirements for some explicit linear-space problems, but they do not place those hard problems in NP.</w:t>
      </w:r>
      <w:r>
        <w:rPr>
          <w:rStyle w:val="FootnoteReference"/>
        </w:rPr>
        <w:footnoteReference w:id="26"/>
      </w:r>
    </w:p>
    <w:p>
      <w:r>
        <w:t>This is relevant to reusable lookup tables and the idea that a solver must store many intermediate outcomes. A space argument must allow recomputation, compression and the actual machine model. Exponential table length is not automatically a lower bound on the working memory of every algorithm. Conversely, a simulation with low space says nothing by itself about polynomial runtime.</w:t>
      </w:r>
    </w:p>
    <w:p>
      <w:r>
        <w:t>For our diagonal family, the question remains whether verification stays within NP after all simulation and padding overheads. A hierarchy separation in a larger space or time class is useful context, but it does not supply that membership lemma.</w:t>
      </w:r>
    </w:p>
    <w:p>
      <w:pPr>
        <w:pStyle w:val="Heading1"/>
      </w:pPr>
      <w:r>
        <w:t>11 Outlying approaches and comments worth keeping</w:t>
      </w:r>
    </w:p>
    <w:p>
      <w:pPr>
        <w:pStyle w:val="Heading2"/>
      </w:pPr>
      <w:r>
        <w:t>Algebraic proof complexity has a different endpoint</w:t>
      </w:r>
    </w:p>
    <w:p>
      <w:r>
        <w:t>Grochow and Pitassi’s Ideal Proof System makes an unusually direct connection between proof complexity and algebraic circuit complexity: suitable superpolynomial IPS lower bounds imply that the permanent has no polynomial-size arithmetic circuits. This is a major conditional consequence, but it is an arithmetic separation. It is not automatically the Boolean assertion P≠NP.</w:t>
      </w:r>
      <w:r>
        <w:rPr>
          <w:rStyle w:val="FootnoteReference"/>
        </w:rPr>
        <w:footnoteReference w:id="27"/>
      </w:r>
    </w:p>
    <w:p>
      <w:r>
        <w:t>Use this as a precision check on any proposed tensor or polynomial proof. Identify the field, coefficients, circuit model, bit costs and reduction to Boolean computation. If the endpoint is VP versus VNP, say so. A difficult algebraic theorem can be highly valuable without settling the exact problem we are targeting.</w:t>
      </w:r>
    </w:p>
    <w:p>
      <w:pPr>
        <w:pStyle w:val="Heading2"/>
      </w:pPr>
      <w:r>
        <w:t>Memcomputing is a model translation challenge</w:t>
      </w:r>
    </w:p>
    <w:p>
      <w:r>
        <w:t>Bearden, Pei and Di Ventra propose memory-assisted continuous dynamics for SAT and report numerical evidence of polynomial scaling on hard planted-solution instances. They also make analytical claims about continuous-time efficiency. These are interesting physics-inspired algorithm proposals; the reported scaling does not establish a polynomial-time discrete decision algorithm for every SAT instance.</w:t>
      </w:r>
      <w:r>
        <w:rPr>
          <w:rStyle w:val="FootnoteReference"/>
        </w:rPr>
        <w:footnoteReference w:id="28"/>
      </w:r>
    </w:p>
    <w:p>
      <w:r>
        <w:t>The concrete proof task is to bound precision, integration work, conditioning, readout cost and termination on unsatisfiable inputs in one standard model. A polynomial number of physical variables or a short differential equation description is insufficient by itself. This is the same description-versus-query gap as the tensor route, now expressed through dynamics.</w:t>
      </w:r>
    </w:p>
    <w:p>
      <w:pPr>
        <w:pStyle w:val="Heading2"/>
      </w:pPr>
      <w:r>
        <w:t>The failed proof discussion contains a durable counterexample</w:t>
      </w:r>
    </w:p>
    <w:p>
      <w:r>
        <w:t>The 2010 public discussion of Deolalikar’s proposed proof includes pointed comments about XORSAT. It is worth reading as a collection of stress tests, not as a substitute for the disputed proof’s formal details.</w:t>
      </w:r>
      <w:r>
        <w:rPr>
          <w:rStyle w:val="FootnoteReference"/>
        </w:rPr>
        <w:footnoteReference w:id="29"/>
      </w:r>
    </w:p>
    <w:p>
      <w:r>
        <w:t>The mathematical test is elementary: systems of parity equations can have nontrivial global constraints and intricate-looking solution structure, yet Gaussian elimination decides consistency efficiently. Any proposed hardness measure based on clustering, long-range dependence or number of constraints should be tested on such systems. If it predicts intractability merely from those features, it is measuring something other than unrestricted computational difficulty.</w:t>
      </w:r>
    </w:p>
    <w:p>
      <w:r>
        <w:t>I did not find reliable readership data that would justify calling a particular paper “barely read.” The specialist status of the semigroup, nonstandard-model and cohomology papers is enough to motivate reading them; low visibility is not evidence of correctness or of an overlooked complete proof.</w:t>
      </w:r>
    </w:p>
    <w:p>
      <w:pPr>
        <w:pStyle w:val="Heading1"/>
      </w:pPr>
      <w:r>
        <w:t>12 Concrete targets for the next proof attempt</w:t>
      </w:r>
    </w:p>
    <w:p>
      <w:r>
        <w:t>The best next step is to select one target whose conclusion is already tied to P versus NP by a verified theorem, and then state the new lemma we must supply. Combining several equivalent reformulations without adding a lemma does not reduce the work. The following agenda is my synthesis, not a claim made by any one paper.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57"/>
        <w:gridCol w:w="4032"/>
        <w:gridCol w:w="4147"/>
      </w:tblGrid>
      <w:tr>
        <w:trPr>
          <w:cantSplit/>
          <w:tblHeader/>
        </w:trPr>
        <w:tc>
          <w:tcPr>
            <w:tcW w:type="dxa" w:w="1757"/>
            <w:vAlign w:val="center"/>
            <w:shd w:fill="F2F2F2"/>
          </w:tcPr>
          <w:p>
            <w:pPr>
              <w:spacing w:after="40" w:line="247" w:lineRule="auto"/>
            </w:pPr>
            <w:r>
              <w:rPr>
                <w:b/>
                <w:sz w:val="19"/>
              </w:rPr>
              <w:t>Target</w:t>
            </w:r>
          </w:p>
        </w:tc>
        <w:tc>
          <w:tcPr>
            <w:tcW w:type="dxa" w:w="4032"/>
            <w:vAlign w:val="center"/>
            <w:shd w:fill="F2F2F2"/>
          </w:tcPr>
          <w:p>
            <w:pPr>
              <w:spacing w:after="40" w:line="247" w:lineRule="auto"/>
            </w:pPr>
            <w:r>
              <w:rPr>
                <w:b/>
                <w:sz w:val="19"/>
              </w:rPr>
              <w:t>A result that would count</w:t>
            </w:r>
          </w:p>
        </w:tc>
        <w:tc>
          <w:tcPr>
            <w:tcW w:type="dxa" w:w="4147"/>
            <w:vAlign w:val="center"/>
            <w:shd w:fill="F2F2F2"/>
          </w:tcPr>
          <w:p>
            <w:pPr>
              <w:spacing w:after="40" w:line="247" w:lineRule="auto"/>
            </w:pPr>
            <w:r>
              <w:rPr>
                <w:b/>
                <w:sz w:val="19"/>
              </w:rPr>
              <w:t>What would still be insufficient</w:t>
            </w:r>
          </w:p>
        </w:tc>
      </w:tr>
      <w:tr>
        <w:trPr>
          <w:cantSplit/>
        </w:trPr>
        <w:tc>
          <w:tcPr>
            <w:tcW w:type="dxa" w:w="1757"/>
            <w:vAlign w:val="center"/>
          </w:tcPr>
          <w:p>
            <w:pPr>
              <w:spacing w:after="40" w:line="247" w:lineRule="auto"/>
            </w:pPr>
            <w:r>
              <w:rPr>
                <w:b w:val="0"/>
                <w:sz w:val="19"/>
              </w:rPr>
              <w:t>Streaming compression</w:t>
            </w:r>
          </w:p>
        </w:tc>
        <w:tc>
          <w:tcPr>
            <w:tcW w:type="dxa" w:w="4032"/>
            <w:vAlign w:val="center"/>
          </w:tcPr>
          <w:p>
            <w:pPr>
              <w:spacing w:after="40" w:line="247" w:lineRule="auto"/>
            </w:pPr>
            <w:r>
              <w:rPr>
                <w:b w:val="0"/>
                <w:sz w:val="19"/>
              </w:rPr>
              <w:t>The streaming lower bound in Section 2, across all polynomial bounds in s(n).</w:t>
            </w:r>
          </w:p>
        </w:tc>
        <w:tc>
          <w:tcPr>
            <w:tcW w:type="dxa" w:w="4147"/>
            <w:vAlign w:val="center"/>
          </w:tcPr>
          <w:p>
            <w:pPr>
              <w:spacing w:after="40" w:line="247" w:lineRule="auto"/>
            </w:pPr>
            <w:r>
              <w:rPr>
                <w:b w:val="0"/>
                <w:sz w:val="19"/>
              </w:rPr>
              <w:t>A storage-only counting argument or failure of our own compressor.</w:t>
            </w:r>
          </w:p>
        </w:tc>
      </w:tr>
      <w:tr>
        <w:trPr>
          <w:cantSplit/>
        </w:trPr>
        <w:tc>
          <w:tcPr>
            <w:tcW w:type="dxa" w:w="1757"/>
            <w:vAlign w:val="center"/>
          </w:tcPr>
          <w:p>
            <w:pPr>
              <w:spacing w:after="40" w:line="247" w:lineRule="auto"/>
            </w:pPr>
            <w:r>
              <w:rPr>
                <w:b w:val="0"/>
                <w:sz w:val="19"/>
              </w:rPr>
              <w:t>Constructive DISJ</w:t>
            </w:r>
          </w:p>
        </w:tc>
        <w:tc>
          <w:tcPr>
            <w:tcW w:type="dxa" w:w="4032"/>
            <w:vAlign w:val="center"/>
          </w:tcPr>
          <w:p>
            <w:pPr>
              <w:spacing w:after="40" w:line="247" w:lineRule="auto"/>
            </w:pPr>
            <w:r>
              <w:rPr>
                <w:b w:val="0"/>
                <w:sz w:val="19"/>
              </w:rPr>
              <w:t>A generator meeting the uniformity, resource and infinitely-often requirements in Section 2.</w:t>
            </w:r>
          </w:p>
        </w:tc>
        <w:tc>
          <w:tcPr>
            <w:tcW w:type="dxa" w:w="4147"/>
            <w:vAlign w:val="center"/>
          </w:tcPr>
          <w:p>
            <w:pPr>
              <w:spacing w:after="40" w:line="247" w:lineRule="auto"/>
            </w:pPr>
            <w:r>
              <w:rPr>
                <w:b w:val="0"/>
                <w:sz w:val="19"/>
              </w:rPr>
              <w:t>An existential bad pair, a random pair with no justified seed, or an ordinary slow refuter.</w:t>
            </w:r>
          </w:p>
        </w:tc>
      </w:tr>
      <w:tr>
        <w:trPr>
          <w:cantSplit/>
        </w:trPr>
        <w:tc>
          <w:tcPr>
            <w:tcW w:type="dxa" w:w="1757"/>
            <w:vAlign w:val="center"/>
          </w:tcPr>
          <w:p>
            <w:pPr>
              <w:spacing w:after="40" w:line="247" w:lineRule="auto"/>
            </w:pPr>
            <w:r>
              <w:rPr>
                <w:b w:val="0"/>
                <w:sz w:val="19"/>
              </w:rPr>
              <w:t>Semigroup inversion</w:t>
            </w:r>
          </w:p>
        </w:tc>
        <w:tc>
          <w:tcPr>
            <w:tcW w:type="dxa" w:w="4032"/>
            <w:vAlign w:val="center"/>
          </w:tcPr>
          <w:p>
            <w:pPr>
              <w:spacing w:after="40" w:line="247" w:lineRule="auto"/>
            </w:pPr>
            <w:r>
              <w:rPr>
                <w:b w:val="0"/>
                <w:sz w:val="19"/>
              </w:rPr>
              <w:t>A proof that the SAT witness-projection map has no inner inverse in fP.</w:t>
            </w:r>
          </w:p>
        </w:tc>
        <w:tc>
          <w:tcPr>
            <w:tcW w:type="dxa" w:w="4147"/>
            <w:vAlign w:val="center"/>
          </w:tcPr>
          <w:p>
            <w:pPr>
              <w:spacing w:after="40" w:line="247" w:lineRule="auto"/>
            </w:pPr>
            <w:r>
              <w:rPr>
                <w:b w:val="0"/>
                <w:sz w:val="19"/>
              </w:rPr>
              <w:t>Noninvertibility in one restricted representation or a cryptographic assumption.</w:t>
            </w:r>
          </w:p>
        </w:tc>
      </w:tr>
      <w:tr>
        <w:trPr>
          <w:cantSplit/>
        </w:trPr>
        <w:tc>
          <w:tcPr>
            <w:tcW w:type="dxa" w:w="1757"/>
            <w:vAlign w:val="center"/>
          </w:tcPr>
          <w:p>
            <w:pPr>
              <w:spacing w:after="40" w:line="247" w:lineRule="auto"/>
            </w:pPr>
            <w:r>
              <w:rPr>
                <w:b w:val="0"/>
                <w:sz w:val="19"/>
              </w:rPr>
              <w:t>Proof search generator</w:t>
            </w:r>
          </w:p>
        </w:tc>
        <w:tc>
          <w:tcPr>
            <w:tcW w:type="dxa" w:w="4032"/>
            <w:vAlign w:val="center"/>
          </w:tcPr>
          <w:p>
            <w:pPr>
              <w:spacing w:after="40" w:line="247" w:lineRule="auto"/>
            </w:pPr>
            <w:r>
              <w:rPr>
                <w:b w:val="0"/>
                <w:sz w:val="19"/>
              </w:rPr>
              <w:t>A concrete efficient generator whose range intersects every infinite P set, as in Section 6.</w:t>
            </w:r>
          </w:p>
        </w:tc>
        <w:tc>
          <w:tcPr>
            <w:tcW w:type="dxa" w:w="4147"/>
            <w:vAlign w:val="center"/>
          </w:tcPr>
          <w:p>
            <w:pPr>
              <w:spacing w:after="40" w:line="247" w:lineRule="auto"/>
            </w:pPr>
            <w:r>
              <w:rPr>
                <w:b w:val="0"/>
                <w:sz w:val="19"/>
              </w:rPr>
              <w:t>Many missing strings, or hardness only against a fixed proof system.</w:t>
            </w:r>
          </w:p>
        </w:tc>
      </w:tr>
      <w:tr>
        <w:trPr>
          <w:cantSplit/>
        </w:trPr>
        <w:tc>
          <w:tcPr>
            <w:tcW w:type="dxa" w:w="1757"/>
            <w:vAlign w:val="center"/>
          </w:tcPr>
          <w:p>
            <w:pPr>
              <w:spacing w:after="40" w:line="247" w:lineRule="auto"/>
            </w:pPr>
            <w:r>
              <w:rPr>
                <w:b w:val="0"/>
                <w:sz w:val="19"/>
              </w:rPr>
              <w:t>Our diagonal family</w:t>
            </w:r>
          </w:p>
        </w:tc>
        <w:tc>
          <w:tcPr>
            <w:tcW w:type="dxa" w:w="4032"/>
            <w:vAlign w:val="center"/>
          </w:tcPr>
          <w:p>
            <w:pPr>
              <w:spacing w:after="40" w:line="247" w:lineRule="auto"/>
            </w:pPr>
            <w:r>
              <w:rPr>
                <w:b w:val="0"/>
                <w:sz w:val="19"/>
              </w:rPr>
              <w:t>A consistent NP construction plus the unbounded exponent ratio below.</w:t>
            </w:r>
          </w:p>
        </w:tc>
        <w:tc>
          <w:tcPr>
            <w:tcW w:type="dxa" w:w="4147"/>
            <w:vAlign w:val="center"/>
          </w:tcPr>
          <w:p>
            <w:pPr>
              <w:spacing w:after="40" w:line="247" w:lineRule="auto"/>
            </w:pPr>
            <w:r>
              <w:rPr>
                <w:b w:val="0"/>
                <w:sz w:val="19"/>
              </w:rPr>
              <w:t>Arbitrarily large lower-bound exponents with even larger verifier exponents.</w:t>
            </w:r>
          </w:p>
        </w:tc>
      </w:tr>
    </w:tbl>
    <w:p>
      <w:r/>
    </w:p>
    <w:p>
      <w:pPr>
        <w:pStyle w:val="Heading2"/>
      </w:pPr>
      <w:r>
        <w:t>Preserve the exponent ratio</w:t>
      </w:r>
    </w:p>
    <w:p>
      <w:r>
        <w:t>The previous audit identified the right form of the diagonal-family requirement: a uniformly specified family Lₖ with verifier time f(k) multiplied by n raised to a(k), and circuit lower bounds exceeding n raised to b(k) at infinitely many lengths, where the ratio below is unbounded. This is the recorded project criterion; its use still requires the original uniform-family and padding hypotheses.</w:t>
      </w:r>
    </w:p>
    <w:p>
      <w:pPr>
        <w:spacing w:before="60" w:after="160"/>
      </w:pPr>
      <m:oMathPara>
        <m:oMath>
          <m:sSub>
            <m:e>
              <m:r>
                <m:t>sup</m:t>
              </m:r>
            </m:e>
            <m:sub>
              <m:r>
                <m:t>k</m:t>
              </m:r>
            </m:sub>
          </m:sSub>
          <m:r>
            <m:t> </m:t>
          </m:r>
          <m:f>
            <m:num>
              <m:r>
                <m:t>b(k)</m:t>
              </m:r>
            </m:num>
            <m:den>
              <m:r>
                <m:t>a(k) + 1</m:t>
              </m:r>
            </m:den>
          </m:f>
          <m:r>
            <m:t> = ∞</m:t>
          </m:r>
        </m:oMath>
      </m:oMathPara>
    </w:p>
    <w:p>
      <w:r>
        <w:t>The point is that a hypothetical polynomial-time SAT algorithm has one fixed exponent. Reducing the family’s verifier to SAT multiplies that fixed exponent by the verification overhead. A lower-bound exponent that never outgrows that overhead does not yield a contradiction. The next range-avoidance construction should record these exponents before any claim of diagonal separation.</w:t>
      </w:r>
    </w:p>
    <w:p>
      <w:pPr>
        <w:pStyle w:val="Heading2"/>
      </w:pPr>
      <w:r>
        <w:t>Three bounded pieces of research to do first</w:t>
      </w:r>
    </w:p>
    <w:p>
      <w:r>
        <w:t>First, extract and formalize one known gate-elimination refuter. Produce a short specification of its input, output, success condition and resource usage, then trace the source of every existential choice. The deliverable is a verified counterexample extractor and a list of obstacles to the stronger uniform generator. Stop if an apparently local bit computation still requires constructing an exponential object.</w:t>
      </w:r>
    </w:p>
    <w:p>
      <w:r>
        <w:t>Second, recast the compact-relation idea as an update problem. Choose a fixed input sequence of overlapping constraints and ask how a correct representation is updated. Keep encoding, update, projection, emptiness and witness extraction as separate procedures. The deliverable is either a global polynomial bound or an explicit family on which the proposed representation or procedure fails. Do not infer an all-algorithms lower bound from that family without the transfer theorem.</w:t>
      </w:r>
    </w:p>
    <w:p>
      <w:r>
        <w:t>Third, formalize the all-algorithms translation using either the SAT inner-inverse map or a proof-search system with explicit simulation assumptions. The deliverable is one complete implication with no implicit certification premise. If we choose a logical bridge, test it against the consistency example in Section 8 before trying to use it to diagonalize.</w:t>
      </w:r>
    </w:p>
    <w:p>
      <w:pPr>
        <w:pStyle w:val="Heading2"/>
      </w:pPr>
      <w:r>
        <w:t>A compact audit for any claimed patch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563"/>
        <w:gridCol w:w="7373"/>
      </w:tblGrid>
      <w:tr>
        <w:trPr>
          <w:cantSplit/>
          <w:tblHeader/>
        </w:trPr>
        <w:tc>
          <w:tcPr>
            <w:tcW w:type="dxa" w:w="2563"/>
            <w:vAlign w:val="center"/>
            <w:shd w:fill="F2F2F2"/>
          </w:tcPr>
          <w:p>
            <w:pPr>
              <w:spacing w:after="40" w:line="247" w:lineRule="auto"/>
            </w:pPr>
            <w:r>
              <w:rPr>
                <w:b/>
                <w:sz w:val="19"/>
              </w:rPr>
              <w:t>Question</w:t>
            </w:r>
          </w:p>
        </w:tc>
        <w:tc>
          <w:tcPr>
            <w:tcW w:type="dxa" w:w="7373"/>
            <w:vAlign w:val="center"/>
            <w:shd w:fill="F2F2F2"/>
          </w:tcPr>
          <w:p>
            <w:pPr>
              <w:spacing w:after="40" w:line="247" w:lineRule="auto"/>
            </w:pPr>
            <w:r>
              <w:rPr>
                <w:b/>
                <w:sz w:val="19"/>
              </w:rPr>
              <w:t>Required answer</w:t>
            </w:r>
          </w:p>
        </w:tc>
      </w:tr>
      <w:tr>
        <w:trPr>
          <w:cantSplit/>
        </w:trPr>
        <w:tc>
          <w:tcPr>
            <w:tcW w:type="dxa" w:w="2563"/>
            <w:vAlign w:val="center"/>
          </w:tcPr>
          <w:p>
            <w:pPr>
              <w:spacing w:after="40" w:line="247" w:lineRule="auto"/>
            </w:pPr>
            <w:r>
              <w:rPr>
                <w:b w:val="0"/>
                <w:sz w:val="19"/>
              </w:rPr>
              <w:t>What is the object?</w:t>
            </w:r>
          </w:p>
        </w:tc>
        <w:tc>
          <w:tcPr>
            <w:tcW w:type="dxa" w:w="7373"/>
            <w:vAlign w:val="center"/>
          </w:tcPr>
          <w:p>
            <w:pPr>
              <w:spacing w:after="40" w:line="247" w:lineRule="auto"/>
            </w:pPr>
            <w:r>
              <w:rPr>
                <w:b w:val="0"/>
                <w:sz w:val="19"/>
              </w:rPr>
              <w:t>A finite function, language, relation or generator with a fixed encoding.</w:t>
            </w:r>
          </w:p>
        </w:tc>
      </w:tr>
      <w:tr>
        <w:trPr>
          <w:cantSplit/>
        </w:trPr>
        <w:tc>
          <w:tcPr>
            <w:tcW w:type="dxa" w:w="2563"/>
            <w:vAlign w:val="center"/>
          </w:tcPr>
          <w:p>
            <w:pPr>
              <w:spacing w:after="40" w:line="247" w:lineRule="auto"/>
            </w:pPr>
            <w:r>
              <w:rPr>
                <w:b w:val="0"/>
                <w:sz w:val="19"/>
              </w:rPr>
              <w:t>Which algorithm is quantified over?</w:t>
            </w:r>
          </w:p>
        </w:tc>
        <w:tc>
          <w:tcPr>
            <w:tcW w:type="dxa" w:w="7373"/>
            <w:vAlign w:val="center"/>
          </w:tcPr>
          <w:p>
            <w:pPr>
              <w:spacing w:after="40" w:line="247" w:lineRule="auto"/>
            </w:pPr>
            <w:r>
              <w:rPr>
                <w:b w:val="0"/>
                <w:sz w:val="19"/>
              </w:rPr>
              <w:t>Every algorithm in the stated model, with the order of quantifiers written explicitly.</w:t>
            </w:r>
          </w:p>
        </w:tc>
      </w:tr>
      <w:tr>
        <w:trPr>
          <w:cantSplit/>
        </w:trPr>
        <w:tc>
          <w:tcPr>
            <w:tcW w:type="dxa" w:w="2563"/>
            <w:vAlign w:val="center"/>
          </w:tcPr>
          <w:p>
            <w:pPr>
              <w:spacing w:after="40" w:line="247" w:lineRule="auto"/>
            </w:pPr>
            <w:r>
              <w:rPr>
                <w:b w:val="0"/>
                <w:sz w:val="19"/>
              </w:rPr>
              <w:t>What is constructive?</w:t>
            </w:r>
          </w:p>
        </w:tc>
        <w:tc>
          <w:tcPr>
            <w:tcW w:type="dxa" w:w="7373"/>
            <w:vAlign w:val="center"/>
          </w:tcPr>
          <w:p>
            <w:pPr>
              <w:spacing w:after="40" w:line="247" w:lineRule="auto"/>
            </w:pPr>
            <w:r>
              <w:rPr>
                <w:b w:val="0"/>
                <w:sz w:val="19"/>
              </w:rPr>
              <w:t>Existence, efficient full output, efficient indexed output and efficiently verifiable output kept distinct.</w:t>
            </w:r>
          </w:p>
        </w:tc>
      </w:tr>
      <w:tr>
        <w:trPr>
          <w:cantSplit/>
        </w:trPr>
        <w:tc>
          <w:tcPr>
            <w:tcW w:type="dxa" w:w="2563"/>
            <w:vAlign w:val="center"/>
          </w:tcPr>
          <w:p>
            <w:pPr>
              <w:spacing w:after="40" w:line="247" w:lineRule="auto"/>
            </w:pPr>
            <w:r>
              <w:rPr>
                <w:b w:val="0"/>
                <w:sz w:val="19"/>
              </w:rPr>
              <w:t>What is the size parameter?</w:t>
            </w:r>
          </w:p>
        </w:tc>
        <w:tc>
          <w:tcPr>
            <w:tcW w:type="dxa" w:w="7373"/>
            <w:vAlign w:val="center"/>
          </w:tcPr>
          <w:p>
            <w:pPr>
              <w:spacing w:after="40" w:line="247" w:lineRule="auto"/>
            </w:pPr>
            <w:r>
              <w:rPr>
                <w:b w:val="0"/>
                <w:sz w:val="19"/>
              </w:rPr>
              <w:t>The original input length distinguished from its exponentially longer truth table.</w:t>
            </w:r>
          </w:p>
        </w:tc>
      </w:tr>
      <w:tr>
        <w:trPr>
          <w:cantSplit/>
        </w:trPr>
        <w:tc>
          <w:tcPr>
            <w:tcW w:type="dxa" w:w="2563"/>
            <w:vAlign w:val="center"/>
          </w:tcPr>
          <w:p>
            <w:pPr>
              <w:spacing w:after="40" w:line="247" w:lineRule="auto"/>
            </w:pPr>
            <w:r>
              <w:rPr>
                <w:b w:val="0"/>
                <w:sz w:val="19"/>
              </w:rPr>
              <w:t>What happens under composition?</w:t>
            </w:r>
          </w:p>
        </w:tc>
        <w:tc>
          <w:tcPr>
            <w:tcW w:type="dxa" w:w="7373"/>
            <w:vAlign w:val="center"/>
          </w:tcPr>
          <w:p>
            <w:pPr>
              <w:spacing w:after="40" w:line="247" w:lineRule="auto"/>
            </w:pPr>
            <w:r>
              <w:rPr>
                <w:b w:val="0"/>
                <w:sz w:val="19"/>
              </w:rPr>
              <w:t>A cumulative bound in the original input size, including decoding and witness extraction.</w:t>
            </w:r>
          </w:p>
        </w:tc>
      </w:tr>
      <w:tr>
        <w:trPr>
          <w:cantSplit/>
        </w:trPr>
        <w:tc>
          <w:tcPr>
            <w:tcW w:type="dxa" w:w="2563"/>
            <w:vAlign w:val="center"/>
          </w:tcPr>
          <w:p>
            <w:pPr>
              <w:spacing w:after="40" w:line="247" w:lineRule="auto"/>
            </w:pPr>
            <w:r>
              <w:rPr>
                <w:b w:val="0"/>
                <w:sz w:val="19"/>
              </w:rPr>
              <w:t>What was actually proved?</w:t>
            </w:r>
          </w:p>
        </w:tc>
        <w:tc>
          <w:tcPr>
            <w:tcW w:type="dxa" w:w="7373"/>
            <w:vAlign w:val="center"/>
          </w:tcPr>
          <w:p>
            <w:pPr>
              <w:spacing w:after="40" w:line="247" w:lineRule="auto"/>
            </w:pPr>
            <w:r>
              <w:rPr>
                <w:b w:val="0"/>
                <w:sz w:val="19"/>
              </w:rPr>
              <w:t>The implication, its premise, the exact class separation and the current status of each.</w:t>
            </w:r>
          </w:p>
        </w:tc>
      </w:tr>
    </w:tbl>
    <w:p>
      <w:r/>
    </w:p>
    <w:p>
      <w:r>
        <w:t>My overall judgment is that the compression/refuter combination is the best next technical investment, while Birget’s inverse formulation is the best guard against overlooking unrestricted algorithms. The nonstandard-model and topology papers are worthwhile sources of new structure. Their value is in precise transfer problems and counterexamples, not in offering a presently verified final step to a P versus NP proof.</w:t>
      </w:r>
    </w:p>
    <w:p>
      <w:pPr>
        <w:pStyle w:val="Heading1"/>
      </w:pPr>
      <w:r>
        <w:t>13 Search method and limits</w:t>
      </w:r>
    </w:p>
    <w:p>
      <w:r>
        <w:t>The search followed primary papers, author-hosted manuscripts, original author commentary and references between them. It covered constructive separations, range avoidance, hardness magnification, proof search, bounded arithmetic, semigroups, categorical complexity, sheaf cohomology, homology, compilation, time–space simulation and physical SAT proposals. Recent preprints were checked through September 2026; their status is distinguished from published results.</w:t>
      </w:r>
    </w:p>
    <w:p>
      <w:r>
        <w:t>For central claims I inspected theorem statements, definitions and relevant proof passages rather than relying only on titles or search snippets. Exact-resource claims in this report are tied to the cited version. The memcomputing discussion uses the accessible abstract and journal account and does not claim a line-by-line audit of the continuous-dynamics proof. No numerical experiments or new general lower-bound proofs were performed for this report.</w:t>
      </w:r>
    </w:p>
    <w:p>
      <w:r>
        <w:t>Coverage focuses on unusual approaches connected to the recorded gaps. The search found exact sufficient conditions and partial repairs, but no verified unconditional completion of their premises. The complete earlier project files were not available for a fresh formal audit.</w:t>
      </w:r>
    </w:p>
    <w:p>
      <w:pPr>
        <w:pStyle w:val="Heading1"/>
        <w:pageBreakBefore/>
      </w:pPr>
      <w:r>
        <w:t>Sources</w:t>
      </w:r>
    </w:p>
    <w:p>
      <w:pPr>
        <w:pStyle w:val="SourceText"/>
      </w:pPr>
      <w:r>
        <w:t>Numbering matches the footnotes. Links lead to primary papers or original commentary; the locators identify the passages most useful for follow-up.</w:t>
      </w:r>
    </w:p>
    <w:p>
      <w:pPr>
        <w:pStyle w:val="SourceText"/>
      </w:pPr>
      <w:r>
        <w:t xml:space="preserve">1. Clay Mathematics Institute. </w:t>
      </w:r>
      <w:hyperlink r:id="rId9">
        <w:r>
          <w:rPr>
            <w:color w:val="000000"/>
            <w:u w:val="single"/>
            <w:sz w:val="19"/>
          </w:rPr>
          <w:t>P vs NP</w:t>
        </w:r>
      </w:hyperlink>
      <w:r>
        <w:t>. Current problem page, checked 13 September 2026.</w:t>
      </w:r>
    </w:p>
    <w:p>
      <w:pPr>
        <w:pStyle w:val="SourceText"/>
      </w:pPr>
      <w:r>
        <w:t xml:space="preserve">2. Dylan M. McKay, Cody D. Murray and R. Ryan Williams. </w:t>
      </w:r>
      <w:hyperlink r:id="rId10">
        <w:r>
          <w:rPr>
            <w:color w:val="000000"/>
            <w:u w:val="single"/>
            <w:sz w:val="19"/>
          </w:rPr>
          <w:t>Weak Lower Bounds on Resource-Bounded Compression Imply Strong Separations of Complexity Classes</w:t>
        </w:r>
      </w:hyperlink>
      <w:r>
        <w:t>. STOC 2019. Theorems 1.2 and 1.3, Sections 4 and 5.</w:t>
      </w:r>
    </w:p>
    <w:p>
      <w:pPr>
        <w:pStyle w:val="SourceText"/>
      </w:pPr>
      <w:r>
        <w:t xml:space="preserve">3. Oded Goldreich. </w:t>
      </w:r>
      <w:hyperlink r:id="rId11">
        <w:r>
          <w:rPr>
            <w:color w:val="000000"/>
            <w:u w:val="single"/>
            <w:sz w:val="19"/>
          </w:rPr>
          <w:t>Comments on resource-bounded compression and hardness magnification</w:t>
        </w:r>
      </w:hyperlink>
      <w:r>
        <w:t>. Original research commentary, item 268. A reading guide, not an additional lower-bound theorem.</w:t>
      </w:r>
    </w:p>
    <w:p>
      <w:pPr>
        <w:pStyle w:val="SourceText"/>
      </w:pPr>
      <w:r>
        <w:t xml:space="preserve">4. Lijie Chen, Ce Jin, Rahul Santhanam and Ryan Williams. </w:t>
      </w:r>
      <w:hyperlink r:id="rId12">
        <w:r>
          <w:rPr>
            <w:color w:val="000000"/>
            <w:u w:val="single"/>
            <w:sz w:val="19"/>
          </w:rPr>
          <w:t>Constructive Separations and Their Consequences</w:t>
        </w:r>
      </w:hyperlink>
      <w:r>
        <w:t>. TheoretiCS 3, article 3, 2024; FOCS 2021 preliminary version. Definition 1.1, Theorems 1.2 and 1.4, Proposition 1.8.</w:t>
      </w:r>
    </w:p>
    <w:p>
      <w:pPr>
        <w:pStyle w:val="SourceText"/>
      </w:pPr>
      <w:r>
        <w:t xml:space="preserve">5. Marco Carmosino, Ngu Dang and Tim Jackman. </w:t>
      </w:r>
      <w:hyperlink r:id="rId13">
        <w:r>
          <w:rPr>
            <w:color w:val="000000"/>
            <w:u w:val="single"/>
            <w:sz w:val="19"/>
          </w:rPr>
          <w:t>Constructive Separations from Gate Elimination</w:t>
        </w:r>
      </w:hyperlink>
      <w:r>
        <w:t>. Preprint, 27 April 2026. Theorems 3, 5, 7 and 8; Section 1.4. The PDF contains template conference metadata; this report treats it as a preprint.</w:t>
      </w:r>
    </w:p>
    <w:p>
      <w:pPr>
        <w:pStyle w:val="SourceText"/>
      </w:pPr>
      <w:r>
        <w:t xml:space="preserve">6. Jan Krajíček. </w:t>
      </w:r>
      <w:hyperlink r:id="rId14">
        <w:r>
          <w:rPr>
            <w:color w:val="000000"/>
            <w:u w:val="single"/>
            <w:sz w:val="19"/>
          </w:rPr>
          <w:t>Information in propositional proofs and algorithmic proof search</w:t>
        </w:r>
      </w:hyperlink>
      <w:r>
        <w:t>. Journal of Symbolic Logic 87(2), 852–869, 2022. Definition 3.1 and Lemmas 3.3–3.4; optimality discussion in Section 2.</w:t>
      </w:r>
    </w:p>
    <w:p>
      <w:pPr>
        <w:pStyle w:val="SourceText"/>
      </w:pPr>
      <w:r>
        <w:t xml:space="preserve">7. J. C. Birget. </w:t>
      </w:r>
      <w:hyperlink r:id="rId15">
        <w:r>
          <w:rPr>
            <w:color w:val="000000"/>
            <w:u w:val="single"/>
            <w:sz w:val="19"/>
          </w:rPr>
          <w:t>Semigroups and one-way functions</w:t>
        </w:r>
      </w:hyperlink>
      <w:r>
        <w:t>. International Journal of Algebra and Computation 25(1–2), 3–36, 2015. Propositions 1.8 and 1.9.</w:t>
      </w:r>
    </w:p>
    <w:p>
      <w:pPr>
        <w:pStyle w:val="SourceText"/>
      </w:pPr>
      <w:r>
        <w:t xml:space="preserve">8. Saugata Basu and M. Umut Isik. </w:t>
      </w:r>
      <w:hyperlink r:id="rId16">
        <w:r>
          <w:rPr>
            <w:color w:val="000000"/>
            <w:u w:val="single"/>
            <w:sz w:val="19"/>
          </w:rPr>
          <w:t>Categorical Complexity</w:t>
        </w:r>
      </w:hyperlink>
      <w:r>
        <w:t>. Forum of Mathematics, Sigma 8, e34, 2020. Definitions of diagram and morphism complexity; graph-isomorphism obstruction in the 2019 preprint, page 25.</w:t>
      </w:r>
    </w:p>
    <w:p>
      <w:pPr>
        <w:pStyle w:val="SourceText"/>
      </w:pPr>
      <w:r>
        <w:t xml:space="preserve">9. Zeyong Li. </w:t>
      </w:r>
      <w:hyperlink r:id="rId17">
        <w:r>
          <w:rPr>
            <w:color w:val="000000"/>
            <w:u w:val="single"/>
            <w:sz w:val="19"/>
          </w:rPr>
          <w:t>Symmetric Exponential Time Requires Near-Maximum Circuit Size Simplified Truly Uniform</w:t>
        </w:r>
      </w:hyperlink>
      <w:r>
        <w:t>. ECCC TR23-156, revision 1, 4 April 2024. Theorems 1.1 and 1.2.</w:t>
      </w:r>
    </w:p>
    <w:p>
      <w:pPr>
        <w:pStyle w:val="SourceText"/>
      </w:pPr>
      <w:r>
        <w:t xml:space="preserve">10. Lijie Chen, Shuichi Hirahara and Hanlin Ren. </w:t>
      </w:r>
      <w:hyperlink r:id="rId18">
        <w:r>
          <w:rPr>
            <w:color w:val="000000"/>
            <w:u w:val="single"/>
            <w:sz w:val="19"/>
          </w:rPr>
          <w:t>Symmetric Exponential Time Requires Near-Maximum Circuit Size</w:t>
        </w:r>
      </w:hyperlink>
      <w:r>
        <w:t>. STOC 2024. Earlier range-avoidance construction and circuit lower bound with one advice bit.</w:t>
      </w:r>
    </w:p>
    <w:p>
      <w:pPr>
        <w:pStyle w:val="SourceText"/>
      </w:pPr>
      <w:r>
        <w:t xml:space="preserve">11. Hanlin Ren and Ryan Williams. </w:t>
      </w:r>
      <w:hyperlink r:id="rId19">
        <w:r>
          <w:rPr>
            <w:color w:val="000000"/>
            <w:u w:val="single"/>
            <w:sz w:val="19"/>
          </w:rPr>
          <w:t>Near-Maximum Circuit Lower Bounds for Exponential Time with Merlin-Arthur Queries</w:t>
        </w:r>
      </w:hyperlink>
      <w:r>
        <w:t>. Preprint, July 2026. Exponential-time result with promise Merlin–Arthur queries and one advice bit.</w:t>
      </w:r>
    </w:p>
    <w:p>
      <w:pPr>
        <w:pStyle w:val="SourceText"/>
      </w:pPr>
      <w:r>
        <w:t xml:space="preserve">12. Lijie Chen, Yang Hu and Hanlin Ren. </w:t>
      </w:r>
      <w:hyperlink r:id="rId20">
        <w:r>
          <w:rPr>
            <w:color w:val="000000"/>
            <w:u w:val="single"/>
            <w:sz w:val="19"/>
          </w:rPr>
          <w:t>New Algebrization Barriers to Circuit Lower Bounds via Communication Complexity of Missing-String</w:t>
        </w:r>
      </w:hyperlink>
      <w:r>
        <w:t>. Preprint, November 2025; ITCS 2026. XOR missing-string communication problem and new algebrization barriers.</w:t>
      </w:r>
    </w:p>
    <w:p>
      <w:pPr>
        <w:pStyle w:val="SourceText"/>
      </w:pPr>
      <w:r>
        <w:t xml:space="preserve">13. Jan Krajíček. </w:t>
      </w:r>
      <w:hyperlink r:id="rId21">
        <w:r>
          <w:rPr>
            <w:color w:val="000000"/>
            <w:u w:val="single"/>
            <w:sz w:val="19"/>
          </w:rPr>
          <w:t>On the existence of strong proof complexity generators</w:t>
        </w:r>
      </w:hyperlink>
      <w:r>
        <w:t>. Bulletin of Symbolic Logic 30(1), 20–40, 2024. Conjectures 1.1 and 6.1 and the proposed gadget generator.</w:t>
      </w:r>
    </w:p>
    <w:p>
      <w:pPr>
        <w:pStyle w:val="SourceText"/>
      </w:pPr>
      <w:r>
        <w:t xml:space="preserve">14. Hanlin Ren, Yichuan Wang and Yan Zhong. </w:t>
      </w:r>
      <w:hyperlink r:id="rId22">
        <w:r>
          <w:rPr>
            <w:color w:val="000000"/>
            <w:u w:val="single"/>
            <w:sz w:val="19"/>
          </w:rPr>
          <w:t>Hardness of Range Avoidance and Proof Complexity Generators from Demi-Bits</w:t>
        </w:r>
      </w:hyperlink>
      <w:r>
        <w:t>. ITCS 2026; revised preprint March 2026. Conditional hardness from demi-bit generators.</w:t>
      </w:r>
    </w:p>
    <w:p>
      <w:pPr>
        <w:pStyle w:val="SourceText"/>
      </w:pPr>
      <w:r>
        <w:t xml:space="preserve">15. Ján Pich. </w:t>
      </w:r>
      <w:hyperlink r:id="rId23">
        <w:r>
          <w:rPr>
            <w:color w:val="000000"/>
            <w:u w:val="single"/>
            <w:sz w:val="19"/>
          </w:rPr>
          <w:t>Localizability of the approximation method</w:t>
        </w:r>
      </w:hyperlink>
      <w:r>
        <w:t>. Preprint 2022; Computational Complexity 2024. This report uses the preprint for the scope of the approximation-method results.</w:t>
      </w:r>
    </w:p>
    <w:p>
      <w:pPr>
        <w:pStyle w:val="SourceText"/>
      </w:pPr>
      <w:r>
        <w:t xml:space="preserve">16. Lijie Chen, Shuichi Hirahara, Igor C. Oliveira, Ján Pich, Ninad Rajgopal and Rahul Santhanam. </w:t>
      </w:r>
      <w:hyperlink r:id="rId24">
        <w:r>
          <w:rPr>
            <w:color w:val="000000"/>
            <w:u w:val="single"/>
            <w:sz w:val="19"/>
          </w:rPr>
          <w:t>Beyond Natural Proofs Hardness Magnification and Locality</w:t>
        </w:r>
      </w:hyperlink>
      <w:r>
        <w:t>. Journal of the ACM 69(4), 2022; preprint 2019. Magnification frontiers and their locality obstruction.</w:t>
      </w:r>
    </w:p>
    <w:p>
      <w:pPr>
        <w:pStyle w:val="SourceText"/>
      </w:pPr>
      <w:r>
        <w:t xml:space="preserve">17. Jan Maly and Moritz Müller. </w:t>
      </w:r>
      <w:hyperlink r:id="rId25">
        <w:r>
          <w:rPr>
            <w:color w:val="000000"/>
            <w:u w:val="single"/>
            <w:sz w:val="19"/>
          </w:rPr>
          <w:t>A remark on pseudo proof systems and hard instances of the satisfiability problem</w:t>
        </w:r>
      </w:hyperlink>
      <w:r>
        <w:t>. Mathematical Logic Quarterly 64(6), 2018. Theorem 2 and its finite hardness formulation; author preprint dated 22 January 2018.</w:t>
      </w:r>
    </w:p>
    <w:p>
      <w:pPr>
        <w:pStyle w:val="SourceText"/>
      </w:pPr>
      <w:r>
        <w:t xml:space="preserve">18. Pavel Pudlák. </w:t>
      </w:r>
      <w:hyperlink r:id="rId26">
        <w:r>
          <w:rPr>
            <w:color w:val="000000"/>
            <w:u w:val="single"/>
            <w:sz w:val="19"/>
          </w:rPr>
          <w:t>Incompleteness in the finite domain</w:t>
        </w:r>
      </w:hyperlink>
      <w:r>
        <w:t>. Preprint 2016, revised 2017. Finite consistency statements and quantitative incompleteness conjectures.</w:t>
      </w:r>
    </w:p>
    <w:p>
      <w:pPr>
        <w:pStyle w:val="SourceText"/>
      </w:pPr>
      <w:r>
        <w:t xml:space="preserve">19. Ján Pich and Rahul Santhanam. </w:t>
      </w:r>
      <w:hyperlink r:id="rId27">
        <w:r>
          <w:rPr>
            <w:color w:val="000000"/>
            <w:u w:val="single"/>
            <w:sz w:val="19"/>
          </w:rPr>
          <w:t>Towards P≠NP from Extended Frege lower bounds</w:t>
        </w:r>
      </w:hyperlink>
      <w:r>
        <w:t>. Preprint 2023; journal version 2026. This report uses the preprint statements involving feasible witness extraction and provability in bounded arithmetic.</w:t>
      </w:r>
    </w:p>
    <w:p>
      <w:pPr>
        <w:pStyle w:val="SourceText"/>
      </w:pPr>
      <w:r>
        <w:t xml:space="preserve">20. Andrej Bogdanov, Kunal Talwar and Andrew Wan. </w:t>
      </w:r>
      <w:hyperlink r:id="rId28">
        <w:r>
          <w:rPr>
            <w:color w:val="000000"/>
            <w:u w:val="single"/>
            <w:sz w:val="19"/>
          </w:rPr>
          <w:t>Hard instances for satisfiability and quasi-one-way functions</w:t>
        </w:r>
      </w:hyperlink>
      <w:r>
        <w:t>. ICS 2010. Dreambreaker and quasi-hardness constructions with explicit hypotheses and size overheads.</w:t>
      </w:r>
    </w:p>
    <w:p>
      <w:pPr>
        <w:pStyle w:val="SourceText"/>
      </w:pPr>
      <w:r>
        <w:t xml:space="preserve">21. Hunter Monroe. </w:t>
      </w:r>
      <w:hyperlink r:id="rId29">
        <w:r>
          <w:rPr>
            <w:color w:val="000000"/>
            <w:u w:val="single"/>
            <w:sz w:val="19"/>
          </w:rPr>
          <w:t>Hardness as an Information Constraint A Unifying Meta-Complexity Assumption</w:t>
        </w:r>
      </w:hyperlink>
      <w:r>
        <w:t>. Speculative preprint, June 2026, version 2 July 2026. In particular Assumption 3.20, the Level-Respecting Certification Bridge.</w:t>
      </w:r>
    </w:p>
    <w:p>
      <w:pPr>
        <w:pStyle w:val="SourceText"/>
      </w:pPr>
      <w:r>
        <w:t xml:space="preserve">22. Joel Friedman. </w:t>
      </w:r>
      <w:hyperlink r:id="rId30">
        <w:r>
          <w:rPr>
            <w:color w:val="000000"/>
            <w:u w:val="single"/>
            <w:sz w:val="19"/>
          </w:rPr>
          <w:t>Cohomology in Grothendieck Topologies and Lower Bounds in Boolean Complexity</w:t>
        </w:r>
      </w:hyperlink>
      <w:r>
        <w:t>. Research programme, 2005. Cohomological measures, virtual zero extensions and the AND/NOT difficulty.</w:t>
      </w:r>
    </w:p>
    <w:p>
      <w:pPr>
        <w:pStyle w:val="SourceText"/>
      </w:pPr>
      <w:r>
        <w:t xml:space="preserve">23. Joel Friedman. </w:t>
      </w:r>
      <w:hyperlink r:id="rId31">
        <w:r>
          <w:rPr>
            <w:color w:val="000000"/>
            <w:u w:val="single"/>
            <w:sz w:val="19"/>
          </w:rPr>
          <w:t>Cohomology in Grothendieck Topologies and Lower Bounds in Boolean Complexity II A Simple Example</w:t>
        </w:r>
      </w:hyperlink>
      <w:r>
        <w:t>. Preprint 2006. AND-only example recovering a set-cover linear-programming bound.</w:t>
      </w:r>
    </w:p>
    <w:p>
      <w:pPr>
        <w:pStyle w:val="SourceText"/>
      </w:pPr>
      <w:r>
        <w:t xml:space="preserve">24. Greg Yang. </w:t>
      </w:r>
      <w:hyperlink r:id="rId32">
        <w:r>
          <w:rPr>
            <w:color w:val="000000"/>
            <w:u w:val="single"/>
            <w:sz w:val="19"/>
          </w:rPr>
          <w:t>A Homological Theory of Functions</w:t>
        </w:r>
      </w:hyperlink>
      <w:r>
        <w:t>. Preprint 2017; ITCS 2018. Homology of function classes, polynomial threshold examples and homological dimension.</w:t>
      </w:r>
    </w:p>
    <w:p>
      <w:pPr>
        <w:pStyle w:val="SourceText"/>
      </w:pPr>
      <w:r>
        <w:t xml:space="preserve">25. Adnan Darwiche and Pierre Marquis. </w:t>
      </w:r>
      <w:hyperlink r:id="rId33">
        <w:r>
          <w:rPr>
            <w:color w:val="000000"/>
            <w:u w:val="single"/>
            <w:sz w:val="19"/>
          </w:rPr>
          <w:t>A Knowledge Compilation Map</w:t>
        </w:r>
      </w:hyperlink>
      <w:r>
        <w:t>. Journal of Artificial Intelligence Research 17, 229–264, 2002. Query and transformation tables, especially conjunction and forgetting; arXiv copy uploaded 2011.</w:t>
      </w:r>
    </w:p>
    <w:p>
      <w:pPr>
        <w:pStyle w:val="SourceText"/>
      </w:pPr>
      <w:r>
        <w:t xml:space="preserve">26. Ryan Williams. </w:t>
      </w:r>
      <w:hyperlink r:id="rId34">
        <w:r>
          <w:rPr>
            <w:color w:val="000000"/>
            <w:u w:val="single"/>
            <w:sz w:val="19"/>
          </w:rPr>
          <w:t>Simulating Time With Square-Root Space</w:t>
        </w:r>
      </w:hyperlink>
      <w:r>
        <w:t>. Preprint 2025. Deterministic multitape simulation and resulting time–space consequences.</w:t>
      </w:r>
    </w:p>
    <w:p>
      <w:pPr>
        <w:pStyle w:val="SourceText"/>
      </w:pPr>
      <w:r>
        <w:t xml:space="preserve">27. Joshua A. Grochow and Toniann Pitassi. </w:t>
      </w:r>
      <w:hyperlink r:id="rId35">
        <w:r>
          <w:rPr>
            <w:color w:val="000000"/>
            <w:u w:val="single"/>
            <w:sz w:val="19"/>
          </w:rPr>
          <w:t>Circuit complexity proof complexity and polynomial identity testing</w:t>
        </w:r>
      </w:hyperlink>
      <w:r>
        <w:t>. Preprint 2014; Journal of the ACM 2018. Ideal Proof System and the implication to arithmetic circuit lower bounds.</w:t>
      </w:r>
    </w:p>
    <w:p>
      <w:pPr>
        <w:pStyle w:val="SourceText"/>
      </w:pPr>
      <w:r>
        <w:t xml:space="preserve">28. S. R. B. Bearden, Y. R. Pei and M. Di Ventra. </w:t>
      </w:r>
      <w:hyperlink r:id="rId36">
        <w:r>
          <w:rPr>
            <w:color w:val="000000"/>
            <w:u w:val="single"/>
            <w:sz w:val="19"/>
          </w:rPr>
          <w:t>Efficient Solution of Boolean Satisfiability Problems with Digital MemComputing</w:t>
        </w:r>
      </w:hyperlink>
      <w:r>
        <w:t>. Scientific Reports 10, 19741, 2020. Continuous dynamics and numerical experiments on planted instances; abstract and journal account inspected.</w:t>
      </w:r>
    </w:p>
    <w:p>
      <w:pPr>
        <w:pStyle w:val="SourceText"/>
      </w:pPr>
      <w:r>
        <w:t xml:space="preserve">29. Richard J. Lipton and contributors. </w:t>
      </w:r>
      <w:hyperlink r:id="rId37">
        <w:r>
          <w:rPr>
            <w:color w:val="000000"/>
            <w:u w:val="single"/>
            <w:sz w:val="19"/>
          </w:rPr>
          <w:t>Update on Deolalikar’s Proof that P≠NP</w:t>
        </w:r>
      </w:hyperlink>
      <w:r>
        <w:t>. Original public discussion, 10 August 2010, including comments about XORSAT. A source of diagnostic counterexamples, not a proof source.</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Clay Mathematics Institute. </w:t>
      </w:r>
      <w:hyperlink r:id="rId1">
        <w:r>
          <w:rPr>
            <w:u w:val="single"/>
            <w:color w:val="000000"/>
          </w:rPr>
          <w:t>P vs NP</w:t>
        </w:r>
      </w:hyperlink>
      <w:r>
        <w:t>.</w:t>
      </w:r>
    </w:p>
  </w:footnote>
  <w:footnote w:id="2">
    <w:p>
      <w:pPr>
        <w:pStyle w:val="FootnoteText"/>
      </w:pPr>
      <w:r>
        <w:rPr>
          <w:rStyle w:val="FootnoteReference"/>
        </w:rPr>
        <w:footnoteRef/>
      </w:r>
      <w:r>
        <w:t xml:space="preserve"> Dylan M. McKay, Cody D. Murray and R. Ryan Williams. </w:t>
      </w:r>
      <w:hyperlink r:id="rId2">
        <w:r>
          <w:rPr>
            <w:u w:val="single"/>
            <w:color w:val="000000"/>
          </w:rPr>
          <w:t>Weak Lower Bounds on Resource-Bounded Compression Imply Strong Separations of Complexity Classes</w:t>
        </w:r>
      </w:hyperlink>
      <w:r>
        <w:t>.</w:t>
      </w:r>
    </w:p>
  </w:footnote>
  <w:footnote w:id="3">
    <w:p>
      <w:pPr>
        <w:pStyle w:val="FootnoteText"/>
      </w:pPr>
      <w:r>
        <w:rPr>
          <w:rStyle w:val="FootnoteReference"/>
        </w:rPr>
        <w:footnoteRef/>
      </w:r>
      <w:r>
        <w:t xml:space="preserve"> Oded Goldreich. </w:t>
      </w:r>
      <w:hyperlink r:id="rId3">
        <w:r>
          <w:rPr>
            <w:u w:val="single"/>
            <w:color w:val="000000"/>
          </w:rPr>
          <w:t>Comments on resource-bounded compression and hardness magnification</w:t>
        </w:r>
      </w:hyperlink>
      <w:r>
        <w:t>.</w:t>
      </w:r>
    </w:p>
  </w:footnote>
  <w:footnote w:id="4">
    <w:p>
      <w:pPr>
        <w:pStyle w:val="FootnoteText"/>
      </w:pPr>
      <w:r>
        <w:rPr>
          <w:rStyle w:val="FootnoteReference"/>
        </w:rPr>
        <w:footnoteRef/>
      </w:r>
      <w:r>
        <w:t xml:space="preserve"> Lijie Chen, Ce Jin, Rahul Santhanam and Ryan Williams. </w:t>
      </w:r>
      <w:hyperlink r:id="rId4">
        <w:r>
          <w:rPr>
            <w:u w:val="single"/>
            <w:color w:val="000000"/>
          </w:rPr>
          <w:t>Constructive Separations and Their Consequences</w:t>
        </w:r>
      </w:hyperlink>
      <w:r>
        <w:t>.</w:t>
      </w:r>
    </w:p>
  </w:footnote>
  <w:footnote w:id="5">
    <w:p>
      <w:pPr>
        <w:pStyle w:val="FootnoteText"/>
      </w:pPr>
      <w:r>
        <w:rPr>
          <w:rStyle w:val="FootnoteReference"/>
        </w:rPr>
        <w:footnoteRef/>
      </w:r>
      <w:r>
        <w:t xml:space="preserve"> Marco Carmosino, Ngu Dang and Tim Jackman. </w:t>
      </w:r>
      <w:hyperlink r:id="rId5">
        <w:r>
          <w:rPr>
            <w:u w:val="single"/>
            <w:color w:val="000000"/>
          </w:rPr>
          <w:t>Constructive Separations from Gate Elimination</w:t>
        </w:r>
      </w:hyperlink>
      <w:r>
        <w:t>.</w:t>
      </w:r>
    </w:p>
  </w:footnote>
  <w:footnote w:id="6">
    <w:p>
      <w:pPr>
        <w:pStyle w:val="FootnoteText"/>
      </w:pPr>
      <w:r>
        <w:rPr>
          <w:rStyle w:val="FootnoteReference"/>
        </w:rPr>
        <w:footnoteRef/>
      </w:r>
      <w:r>
        <w:t xml:space="preserve"> Jan Krajíček. </w:t>
      </w:r>
      <w:hyperlink r:id="rId6">
        <w:r>
          <w:rPr>
            <w:u w:val="single"/>
            <w:color w:val="000000"/>
          </w:rPr>
          <w:t>Information in propositional proofs and algorithmic proof search</w:t>
        </w:r>
      </w:hyperlink>
      <w:r>
        <w:t>.</w:t>
      </w:r>
    </w:p>
  </w:footnote>
  <w:footnote w:id="7">
    <w:p>
      <w:pPr>
        <w:pStyle w:val="FootnoteText"/>
      </w:pPr>
      <w:r>
        <w:rPr>
          <w:rStyle w:val="FootnoteReference"/>
        </w:rPr>
        <w:footnoteRef/>
      </w:r>
      <w:r>
        <w:t xml:space="preserve"> J. C. Birget. </w:t>
      </w:r>
      <w:hyperlink r:id="rId7">
        <w:r>
          <w:rPr>
            <w:u w:val="single"/>
            <w:color w:val="000000"/>
          </w:rPr>
          <w:t>Semigroups and one-way functions</w:t>
        </w:r>
      </w:hyperlink>
      <w:r>
        <w:t>.</w:t>
      </w:r>
    </w:p>
  </w:footnote>
  <w:footnote w:id="8">
    <w:p>
      <w:pPr>
        <w:pStyle w:val="FootnoteText"/>
      </w:pPr>
      <w:r>
        <w:rPr>
          <w:rStyle w:val="FootnoteReference"/>
        </w:rPr>
        <w:footnoteRef/>
      </w:r>
      <w:r>
        <w:t xml:space="preserve"> Saugata Basu and M. Umut Isik. </w:t>
      </w:r>
      <w:hyperlink r:id="rId8">
        <w:r>
          <w:rPr>
            <w:u w:val="single"/>
            <w:color w:val="000000"/>
          </w:rPr>
          <w:t>Categorical Complexity</w:t>
        </w:r>
      </w:hyperlink>
      <w:r>
        <w:t>.</w:t>
      </w:r>
    </w:p>
  </w:footnote>
  <w:footnote w:id="9">
    <w:p>
      <w:pPr>
        <w:pStyle w:val="FootnoteText"/>
      </w:pPr>
      <w:r>
        <w:rPr>
          <w:rStyle w:val="FootnoteReference"/>
        </w:rPr>
        <w:footnoteRef/>
      </w:r>
      <w:r>
        <w:t xml:space="preserve"> Zeyong Li. </w:t>
      </w:r>
      <w:hyperlink r:id="rId9">
        <w:r>
          <w:rPr>
            <w:u w:val="single"/>
            <w:color w:val="000000"/>
          </w:rPr>
          <w:t>Symmetric Exponential Time Requires Near-Maximum Circuit Size Simplified Truly Uniform</w:t>
        </w:r>
      </w:hyperlink>
      <w:r>
        <w:t>.</w:t>
      </w:r>
    </w:p>
  </w:footnote>
  <w:footnote w:id="10">
    <w:p>
      <w:pPr>
        <w:pStyle w:val="FootnoteText"/>
      </w:pPr>
      <w:r>
        <w:rPr>
          <w:rStyle w:val="FootnoteReference"/>
        </w:rPr>
        <w:footnoteRef/>
      </w:r>
      <w:r>
        <w:t xml:space="preserve"> Lijie Chen, Shuichi Hirahara and Hanlin Ren. </w:t>
      </w:r>
      <w:hyperlink r:id="rId10">
        <w:r>
          <w:rPr>
            <w:u w:val="single"/>
            <w:color w:val="000000"/>
          </w:rPr>
          <w:t>Symmetric Exponential Time Requires Near-Maximum Circuit Size</w:t>
        </w:r>
      </w:hyperlink>
      <w:r>
        <w:t>.</w:t>
      </w:r>
    </w:p>
  </w:footnote>
  <w:footnote w:id="11">
    <w:p>
      <w:pPr>
        <w:pStyle w:val="FootnoteText"/>
      </w:pPr>
      <w:r>
        <w:rPr>
          <w:rStyle w:val="FootnoteReference"/>
        </w:rPr>
        <w:footnoteRef/>
      </w:r>
      <w:r>
        <w:t xml:space="preserve"> Hanlin Ren and Ryan Williams. </w:t>
      </w:r>
      <w:hyperlink r:id="rId11">
        <w:r>
          <w:rPr>
            <w:u w:val="single"/>
            <w:color w:val="000000"/>
          </w:rPr>
          <w:t>Near-Maximum Circuit Lower Bounds for Exponential Time with Merlin-Arthur Queries</w:t>
        </w:r>
      </w:hyperlink>
      <w:r>
        <w:t>.</w:t>
      </w:r>
    </w:p>
  </w:footnote>
  <w:footnote w:id="12">
    <w:p>
      <w:pPr>
        <w:pStyle w:val="FootnoteText"/>
      </w:pPr>
      <w:r>
        <w:rPr>
          <w:rStyle w:val="FootnoteReference"/>
        </w:rPr>
        <w:footnoteRef/>
      </w:r>
      <w:r>
        <w:t xml:space="preserve"> Lijie Chen, Yang Hu and Hanlin Ren. </w:t>
      </w:r>
      <w:hyperlink r:id="rId12">
        <w:r>
          <w:rPr>
            <w:u w:val="single"/>
            <w:color w:val="000000"/>
          </w:rPr>
          <w:t>New Algebrization Barriers to Circuit Lower Bounds via Communication Complexity of Missing-String</w:t>
        </w:r>
      </w:hyperlink>
      <w:r>
        <w:t>.</w:t>
      </w:r>
    </w:p>
  </w:footnote>
  <w:footnote w:id="13">
    <w:p>
      <w:pPr>
        <w:pStyle w:val="FootnoteText"/>
      </w:pPr>
      <w:r>
        <w:rPr>
          <w:rStyle w:val="FootnoteReference"/>
        </w:rPr>
        <w:footnoteRef/>
      </w:r>
      <w:r>
        <w:t xml:space="preserve"> Jan Krajíček. </w:t>
      </w:r>
      <w:hyperlink r:id="rId13">
        <w:r>
          <w:rPr>
            <w:u w:val="single"/>
            <w:color w:val="000000"/>
          </w:rPr>
          <w:t>On the existence of strong proof complexity generators</w:t>
        </w:r>
      </w:hyperlink>
      <w:r>
        <w:t>.</w:t>
      </w:r>
    </w:p>
  </w:footnote>
  <w:footnote w:id="14">
    <w:p>
      <w:pPr>
        <w:pStyle w:val="FootnoteText"/>
      </w:pPr>
      <w:r>
        <w:rPr>
          <w:rStyle w:val="FootnoteReference"/>
        </w:rPr>
        <w:footnoteRef/>
      </w:r>
      <w:r>
        <w:t xml:space="preserve"> Hanlin Ren, Yichuan Wang and Yan Zhong. </w:t>
      </w:r>
      <w:hyperlink r:id="rId14">
        <w:r>
          <w:rPr>
            <w:u w:val="single"/>
            <w:color w:val="000000"/>
          </w:rPr>
          <w:t>Hardness of Range Avoidance and Proof Complexity Generators from Demi-Bits</w:t>
        </w:r>
      </w:hyperlink>
      <w:r>
        <w:t>.</w:t>
      </w:r>
    </w:p>
  </w:footnote>
  <w:footnote w:id="15">
    <w:p>
      <w:pPr>
        <w:pStyle w:val="FootnoteText"/>
      </w:pPr>
      <w:r>
        <w:rPr>
          <w:rStyle w:val="FootnoteReference"/>
        </w:rPr>
        <w:footnoteRef/>
      </w:r>
      <w:r>
        <w:t xml:space="preserve"> Ján Pich. </w:t>
      </w:r>
      <w:hyperlink r:id="rId15">
        <w:r>
          <w:rPr>
            <w:u w:val="single"/>
            <w:color w:val="000000"/>
          </w:rPr>
          <w:t>Localizability of the approximation method</w:t>
        </w:r>
      </w:hyperlink>
      <w:r>
        <w:t>.</w:t>
      </w:r>
    </w:p>
  </w:footnote>
  <w:footnote w:id="16">
    <w:p>
      <w:pPr>
        <w:pStyle w:val="FootnoteText"/>
      </w:pPr>
      <w:r>
        <w:rPr>
          <w:rStyle w:val="FootnoteReference"/>
        </w:rPr>
        <w:footnoteRef/>
      </w:r>
      <w:r>
        <w:t xml:space="preserve"> Lijie Chen, Shuichi Hirahara, Igor C. Oliveira, Ján Pich, Ninad Rajgopal and Rahul Santhanam. </w:t>
      </w:r>
      <w:hyperlink r:id="rId16">
        <w:r>
          <w:rPr>
            <w:u w:val="single"/>
            <w:color w:val="000000"/>
          </w:rPr>
          <w:t>Beyond Natural Proofs Hardness Magnification and Locality</w:t>
        </w:r>
      </w:hyperlink>
      <w:r>
        <w:t>.</w:t>
      </w:r>
    </w:p>
  </w:footnote>
  <w:footnote w:id="17">
    <w:p>
      <w:pPr>
        <w:pStyle w:val="FootnoteText"/>
      </w:pPr>
      <w:r>
        <w:rPr>
          <w:rStyle w:val="FootnoteReference"/>
        </w:rPr>
        <w:footnoteRef/>
      </w:r>
      <w:r>
        <w:t xml:space="preserve"> Jan Maly and Moritz Müller. </w:t>
      </w:r>
      <w:hyperlink r:id="rId17">
        <w:r>
          <w:rPr>
            <w:u w:val="single"/>
            <w:color w:val="000000"/>
          </w:rPr>
          <w:t>A remark on pseudo proof systems and hard instances of the satisfiability problem</w:t>
        </w:r>
      </w:hyperlink>
      <w:r>
        <w:t>.</w:t>
      </w:r>
    </w:p>
  </w:footnote>
  <w:footnote w:id="18">
    <w:p>
      <w:pPr>
        <w:pStyle w:val="FootnoteText"/>
      </w:pPr>
      <w:r>
        <w:rPr>
          <w:rStyle w:val="FootnoteReference"/>
        </w:rPr>
        <w:footnoteRef/>
      </w:r>
      <w:r>
        <w:t xml:space="preserve"> Pavel Pudlák. </w:t>
      </w:r>
      <w:hyperlink r:id="rId18">
        <w:r>
          <w:rPr>
            <w:u w:val="single"/>
            <w:color w:val="000000"/>
          </w:rPr>
          <w:t>Incompleteness in the finite domain</w:t>
        </w:r>
      </w:hyperlink>
      <w:r>
        <w:t>.</w:t>
      </w:r>
    </w:p>
  </w:footnote>
  <w:footnote w:id="19">
    <w:p>
      <w:pPr>
        <w:pStyle w:val="FootnoteText"/>
      </w:pPr>
      <w:r>
        <w:rPr>
          <w:rStyle w:val="FootnoteReference"/>
        </w:rPr>
        <w:footnoteRef/>
      </w:r>
      <w:r>
        <w:t xml:space="preserve"> Ján Pich and Rahul Santhanam. </w:t>
      </w:r>
      <w:hyperlink r:id="rId19">
        <w:r>
          <w:rPr>
            <w:u w:val="single"/>
            <w:color w:val="000000"/>
          </w:rPr>
          <w:t>Towards P≠NP from Extended Frege lower bounds</w:t>
        </w:r>
      </w:hyperlink>
      <w:r>
        <w:t>.</w:t>
      </w:r>
    </w:p>
  </w:footnote>
  <w:footnote w:id="20">
    <w:p>
      <w:pPr>
        <w:pStyle w:val="FootnoteText"/>
      </w:pPr>
      <w:r>
        <w:rPr>
          <w:rStyle w:val="FootnoteReference"/>
        </w:rPr>
        <w:footnoteRef/>
      </w:r>
      <w:r>
        <w:t xml:space="preserve"> Andrej Bogdanov, Kunal Talwar and Andrew Wan. </w:t>
      </w:r>
      <w:hyperlink r:id="rId20">
        <w:r>
          <w:rPr>
            <w:u w:val="single"/>
            <w:color w:val="000000"/>
          </w:rPr>
          <w:t>Hard instances for satisfiability and quasi-one-way functions</w:t>
        </w:r>
      </w:hyperlink>
      <w:r>
        <w:t>.</w:t>
      </w:r>
    </w:p>
  </w:footnote>
  <w:footnote w:id="21">
    <w:p>
      <w:pPr>
        <w:pStyle w:val="FootnoteText"/>
      </w:pPr>
      <w:r>
        <w:rPr>
          <w:rStyle w:val="FootnoteReference"/>
        </w:rPr>
        <w:footnoteRef/>
      </w:r>
      <w:r>
        <w:t xml:space="preserve"> Hunter Monroe. </w:t>
      </w:r>
      <w:hyperlink r:id="rId21">
        <w:r>
          <w:rPr>
            <w:u w:val="single"/>
            <w:color w:val="000000"/>
          </w:rPr>
          <w:t>Hardness as an Information Constraint A Unifying Meta-Complexity Assumption</w:t>
        </w:r>
      </w:hyperlink>
      <w:r>
        <w:t>.</w:t>
      </w:r>
    </w:p>
  </w:footnote>
  <w:footnote w:id="22">
    <w:p>
      <w:pPr>
        <w:pStyle w:val="FootnoteText"/>
      </w:pPr>
      <w:r>
        <w:rPr>
          <w:rStyle w:val="FootnoteReference"/>
        </w:rPr>
        <w:footnoteRef/>
      </w:r>
      <w:r>
        <w:t xml:space="preserve"> Joel Friedman. </w:t>
      </w:r>
      <w:hyperlink r:id="rId22">
        <w:r>
          <w:rPr>
            <w:u w:val="single"/>
            <w:color w:val="000000"/>
          </w:rPr>
          <w:t>Cohomology in Grothendieck Topologies and Lower Bounds in Boolean Complexity</w:t>
        </w:r>
      </w:hyperlink>
      <w:r>
        <w:t>.</w:t>
      </w:r>
    </w:p>
  </w:footnote>
  <w:footnote w:id="23">
    <w:p>
      <w:pPr>
        <w:pStyle w:val="FootnoteText"/>
      </w:pPr>
      <w:r>
        <w:rPr>
          <w:rStyle w:val="FootnoteReference"/>
        </w:rPr>
        <w:footnoteRef/>
      </w:r>
      <w:r>
        <w:t xml:space="preserve"> Joel Friedman. </w:t>
      </w:r>
      <w:hyperlink r:id="rId23">
        <w:r>
          <w:rPr>
            <w:u w:val="single"/>
            <w:color w:val="000000"/>
          </w:rPr>
          <w:t>Cohomology in Grothendieck Topologies and Lower Bounds in Boolean Complexity II A Simple Example</w:t>
        </w:r>
      </w:hyperlink>
      <w:r>
        <w:t>.</w:t>
      </w:r>
    </w:p>
  </w:footnote>
  <w:footnote w:id="24">
    <w:p>
      <w:pPr>
        <w:pStyle w:val="FootnoteText"/>
      </w:pPr>
      <w:r>
        <w:rPr>
          <w:rStyle w:val="FootnoteReference"/>
        </w:rPr>
        <w:footnoteRef/>
      </w:r>
      <w:r>
        <w:t xml:space="preserve"> Greg Yang. </w:t>
      </w:r>
      <w:hyperlink r:id="rId24">
        <w:r>
          <w:rPr>
            <w:u w:val="single"/>
            <w:color w:val="000000"/>
          </w:rPr>
          <w:t>A Homological Theory of Functions</w:t>
        </w:r>
      </w:hyperlink>
      <w:r>
        <w:t>.</w:t>
      </w:r>
    </w:p>
  </w:footnote>
  <w:footnote w:id="25">
    <w:p>
      <w:pPr>
        <w:pStyle w:val="FootnoteText"/>
      </w:pPr>
      <w:r>
        <w:rPr>
          <w:rStyle w:val="FootnoteReference"/>
        </w:rPr>
        <w:footnoteRef/>
      </w:r>
      <w:r>
        <w:t xml:space="preserve"> Adnan Darwiche and Pierre Marquis. </w:t>
      </w:r>
      <w:hyperlink r:id="rId25">
        <w:r>
          <w:rPr>
            <w:u w:val="single"/>
            <w:color w:val="000000"/>
          </w:rPr>
          <w:t>A Knowledge Compilation Map</w:t>
        </w:r>
      </w:hyperlink>
      <w:r>
        <w:t>.</w:t>
      </w:r>
    </w:p>
  </w:footnote>
  <w:footnote w:id="26">
    <w:p>
      <w:pPr>
        <w:pStyle w:val="FootnoteText"/>
      </w:pPr>
      <w:r>
        <w:rPr>
          <w:rStyle w:val="FootnoteReference"/>
        </w:rPr>
        <w:footnoteRef/>
      </w:r>
      <w:r>
        <w:t xml:space="preserve"> Ryan Williams. </w:t>
      </w:r>
      <w:hyperlink r:id="rId26">
        <w:r>
          <w:rPr>
            <w:u w:val="single"/>
            <w:color w:val="000000"/>
          </w:rPr>
          <w:t>Simulating Time With Square-Root Space</w:t>
        </w:r>
      </w:hyperlink>
      <w:r>
        <w:t>.</w:t>
      </w:r>
    </w:p>
  </w:footnote>
  <w:footnote w:id="27">
    <w:p>
      <w:pPr>
        <w:pStyle w:val="FootnoteText"/>
      </w:pPr>
      <w:r>
        <w:rPr>
          <w:rStyle w:val="FootnoteReference"/>
        </w:rPr>
        <w:footnoteRef/>
      </w:r>
      <w:r>
        <w:t xml:space="preserve"> Joshua A. Grochow and Toniann Pitassi. </w:t>
      </w:r>
      <w:hyperlink r:id="rId27">
        <w:r>
          <w:rPr>
            <w:u w:val="single"/>
            <w:color w:val="000000"/>
          </w:rPr>
          <w:t>Circuit complexity proof complexity and polynomial identity testing</w:t>
        </w:r>
      </w:hyperlink>
      <w:r>
        <w:t>.</w:t>
      </w:r>
    </w:p>
  </w:footnote>
  <w:footnote w:id="28">
    <w:p>
      <w:pPr>
        <w:pStyle w:val="FootnoteText"/>
      </w:pPr>
      <w:r>
        <w:rPr>
          <w:rStyle w:val="FootnoteReference"/>
        </w:rPr>
        <w:footnoteRef/>
      </w:r>
      <w:r>
        <w:t xml:space="preserve"> S. R. B. Bearden, Y. R. Pei and M. Di Ventra. </w:t>
      </w:r>
      <w:hyperlink r:id="rId28">
        <w:r>
          <w:rPr>
            <w:u w:val="single"/>
            <w:color w:val="000000"/>
          </w:rPr>
          <w:t>Efficient Solution of Boolean Satisfiability Problems with Digital MemComputing</w:t>
        </w:r>
      </w:hyperlink>
      <w:r>
        <w:t>.</w:t>
      </w:r>
    </w:p>
  </w:footnote>
  <w:footnote w:id="29">
    <w:p>
      <w:pPr>
        <w:pStyle w:val="FootnoteText"/>
      </w:pPr>
      <w:r>
        <w:rPr>
          <w:rStyle w:val="FootnoteReference"/>
        </w:rPr>
        <w:footnoteRef/>
      </w:r>
      <w:r>
        <w:t xml:space="preserve"> Richard J. Lipton and contributors. </w:t>
      </w:r>
      <w:hyperlink r:id="rId29">
        <w:r>
          <w:rPr>
            <w:u w:val="single"/>
            <w:color w:val="000000"/>
          </w:rPr>
          <w:t>Update on Deolalikar’s Proof that P≠NP</w:t>
        </w:r>
      </w:hyperlink>
      <w:r>
        <w: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4"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64"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after="40" w:line="240" w:lineRule="auto"/>
    </w:pPr>
    <w:rPr>
      <w:rFonts w:ascii="Calibri" w:hAnsi="Calibri"/>
      <w:sz w:val="17"/>
    </w:rPr>
  </w:style>
  <w:style w:type="character" w:customStyle="1" w:styleId="FootnoteReference">
    <w:name w:val="Footnote Reference"/>
    <w:rPr>
      <w:sz w:val="16"/>
      <w:vertAlign w:val="superscript"/>
    </w:rPr>
  </w:style>
  <w:style w:type="paragraph" w:customStyle="1" w:styleId="SourceText">
    <w:name w:val="Source Text"/>
    <w:basedOn w:val="Normal"/>
    <w:pPr>
      <w:keepLines/>
      <w:spacing w:after="14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laymath.org/millennium/p-vs-np/" TargetMode="External"/><Relationship Id="rId10" Type="http://schemas.openxmlformats.org/officeDocument/2006/relationships/hyperlink" Target="https://people.csail.mit.edu/rrw/MCSP-MKTP-stoc19.pdf" TargetMode="External"/><Relationship Id="rId11" Type="http://schemas.openxmlformats.org/officeDocument/2006/relationships/hyperlink" Target="https://www.wisdom.weizmann.ac.il/~oded/MC/268.html" TargetMode="External"/><Relationship Id="rId12" Type="http://schemas.openxmlformats.org/officeDocument/2006/relationships/hyperlink" Target="https://arxiv.org/abs/2203.14379" TargetMode="External"/><Relationship Id="rId13" Type="http://schemas.openxmlformats.org/officeDocument/2006/relationships/hyperlink" Target="https://arxiv.org/abs/2604.23958" TargetMode="External"/><Relationship Id="rId14" Type="http://schemas.openxmlformats.org/officeDocument/2006/relationships/hyperlink" Target="https://www.karlin.mff.cuni.cz/~krajicek/prfsearch.pdf" TargetMode="External"/><Relationship Id="rId15" Type="http://schemas.openxmlformats.org/officeDocument/2006/relationships/hyperlink" Target="https://arxiv.org/abs/1306.1447" TargetMode="External"/><Relationship Id="rId16" Type="http://schemas.openxmlformats.org/officeDocument/2006/relationships/hyperlink" Target="https://arxiv.org/abs/1610.07737" TargetMode="External"/><Relationship Id="rId17" Type="http://schemas.openxmlformats.org/officeDocument/2006/relationships/hyperlink" Target="https://eccc.weizmann.ac.il/report/2023/156/revision/1/download" TargetMode="External"/><Relationship Id="rId18" Type="http://schemas.openxmlformats.org/officeDocument/2006/relationships/hyperlink" Target="https://arxiv.org/abs/2309.12912" TargetMode="External"/><Relationship Id="rId19" Type="http://schemas.openxmlformats.org/officeDocument/2006/relationships/hyperlink" Target="https://arxiv.org/abs/2607.09963" TargetMode="External"/><Relationship Id="rId20" Type="http://schemas.openxmlformats.org/officeDocument/2006/relationships/hyperlink" Target="https://arxiv.org/abs/2511.14038" TargetMode="External"/><Relationship Id="rId21" Type="http://schemas.openxmlformats.org/officeDocument/2006/relationships/hyperlink" Target="https://arxiv.org/abs/2208.11642" TargetMode="External"/><Relationship Id="rId22" Type="http://schemas.openxmlformats.org/officeDocument/2006/relationships/hyperlink" Target="https://arxiv.org/abs/2511.14061" TargetMode="External"/><Relationship Id="rId23" Type="http://schemas.openxmlformats.org/officeDocument/2006/relationships/hyperlink" Target="https://arxiv.org/abs/2212.09285" TargetMode="External"/><Relationship Id="rId24" Type="http://schemas.openxmlformats.org/officeDocument/2006/relationships/hyperlink" Target="https://arxiv.org/abs/1911.08297" TargetMode="External"/><Relationship Id="rId25" Type="http://schemas.openxmlformats.org/officeDocument/2006/relationships/hyperlink" Target="https://www.dbai.tuwien.ac.at/staff/jmaly/preprint.pdf" TargetMode="External"/><Relationship Id="rId26" Type="http://schemas.openxmlformats.org/officeDocument/2006/relationships/hyperlink" Target="https://arxiv.org/abs/1601.01487" TargetMode="External"/><Relationship Id="rId27" Type="http://schemas.openxmlformats.org/officeDocument/2006/relationships/hyperlink" Target="https://arxiv.org/abs/2312.08163" TargetMode="External"/><Relationship Id="rId28" Type="http://schemas.openxmlformats.org/officeDocument/2006/relationships/hyperlink" Target="https://www.cs.columbia.edu/~atw12/papers/quasicrypto-ics-submit.pdf" TargetMode="External"/><Relationship Id="rId29" Type="http://schemas.openxmlformats.org/officeDocument/2006/relationships/hyperlink" Target="https://arxiv.org/abs/2606.04257" TargetMode="External"/><Relationship Id="rId30" Type="http://schemas.openxmlformats.org/officeDocument/2006/relationships/hyperlink" Target="https://www.cs.ubc.ca/~jf/pubs/web_stuff/groth1.pdf" TargetMode="External"/><Relationship Id="rId31" Type="http://schemas.openxmlformats.org/officeDocument/2006/relationships/hyperlink" Target="https://arxiv.org/abs/cs/0604024" TargetMode="External"/><Relationship Id="rId32" Type="http://schemas.openxmlformats.org/officeDocument/2006/relationships/hyperlink" Target="https://arxiv.org/abs/1701.02302" TargetMode="External"/><Relationship Id="rId33" Type="http://schemas.openxmlformats.org/officeDocument/2006/relationships/hyperlink" Target="https://arxiv.org/abs/1106.1819" TargetMode="External"/><Relationship Id="rId34" Type="http://schemas.openxmlformats.org/officeDocument/2006/relationships/hyperlink" Target="https://arxiv.org/abs/2502.17779" TargetMode="External"/><Relationship Id="rId35" Type="http://schemas.openxmlformats.org/officeDocument/2006/relationships/hyperlink" Target="https://arxiv.org/abs/1404.3820" TargetMode="External"/><Relationship Id="rId36" Type="http://schemas.openxmlformats.org/officeDocument/2006/relationships/hyperlink" Target="https://arxiv.org/abs/2011.06551" TargetMode="External"/><Relationship Id="rId37" Type="http://schemas.openxmlformats.org/officeDocument/2006/relationships/hyperlink" Target="https://rjlipton.com/2010/08/10/update-on-deolalikars-proof-that-p%E2%89%A0np/" TargetMode="External"/><Relationship Id="rIdFootnotesResearch"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claymath.org/millennium/p-vs-np/" TargetMode="External"/><Relationship Id="rId2" Type="http://schemas.openxmlformats.org/officeDocument/2006/relationships/hyperlink" Target="https://people.csail.mit.edu/rrw/MCSP-MKTP-stoc19.pdf" TargetMode="External"/><Relationship Id="rId3" Type="http://schemas.openxmlformats.org/officeDocument/2006/relationships/hyperlink" Target="https://www.wisdom.weizmann.ac.il/~oded/MC/268.html" TargetMode="External"/><Relationship Id="rId4" Type="http://schemas.openxmlformats.org/officeDocument/2006/relationships/hyperlink" Target="https://arxiv.org/abs/2203.14379" TargetMode="External"/><Relationship Id="rId5" Type="http://schemas.openxmlformats.org/officeDocument/2006/relationships/hyperlink" Target="https://arxiv.org/abs/2604.23958" TargetMode="External"/><Relationship Id="rId6" Type="http://schemas.openxmlformats.org/officeDocument/2006/relationships/hyperlink" Target="https://www.karlin.mff.cuni.cz/~krajicek/prfsearch.pdf" TargetMode="External"/><Relationship Id="rId7" Type="http://schemas.openxmlformats.org/officeDocument/2006/relationships/hyperlink" Target="https://arxiv.org/abs/1306.1447" TargetMode="External"/><Relationship Id="rId8" Type="http://schemas.openxmlformats.org/officeDocument/2006/relationships/hyperlink" Target="https://arxiv.org/abs/1610.07737" TargetMode="External"/><Relationship Id="rId9" Type="http://schemas.openxmlformats.org/officeDocument/2006/relationships/hyperlink" Target="https://eccc.weizmann.ac.il/report/2023/156/revision/1/download" TargetMode="External"/><Relationship Id="rId10" Type="http://schemas.openxmlformats.org/officeDocument/2006/relationships/hyperlink" Target="https://arxiv.org/abs/2309.12912" TargetMode="External"/><Relationship Id="rId11" Type="http://schemas.openxmlformats.org/officeDocument/2006/relationships/hyperlink" Target="https://arxiv.org/abs/2607.09963" TargetMode="External"/><Relationship Id="rId12" Type="http://schemas.openxmlformats.org/officeDocument/2006/relationships/hyperlink" Target="https://arxiv.org/abs/2511.14038" TargetMode="External"/><Relationship Id="rId13" Type="http://schemas.openxmlformats.org/officeDocument/2006/relationships/hyperlink" Target="https://arxiv.org/abs/2208.11642" TargetMode="External"/><Relationship Id="rId14" Type="http://schemas.openxmlformats.org/officeDocument/2006/relationships/hyperlink" Target="https://arxiv.org/abs/2511.14061" TargetMode="External"/><Relationship Id="rId15" Type="http://schemas.openxmlformats.org/officeDocument/2006/relationships/hyperlink" Target="https://arxiv.org/abs/2212.09285" TargetMode="External"/><Relationship Id="rId16" Type="http://schemas.openxmlformats.org/officeDocument/2006/relationships/hyperlink" Target="https://arxiv.org/abs/1911.08297" TargetMode="External"/><Relationship Id="rId17" Type="http://schemas.openxmlformats.org/officeDocument/2006/relationships/hyperlink" Target="https://www.dbai.tuwien.ac.at/staff/jmaly/preprint.pdf" TargetMode="External"/><Relationship Id="rId18" Type="http://schemas.openxmlformats.org/officeDocument/2006/relationships/hyperlink" Target="https://arxiv.org/abs/1601.01487" TargetMode="External"/><Relationship Id="rId19" Type="http://schemas.openxmlformats.org/officeDocument/2006/relationships/hyperlink" Target="https://arxiv.org/abs/2312.08163" TargetMode="External"/><Relationship Id="rId20" Type="http://schemas.openxmlformats.org/officeDocument/2006/relationships/hyperlink" Target="https://www.cs.columbia.edu/~atw12/papers/quasicrypto-ics-submit.pdf" TargetMode="External"/><Relationship Id="rId21" Type="http://schemas.openxmlformats.org/officeDocument/2006/relationships/hyperlink" Target="https://arxiv.org/abs/2606.04257" TargetMode="External"/><Relationship Id="rId22" Type="http://schemas.openxmlformats.org/officeDocument/2006/relationships/hyperlink" Target="https://www.cs.ubc.ca/~jf/pubs/web_stuff/groth1.pdf" TargetMode="External"/><Relationship Id="rId23" Type="http://schemas.openxmlformats.org/officeDocument/2006/relationships/hyperlink" Target="https://arxiv.org/abs/cs/0604024" TargetMode="External"/><Relationship Id="rId24" Type="http://schemas.openxmlformats.org/officeDocument/2006/relationships/hyperlink" Target="https://arxiv.org/abs/1701.02302" TargetMode="External"/><Relationship Id="rId25" Type="http://schemas.openxmlformats.org/officeDocument/2006/relationships/hyperlink" Target="https://arxiv.org/abs/1106.1819" TargetMode="External"/><Relationship Id="rId26" Type="http://schemas.openxmlformats.org/officeDocument/2006/relationships/hyperlink" Target="https://arxiv.org/abs/2502.17779" TargetMode="External"/><Relationship Id="rId27" Type="http://schemas.openxmlformats.org/officeDocument/2006/relationships/hyperlink" Target="https://arxiv.org/abs/1404.3820" TargetMode="External"/><Relationship Id="rId28" Type="http://schemas.openxmlformats.org/officeDocument/2006/relationships/hyperlink" Target="https://arxiv.org/abs/2011.06551" TargetMode="External"/><Relationship Id="rId29" Type="http://schemas.openxmlformats.org/officeDocument/2006/relationships/hyperlink" Target="https://rjlipton.com/2010/08/10/update-on-deolalikars-proof-that-p%E2%89%A0n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 vs NP Unusual Approaches Research</dc:title>
  <dc:subject>Primary-source research and an audit of possible repairs to earlier approaches</dc:subject>
  <dc:creator/>
  <cp:keywords>P versus NP, proof complexity, range avoidance, constructive lower bounds, semigroups</cp:keywords>
  <dc:description/>
  <cp:lastModifiedBy/>
  <cp:revision>1</cp:revision>
  <dcterms:created xsi:type="dcterms:W3CDTF">2013-12-23T23:15:00Z</dcterms:created>
  <dcterms:modified xsi:type="dcterms:W3CDTF">2013-12-23T23:15:00Z</dcterms:modified>
  <cp:category/>
</cp:coreProperties>
</file>