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jc w:val="center"/>
      </w:pPr>
      <w:r>
        <w:rPr>
          <w:rFonts w:ascii="Arial" w:cs="Arial" w:eastAsia="Arial" w:hAnsi="Arial"/>
          <w:b/>
          <w:bCs/>
          <w:caps/>
          <w:color w:val="2E6B4F"/>
          <w:sz w:val="18"/>
          <w:szCs w:val="18"/>
        </w:rPr>
        <w:t xml:space="preserve">PROJECT 10</w:t>
      </w:r>
    </w:p>
    <w:p>
      <w:pPr>
        <w:spacing w:after="100" w:before="0"/>
        <w:jc w:val="center"/>
      </w:pPr>
      <w:r>
        <w:rPr>
          <w:rFonts w:ascii="Arial" w:cs="Arial" w:eastAsia="Arial" w:hAnsi="Arial"/>
          <w:b/>
          <w:bCs/>
          <w:color w:val="1A3C34"/>
          <w:sz w:val="44"/>
          <w:szCs w:val="44"/>
        </w:rPr>
        <w:t xml:space="preserve">Recurrent Neural Network (RNN) for Text Generation</w:t>
      </w:r>
    </w:p>
    <w:p>
      <w:pPr>
        <w:spacing w:after="60" w:before="0"/>
        <w:jc w:val="center"/>
      </w:pPr>
      <w:r>
        <w:rPr>
          <w:rFonts w:ascii="Arial" w:cs="Arial" w:eastAsia="Arial" w:hAnsi="Arial"/>
          <w:b/>
          <w:bCs/>
          <w:color w:val="2C3E35"/>
          <w:sz w:val="32"/>
          <w:szCs w:val="32"/>
        </w:rPr>
        <w:t xml:space="preserve">using LSTM Layers</w:t>
      </w:r>
    </w:p>
    <w:p>
      <w:pPr>
        <w:spacing w:after="0" w:before="60"/>
      </w:pPr>
    </w:p>
    <w:p>
      <w:pPr>
        <w:spacing w:after="40" w:before="0"/>
        <w:jc w:val="center"/>
      </w:pPr>
      <w:r>
        <w:rPr>
          <w:rFonts w:ascii="Arial" w:cs="Arial" w:eastAsia="Arial" w:hAnsi="Arial"/>
          <w:b/>
          <w:bCs/>
          <w:color w:val="2D2D2D"/>
          <w:sz w:val="22"/>
          <w:szCs w:val="22"/>
        </w:rPr>
        <w:t xml:space="preserve">Tayyabah Rehman</w:t>
      </w:r>
    </w:p>
    <w:p>
      <w:pPr>
        <w:spacing w:after="200" w:before="0"/>
        <w:jc w:val="center"/>
      </w:pPr>
      <w:r>
        <w:rPr>
          <w:rFonts w:ascii="Arial" w:cs="Arial" w:eastAsia="Arial" w:hAnsi="Arial"/>
          <w:color w:val="2D2D2D"/>
          <w:sz w:val="20"/>
          <w:szCs w:val="20"/>
        </w:rPr>
        <w:t xml:space="preserve">MPhil Artificial Intelligence  |  University of the Punjab, Lahore</w:t>
      </w:r>
    </w:p>
    <w:p>
      <w:pPr>
        <w:pBdr>
          <w:bottom w:val="single" w:color="2E6B4F" w:sz="8" w:space="1"/>
        </w:pBdr>
        <w:spacing w:after="160" w:before="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160"/>
            <w:tcBorders>
              <w:top w:val="none" w:color="FFFFFF" w:sz="0"/>
              <w:left w:val="none" w:color="FFFFFF" w:sz="0"/>
              <w:bottom w:val="none" w:color="FFFFFF" w:sz="0"/>
              <w:right w:val="none" w:color="FFFFFF" w:sz="0"/>
            </w:tcBorders>
            <w:shd w:fill="E8F2EE" w:val="clear"/>
            <w:tcMar>
              <w:top w:type="dxa" w:w="160"/>
              <w:left w:type="dxa" w:w="160"/>
              <w:bottom w:type="dxa" w:w="160"/>
              <w:right w:type="dxa" w:w="160"/>
            </w:tcMar>
            <w:vAlign w:val="center"/>
          </w:tcPr>
          <w:p>
            <w:pPr>
              <w:spacing w:after="30" w:before="0"/>
              <w:jc w:val="center"/>
            </w:pPr>
            <w:r>
              <w:rPr>
                <w:rFonts w:ascii="Arial" w:cs="Arial" w:eastAsia="Arial" w:hAnsi="Arial"/>
                <w:b/>
                <w:bCs/>
                <w:color w:val="1A3C34"/>
                <w:sz w:val="36"/>
                <w:szCs w:val="36"/>
              </w:rPr>
              <w:t xml:space="preserve">1.1M+</w:t>
            </w:r>
          </w:p>
          <w:p>
            <w:pPr>
              <w:spacing w:after="0" w:before="0"/>
              <w:jc w:val="center"/>
            </w:pPr>
            <w:r>
              <w:rPr>
                <w:rFonts w:ascii="Arial" w:cs="Arial" w:eastAsia="Arial" w:hAnsi="Arial"/>
                <w:color w:val="2D2D2D"/>
                <w:sz w:val="18"/>
                <w:szCs w:val="18"/>
              </w:rPr>
              <w:t xml:space="preserve">Total Characters</w:t>
            </w:r>
          </w:p>
        </w:tc>
        <w:tc>
          <w:tcPr>
            <w:tcW w:type="dxa" w:w="2160"/>
            <w:tcBorders>
              <w:top w:val="none" w:color="FFFFFF" w:sz="0"/>
              <w:left w:val="none" w:color="FFFFFF" w:sz="0"/>
              <w:bottom w:val="none" w:color="FFFFFF" w:sz="0"/>
              <w:right w:val="none" w:color="FFFFFF" w:sz="0"/>
            </w:tcBorders>
            <w:shd w:fill="E8F2EE" w:val="clear"/>
            <w:tcMar>
              <w:top w:type="dxa" w:w="160"/>
              <w:left w:type="dxa" w:w="160"/>
              <w:bottom w:type="dxa" w:w="160"/>
              <w:right w:type="dxa" w:w="160"/>
            </w:tcMar>
            <w:vAlign w:val="center"/>
          </w:tcPr>
          <w:p>
            <w:pPr>
              <w:spacing w:after="30" w:before="0"/>
              <w:jc w:val="center"/>
            </w:pPr>
            <w:r>
              <w:rPr>
                <w:rFonts w:ascii="Arial" w:cs="Arial" w:eastAsia="Arial" w:hAnsi="Arial"/>
                <w:b/>
                <w:bCs/>
                <w:color w:val="1A3C34"/>
                <w:sz w:val="36"/>
                <w:szCs w:val="36"/>
              </w:rPr>
              <w:t xml:space="preserve">65 chars</w:t>
            </w:r>
          </w:p>
          <w:p>
            <w:pPr>
              <w:spacing w:after="0" w:before="0"/>
              <w:jc w:val="center"/>
            </w:pPr>
            <w:r>
              <w:rPr>
                <w:rFonts w:ascii="Arial" w:cs="Arial" w:eastAsia="Arial" w:hAnsi="Arial"/>
                <w:color w:val="2D2D2D"/>
                <w:sz w:val="18"/>
                <w:szCs w:val="18"/>
              </w:rPr>
              <w:t xml:space="preserve">Vocabulary Size</w:t>
            </w:r>
          </w:p>
        </w:tc>
        <w:tc>
          <w:tcPr>
            <w:tcW w:type="dxa" w:w="2160"/>
            <w:tcBorders>
              <w:top w:val="none" w:color="FFFFFF" w:sz="0"/>
              <w:left w:val="none" w:color="FFFFFF" w:sz="0"/>
              <w:bottom w:val="none" w:color="FFFFFF" w:sz="0"/>
              <w:right w:val="none" w:color="FFFFFF" w:sz="0"/>
            </w:tcBorders>
            <w:shd w:fill="E8F2EE" w:val="clear"/>
            <w:tcMar>
              <w:top w:type="dxa" w:w="160"/>
              <w:left w:type="dxa" w:w="160"/>
              <w:bottom w:type="dxa" w:w="160"/>
              <w:right w:type="dxa" w:w="160"/>
            </w:tcMar>
            <w:vAlign w:val="center"/>
          </w:tcPr>
          <w:p>
            <w:pPr>
              <w:spacing w:after="30" w:before="0"/>
              <w:jc w:val="center"/>
            </w:pPr>
            <w:r>
              <w:rPr>
                <w:rFonts w:ascii="Arial" w:cs="Arial" w:eastAsia="Arial" w:hAnsi="Arial"/>
                <w:b/>
                <w:bCs/>
                <w:color w:val="1A3C34"/>
                <w:sz w:val="36"/>
                <w:szCs w:val="36"/>
              </w:rPr>
              <w:t xml:space="preserve">40,000</w:t>
            </w:r>
          </w:p>
          <w:p>
            <w:pPr>
              <w:spacing w:after="0" w:before="0"/>
              <w:jc w:val="center"/>
            </w:pPr>
            <w:r>
              <w:rPr>
                <w:rFonts w:ascii="Arial" w:cs="Arial" w:eastAsia="Arial" w:hAnsi="Arial"/>
                <w:color w:val="2D2D2D"/>
                <w:sz w:val="18"/>
                <w:szCs w:val="18"/>
              </w:rPr>
              <w:t xml:space="preserve">Training Sequences</w:t>
            </w:r>
          </w:p>
        </w:tc>
        <w:tc>
          <w:tcPr>
            <w:tcW w:type="dxa" w:w="2160"/>
            <w:tcBorders>
              <w:top w:val="none" w:color="FFFFFF" w:sz="0"/>
              <w:left w:val="none" w:color="FFFFFF" w:sz="0"/>
              <w:bottom w:val="none" w:color="FFFFFF" w:sz="0"/>
              <w:right w:val="none" w:color="FFFFFF" w:sz="0"/>
            </w:tcBorders>
            <w:shd w:fill="E8F2EE" w:val="clear"/>
            <w:tcMar>
              <w:top w:type="dxa" w:w="160"/>
              <w:left w:type="dxa" w:w="160"/>
              <w:bottom w:type="dxa" w:w="160"/>
              <w:right w:type="dxa" w:w="160"/>
            </w:tcMar>
            <w:vAlign w:val="center"/>
          </w:tcPr>
          <w:p>
            <w:pPr>
              <w:spacing w:after="30" w:before="0"/>
              <w:jc w:val="center"/>
            </w:pPr>
            <w:r>
              <w:rPr>
                <w:rFonts w:ascii="Arial" w:cs="Arial" w:eastAsia="Arial" w:hAnsi="Arial"/>
                <w:b/>
                <w:bCs/>
                <w:color w:val="1A3C34"/>
                <w:sz w:val="36"/>
                <w:szCs w:val="36"/>
              </w:rPr>
              <w:t xml:space="preserve">~296K</w:t>
            </w:r>
          </w:p>
          <w:p>
            <w:pPr>
              <w:spacing w:after="0" w:before="0"/>
              <w:jc w:val="center"/>
            </w:pPr>
            <w:r>
              <w:rPr>
                <w:rFonts w:ascii="Arial" w:cs="Arial" w:eastAsia="Arial" w:hAnsi="Arial"/>
                <w:color w:val="2D2D2D"/>
                <w:sz w:val="18"/>
                <w:szCs w:val="18"/>
              </w:rPr>
              <w:t xml:space="preserve">Model Parameters</w:t>
            </w:r>
          </w:p>
        </w:tc>
      </w:tr>
    </w:tbl>
    <w:p>
      <w:pPr>
        <w:spacing w:after="0" w:before="200"/>
      </w:pPr>
    </w:p>
    <w:p>
      <w:pPr>
        <w:spacing w:after="60" w:before="360"/>
      </w:pPr>
      <w:r>
        <w:rPr>
          <w:rFonts w:ascii="Arial" w:cs="Arial" w:eastAsia="Arial" w:hAnsi="Arial"/>
          <w:b/>
          <w:bCs/>
          <w:color w:val="1A3C34"/>
          <w:sz w:val="28"/>
          <w:szCs w:val="28"/>
        </w:rPr>
        <w:t xml:space="preserve">1.  Project Overview</w:t>
      </w:r>
    </w:p>
    <w:p>
      <w:pPr>
        <w:pBdr>
          <w:bottom w:val="single" w:color="2E6B4F" w:sz="8" w:space="1"/>
        </w:pBdr>
        <w:spacing w:after="160" w:before="0"/>
      </w:pPr>
    </w:p>
    <w:p>
      <w:pPr>
        <w:spacing w:after="60" w:before="60"/>
      </w:pPr>
      <w:r>
        <w:rPr>
          <w:rFonts w:ascii="Arial" w:cs="Arial" w:eastAsia="Arial" w:hAnsi="Arial"/>
          <w:color w:val="2D2D2D"/>
          <w:sz w:val="20"/>
          <w:szCs w:val="20"/>
        </w:rPr>
        <w:t xml:space="preserve">This project develops and trains a character-level Recurrent Neural Network (RNN) built on stacked Long Short-Term Memory (LSTM) layers to model and generate coherent text sequences. Using a portion of Shakespeare's complete works as the training corpus, the model learns statistical regularities in character transitions, whitespace patterns, punctuation, and dialogue structure. The trained network then synthesises new text by autoregressively sampling from its predicted probability distributions, conditioned on a user-supplied seed string.</w:t>
      </w:r>
    </w:p>
    <w:p>
      <w:pPr>
        <w:spacing w:after="0" w:before="60"/>
      </w:pPr>
    </w:p>
    <w:p>
      <w:pPr>
        <w:spacing w:after="60" w:before="60"/>
      </w:pPr>
      <w:r>
        <w:rPr>
          <w:rFonts w:ascii="Arial" w:cs="Arial" w:eastAsia="Arial" w:hAnsi="Arial"/>
          <w:color w:val="2D2D2D"/>
          <w:sz w:val="20"/>
          <w:szCs w:val="20"/>
        </w:rPr>
        <w:t xml:space="preserve">The project demonstrates a full sequence modelling pipeline — from raw corpus acquisition through vectorised preprocessing, LSTM model construction, Adam-optimised training, and temperature-controlled generation — using TensorFlow/Keras on a constrained memory budget (40,000 sequences).</w:t>
      </w:r>
    </w:p>
    <w:p>
      <w:pPr>
        <w:spacing w:after="0" w:before="80"/>
      </w:pPr>
    </w:p>
    <w:p>
      <w:pPr>
        <w:spacing w:after="60" w:before="360"/>
      </w:pPr>
      <w:r>
        <w:rPr>
          <w:rFonts w:ascii="Arial" w:cs="Arial" w:eastAsia="Arial" w:hAnsi="Arial"/>
          <w:b/>
          <w:bCs/>
          <w:color w:val="1A3C34"/>
          <w:sz w:val="28"/>
          <w:szCs w:val="28"/>
        </w:rPr>
        <w:t xml:space="preserve">2.  Objectives</w:t>
      </w:r>
    </w:p>
    <w:p>
      <w:pPr>
        <w:pBdr>
          <w:bottom w:val="single" w:color="2E6B4F" w:sz="8" w:space="1"/>
        </w:pBdr>
        <w:spacing w:after="160" w:before="0"/>
      </w:pPr>
    </w:p>
    <w:p>
      <w:pPr>
        <w:pStyle w:val="ListParagraph"/>
        <w:numPr>
          <w:ilvl w:val="0"/>
          <w:numId w:val="2"/>
        </w:numPr>
        <w:spacing w:after="40" w:before="40"/>
      </w:pPr>
      <w:r>
        <w:rPr>
          <w:rFonts w:ascii="Arial" w:cs="Arial" w:eastAsia="Arial" w:hAnsi="Arial"/>
          <w:color w:val="2D2D2D"/>
          <w:sz w:val="20"/>
          <w:szCs w:val="20"/>
        </w:rPr>
        <w:t xml:space="preserve">Acquire and preprocess the TinyShakespeare corpus into fixed-length, overlapping character sequences suitable for supervised LSTM training.</w:t>
      </w:r>
    </w:p>
    <w:p>
      <w:pPr>
        <w:pStyle w:val="ListParagraph"/>
        <w:numPr>
          <w:ilvl w:val="0"/>
          <w:numId w:val="2"/>
        </w:numPr>
        <w:spacing w:after="40" w:before="40"/>
      </w:pPr>
      <w:r>
        <w:rPr>
          <w:rFonts w:ascii="Arial" w:cs="Arial" w:eastAsia="Arial" w:hAnsi="Arial"/>
          <w:color w:val="2D2D2D"/>
          <w:sz w:val="20"/>
          <w:szCs w:val="20"/>
        </w:rPr>
        <w:t xml:space="preserve">Design a stacked LSTM architecture with Dropout regularisation and a softmax output layer that predicts the next character over the full vocabulary.</w:t>
      </w:r>
    </w:p>
    <w:p>
      <w:pPr>
        <w:pStyle w:val="ListParagraph"/>
        <w:numPr>
          <w:ilvl w:val="0"/>
          <w:numId w:val="2"/>
        </w:numPr>
        <w:spacing w:after="40" w:before="40"/>
      </w:pPr>
      <w:r>
        <w:rPr>
          <w:rFonts w:ascii="Arial" w:cs="Arial" w:eastAsia="Arial" w:hAnsi="Arial"/>
          <w:color w:val="2D2D2D"/>
          <w:sz w:val="20"/>
          <w:szCs w:val="20"/>
        </w:rPr>
        <w:t xml:space="preserve">Train the model for 50 epochs with Adam optimisation and categorical cross-entropy loss, monitoring both training and validation metrics.</w:t>
      </w:r>
    </w:p>
    <w:p>
      <w:pPr>
        <w:pStyle w:val="ListParagraph"/>
        <w:numPr>
          <w:ilvl w:val="0"/>
          <w:numId w:val="2"/>
        </w:numPr>
        <w:spacing w:after="40" w:before="40"/>
      </w:pPr>
      <w:r>
        <w:rPr>
          <w:rFonts w:ascii="Arial" w:cs="Arial" w:eastAsia="Arial" w:hAnsi="Arial"/>
          <w:color w:val="2D2D2D"/>
          <w:sz w:val="20"/>
          <w:szCs w:val="20"/>
        </w:rPr>
        <w:t xml:space="preserve">Implement a temperature-parameterised generation function that autoregressively extends a seed string into a new sequence of arbitrary length.</w:t>
      </w:r>
    </w:p>
    <w:p>
      <w:pPr>
        <w:pStyle w:val="ListParagraph"/>
        <w:numPr>
          <w:ilvl w:val="0"/>
          <w:numId w:val="2"/>
        </w:numPr>
        <w:spacing w:after="40" w:before="40"/>
      </w:pPr>
      <w:r>
        <w:rPr>
          <w:rFonts w:ascii="Arial" w:cs="Arial" w:eastAsia="Arial" w:hAnsi="Arial"/>
          <w:color w:val="2D2D2D"/>
          <w:sz w:val="20"/>
          <w:szCs w:val="20"/>
        </w:rPr>
        <w:t xml:space="preserve">Evaluate generation quality across four temperature settings and four distinct seed prompts drawn from canonical Shakespearean characters.</w:t>
      </w:r>
    </w:p>
    <w:p>
      <w:pPr>
        <w:spacing w:after="0" w:before="80"/>
      </w:pPr>
    </w:p>
    <w:p>
      <w:pPr>
        <w:spacing w:after="60" w:before="360"/>
      </w:pPr>
      <w:r>
        <w:rPr>
          <w:rFonts w:ascii="Arial" w:cs="Arial" w:eastAsia="Arial" w:hAnsi="Arial"/>
          <w:b/>
          <w:bCs/>
          <w:color w:val="1A3C34"/>
          <w:sz w:val="28"/>
          <w:szCs w:val="28"/>
        </w:rPr>
        <w:t xml:space="preserve">3.  Dataset and Preprocessing</w:t>
      </w:r>
    </w:p>
    <w:p>
      <w:pPr>
        <w:pBdr>
          <w:bottom w:val="single" w:color="2E6B4F" w:sz="8" w:space="1"/>
        </w:pBdr>
        <w:spacing w:after="160" w:before="0"/>
      </w:pPr>
    </w:p>
    <w:p>
      <w:pPr>
        <w:spacing w:after="60" w:before="240"/>
      </w:pPr>
      <w:r>
        <w:rPr>
          <w:rFonts w:ascii="Arial" w:cs="Arial" w:eastAsia="Arial" w:hAnsi="Arial"/>
          <w:b/>
          <w:bCs/>
          <w:color w:val="2C3E35"/>
          <w:sz w:val="24"/>
          <w:szCs w:val="24"/>
        </w:rPr>
        <w:t xml:space="preserve">3.1  Corpus</w:t>
      </w:r>
    </w:p>
    <w:p>
      <w:pPr>
        <w:spacing w:after="60" w:before="60"/>
      </w:pPr>
      <w:r>
        <w:rPr>
          <w:rFonts w:ascii="Arial" w:cs="Arial" w:eastAsia="Arial" w:hAnsi="Arial"/>
          <w:color w:val="2D2D2D"/>
          <w:sz w:val="20"/>
          <w:szCs w:val="20"/>
        </w:rPr>
        <w:t xml:space="preserve">The corpus is the TinyShakespeare dataset (Karpathy, 2015), fetched directly from GitHub at runtime. It contains the dialogue of multiple plays rendered as a single flat text file with character names, stage directions, and verse. The dataset is used exclusively at the character level, meaning no word-level tokenisation or stemming is applied.</w:t>
      </w:r>
    </w:p>
    <w:p>
      <w:pPr>
        <w:spacing w:after="0" w:before="60"/>
      </w:pPr>
    </w:p>
    <w:p>
      <w:pPr>
        <w:spacing w:after="60" w:before="240"/>
      </w:pPr>
      <w:r>
        <w:rPr>
          <w:rFonts w:ascii="Arial" w:cs="Arial" w:eastAsia="Arial" w:hAnsi="Arial"/>
          <w:b/>
          <w:bCs/>
          <w:color w:val="2C3E35"/>
          <w:sz w:val="24"/>
          <w:szCs w:val="24"/>
        </w:rPr>
        <w:t xml:space="preserve">3.2  Vocabulary Construction</w:t>
      </w:r>
    </w:p>
    <w:p>
      <w:pPr>
        <w:spacing w:after="60" w:before="60"/>
      </w:pPr>
      <w:r>
        <w:rPr>
          <w:rFonts w:ascii="Arial" w:cs="Arial" w:eastAsia="Arial" w:hAnsi="Arial"/>
          <w:color w:val="2D2D2D"/>
          <w:sz w:val="20"/>
          <w:szCs w:val="20"/>
        </w:rPr>
        <w:t xml:space="preserve">All unique characters in the corpus are sorted and enumerated to produce a bidirectional lookup — char_to_idx and idx_to_char — with a vocabulary size of 65 characters. This encompasses lowercase and uppercase letters, digits, punctuation, newline, and space. No special padding or unknown tokens are added.</w:t>
      </w:r>
    </w:p>
    <w:p>
      <w:pPr>
        <w:spacing w:after="0" w:before="60"/>
      </w:pPr>
    </w:p>
    <w:p>
      <w:pPr>
        <w:spacing w:after="60" w:before="240"/>
      </w:pPr>
      <w:r>
        <w:rPr>
          <w:rFonts w:ascii="Arial" w:cs="Arial" w:eastAsia="Arial" w:hAnsi="Arial"/>
          <w:b/>
          <w:bCs/>
          <w:color w:val="2C3E35"/>
          <w:sz w:val="24"/>
          <w:szCs w:val="24"/>
        </w:rPr>
        <w:t xml:space="preserve">3.3  Sequence Generation</w:t>
      </w:r>
    </w:p>
    <w:p>
      <w:pPr>
        <w:spacing w:after="60" w:before="60"/>
      </w:pPr>
      <w:r>
        <w:rPr>
          <w:rFonts w:ascii="Arial" w:cs="Arial" w:eastAsia="Arial" w:hAnsi="Arial"/>
          <w:color w:val="2D2D2D"/>
          <w:sz w:val="20"/>
          <w:szCs w:val="20"/>
        </w:rPr>
        <w:t xml:space="preserve">Input sequences of length 100 are extracted with a sliding window step of 3. Each sequence is paired with the immediately following character as its target label. Generation is capped at 40,000 sequences to prevent out-of-memory conditions on standard hardware. The resulting dataset is split 90/10 into training and validation sets.</w:t>
      </w:r>
    </w:p>
    <w:p>
      <w:pPr>
        <w:spacing w:after="0" w:before="60"/>
      </w:pPr>
    </w:p>
    <w:p>
      <w:pPr>
        <w:spacing w:after="60" w:before="240"/>
      </w:pPr>
      <w:r>
        <w:rPr>
          <w:rFonts w:ascii="Arial" w:cs="Arial" w:eastAsia="Arial" w:hAnsi="Arial"/>
          <w:b/>
          <w:bCs/>
          <w:color w:val="2C3E35"/>
          <w:sz w:val="24"/>
          <w:szCs w:val="24"/>
        </w:rPr>
        <w:t xml:space="preserve">3.4  Vectorisation</w:t>
      </w:r>
    </w:p>
    <w:p>
      <w:pPr>
        <w:spacing w:after="60" w:before="60"/>
      </w:pPr>
      <w:r>
        <w:rPr>
          <w:rFonts w:ascii="Arial" w:cs="Arial" w:eastAsia="Arial" w:hAnsi="Arial"/>
          <w:color w:val="2D2D2D"/>
          <w:sz w:val="20"/>
          <w:szCs w:val="20"/>
        </w:rPr>
        <w:t xml:space="preserve">Each input sequence is one-hot encoded into a 3-D NumPy array of shape (N, 100, 65) and stored as float32. Each target is similarly one-hot encoded into shape (N, 65). This direct encoding avoids an embedding layer, keeping the architecture straightforward at the cost of higher memory consumption per sample.</w:t>
      </w:r>
    </w:p>
    <w:p>
      <w:pPr>
        <w:spacing w:after="0" w:before="80"/>
      </w:pPr>
    </w:p>
    <w:p>
      <w:pPr>
        <w:spacing w:after="60" w:before="360"/>
      </w:pPr>
      <w:r>
        <w:rPr>
          <w:rFonts w:ascii="Arial" w:cs="Arial" w:eastAsia="Arial" w:hAnsi="Arial"/>
          <w:b/>
          <w:bCs/>
          <w:color w:val="1A3C34"/>
          <w:sz w:val="28"/>
          <w:szCs w:val="28"/>
        </w:rPr>
        <w:t xml:space="preserve">4.  Model Architecture</w:t>
      </w:r>
    </w:p>
    <w:p>
      <w:pPr>
        <w:pBdr>
          <w:bottom w:val="single" w:color="2E6B4F" w:sz="8" w:space="1"/>
        </w:pBdr>
        <w:spacing w:after="160" w:before="0"/>
      </w:pPr>
    </w:p>
    <w:p>
      <w:pPr>
        <w:spacing w:after="60" w:before="60"/>
      </w:pPr>
      <w:r>
        <w:rPr>
          <w:rFonts w:ascii="Arial" w:cs="Arial" w:eastAsia="Arial" w:hAnsi="Arial"/>
          <w:color w:val="2D2D2D"/>
          <w:sz w:val="20"/>
          <w:szCs w:val="20"/>
        </w:rPr>
        <w:t xml:space="preserve">The network is built with the Keras Sequential API. The table below details each layer, its configuration, and its functional role.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Layer</w:t>
            </w:r>
          </w:p>
        </w:tc>
        <w:tc>
          <w:tcPr>
            <w:tcW w:type="dxa" w:w="200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Type</w:t>
            </w:r>
          </w:p>
        </w:tc>
        <w:tc>
          <w:tcPr>
            <w:tcW w:type="dxa" w:w="180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Units / Size</w:t>
            </w:r>
          </w:p>
        </w:tc>
        <w:tc>
          <w:tcPr>
            <w:tcW w:type="dxa" w:w="336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Input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LSTM (1)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128 units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Processes sequences; return_sequences=True feeds stacked LSTM</w:t>
            </w:r>
          </w:p>
        </w:tc>
      </w:tr>
      <w:tr>
        <w:tc>
          <w:tcPr>
            <w:tcW w:type="dxa" w:w="22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Regularisation</w:t>
            </w:r>
          </w:p>
        </w:tc>
        <w:tc>
          <w:tcPr>
            <w:tcW w:type="dxa" w:w="20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Dropout</w:t>
            </w:r>
          </w:p>
        </w:tc>
        <w:tc>
          <w:tcPr>
            <w:tcW w:type="dxa" w:w="18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Rate 0.2</w:t>
            </w:r>
          </w:p>
        </w:tc>
        <w:tc>
          <w:tcPr>
            <w:tcW w:type="dxa" w:w="336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Prevents co-adaptation of neurons; reduces overfitting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Hidden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LSTM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128 units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Deepens temporal abstraction; returns final hidden state only</w:t>
            </w:r>
          </w:p>
        </w:tc>
      </w:tr>
      <w:tr>
        <w:tc>
          <w:tcPr>
            <w:tcW w:type="dxa" w:w="22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Regularisation</w:t>
            </w:r>
          </w:p>
        </w:tc>
        <w:tc>
          <w:tcPr>
            <w:tcW w:type="dxa" w:w="20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Dropout</w:t>
            </w:r>
          </w:p>
        </w:tc>
        <w:tc>
          <w:tcPr>
            <w:tcW w:type="dxa" w:w="18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Rate 0.2</w:t>
            </w:r>
          </w:p>
        </w:tc>
        <w:tc>
          <w:tcPr>
            <w:tcW w:type="dxa" w:w="336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Second regularisation stage before output projection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Output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Dense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65 units (vocab)</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Softmax over full vocabulary; yields next-character probability distribution</w:t>
            </w:r>
          </w:p>
        </w:tc>
      </w:tr>
    </w:tbl>
    <w:p>
      <w:pPr>
        <w:spacing w:after="0" w:before="120"/>
      </w:pPr>
    </w:p>
    <w:p>
      <w:pPr>
        <w:spacing w:after="60" w:before="240"/>
      </w:pPr>
      <w:r>
        <w:rPr>
          <w:rFonts w:ascii="Arial" w:cs="Arial" w:eastAsia="Arial" w:hAnsi="Arial"/>
          <w:b/>
          <w:bCs/>
          <w:color w:val="2C3E35"/>
          <w:sz w:val="24"/>
          <w:szCs w:val="24"/>
        </w:rPr>
        <w:t xml:space="preserve">Why Stacked LSTMs?</w:t>
      </w:r>
    </w:p>
    <w:p>
      <w:pPr>
        <w:spacing w:after="60" w:before="60"/>
      </w:pPr>
      <w:r>
        <w:rPr>
          <w:rFonts w:ascii="Arial" w:cs="Arial" w:eastAsia="Arial" w:hAnsi="Arial"/>
          <w:color w:val="2D2D2D"/>
          <w:sz w:val="20"/>
          <w:szCs w:val="20"/>
        </w:rPr>
        <w:t xml:space="preserve">A single LSTM layer can capture first-order sequential dependencies, but text generation benefits from hierarchical abstraction: the first LSTM encodes low-level character co-occurrence patterns while the second integrates these into higher-level stylistic representations (sentence rhythm, dialogue turn structure). Dropout at 0.2 after each LSTM stage prevents co-adaptation without sacrificing too much representational capacity at this model scale.</w:t>
      </w:r>
    </w:p>
    <w:p>
      <w:pPr>
        <w:spacing w:after="0" w:before="60"/>
      </w:pPr>
    </w:p>
    <w:p>
      <w:pPr>
        <w:spacing w:after="60" w:before="240"/>
      </w:pPr>
      <w:r>
        <w:rPr>
          <w:rFonts w:ascii="Arial" w:cs="Arial" w:eastAsia="Arial" w:hAnsi="Arial"/>
          <w:b/>
          <w:bCs/>
          <w:color w:val="2C3E35"/>
          <w:sz w:val="24"/>
          <w:szCs w:val="24"/>
        </w:rPr>
        <w:t xml:space="preserve">Softmax Output</w:t>
      </w:r>
    </w:p>
    <w:p>
      <w:pPr>
        <w:spacing w:after="60" w:before="60"/>
      </w:pPr>
      <w:r>
        <w:rPr>
          <w:rFonts w:ascii="Arial" w:cs="Arial" w:eastAsia="Arial" w:hAnsi="Arial"/>
          <w:color w:val="2D2D2D"/>
          <w:sz w:val="20"/>
          <w:szCs w:val="20"/>
        </w:rPr>
        <w:t xml:space="preserve">The final Dense layer projects the 128-dimensional LSTM state onto a 65-dimensional vector and normalises it with softmax. During generation, this probability vector is re-scaled by a temperature parameter before sampling, allowing fine-grained control over the randomness of predictions.</w:t>
      </w:r>
    </w:p>
    <w:p>
      <w:pPr>
        <w:spacing w:after="0" w:before="80"/>
      </w:pPr>
    </w:p>
    <w:p>
      <w:pPr>
        <w:spacing w:after="60" w:before="360"/>
      </w:pPr>
      <w:r>
        <w:rPr>
          <w:rFonts w:ascii="Arial" w:cs="Arial" w:eastAsia="Arial" w:hAnsi="Arial"/>
          <w:b/>
          <w:bCs/>
          <w:color w:val="1A3C34"/>
          <w:sz w:val="28"/>
          <w:szCs w:val="28"/>
        </w:rPr>
        <w:t xml:space="preserve">5.  Training Configuration</w:t>
      </w:r>
    </w:p>
    <w:p>
      <w:pPr>
        <w:pBdr>
          <w:bottom w:val="single" w:color="2E6B4F"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Hyperparameter</w:t>
            </w:r>
          </w:p>
        </w:tc>
        <w:tc>
          <w:tcPr>
            <w:tcW w:type="dxa" w:w="312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Value</w:t>
            </w:r>
          </w:p>
        </w:tc>
        <w:tc>
          <w:tcPr>
            <w:tcW w:type="dxa" w:w="312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Optimiser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Adam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Adaptive learning rate; robust for RNN training</w:t>
            </w:r>
          </w:p>
        </w:tc>
      </w:tr>
      <w:tr>
        <w:tc>
          <w:tcPr>
            <w:tcW w:type="dxa" w:w="312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Loss Function</w:t>
            </w:r>
          </w:p>
        </w:tc>
        <w:tc>
          <w:tcPr>
            <w:tcW w:type="dxa" w:w="312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Categorical Cross-Entropy</w:t>
            </w:r>
          </w:p>
        </w:tc>
        <w:tc>
          <w:tcPr>
            <w:tcW w:type="dxa" w:w="312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Standard for one-hot multi-class classification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Epochs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50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Sufficient for convergence on the sequence volume</w:t>
            </w:r>
          </w:p>
        </w:tc>
      </w:tr>
      <w:tr>
        <w:tc>
          <w:tcPr>
            <w:tcW w:type="dxa" w:w="312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Batch Size</w:t>
            </w:r>
          </w:p>
        </w:tc>
        <w:tc>
          <w:tcPr>
            <w:tcW w:type="dxa" w:w="312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128</w:t>
            </w:r>
          </w:p>
        </w:tc>
        <w:tc>
          <w:tcPr>
            <w:tcW w:type="dxa" w:w="312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Balances GPU utilisation with gradient stability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Sequence Length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100 characters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Captures sufficient context for coherent generation</w:t>
            </w:r>
          </w:p>
        </w:tc>
      </w:tr>
      <w:tr>
        <w:tc>
          <w:tcPr>
            <w:tcW w:type="dxa" w:w="312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Sliding Step</w:t>
            </w:r>
          </w:p>
        </w:tc>
        <w:tc>
          <w:tcPr>
            <w:tcW w:type="dxa" w:w="312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3 characters</w:t>
            </w:r>
          </w:p>
        </w:tc>
        <w:tc>
          <w:tcPr>
            <w:tcW w:type="dxa" w:w="312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Dense overlap maximises training data from corpus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Train/Val Split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90% / 10%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Standard split; EarlyStopping monitors val_loss</w:t>
            </w:r>
          </w:p>
        </w:tc>
      </w:tr>
    </w:tbl>
    <w:p>
      <w:pPr>
        <w:spacing w:after="0" w:before="120"/>
      </w:pPr>
    </w:p>
    <w:p>
      <w:pPr>
        <w:spacing w:after="60" w:before="240"/>
      </w:pPr>
      <w:r>
        <w:rPr>
          <w:rFonts w:ascii="Arial" w:cs="Arial" w:eastAsia="Arial" w:hAnsi="Arial"/>
          <w:b/>
          <w:bCs/>
          <w:color w:val="2C3E35"/>
          <w:sz w:val="24"/>
          <w:szCs w:val="24"/>
        </w:rPr>
        <w:t xml:space="preserve">Training Dynamics</w:t>
      </w:r>
    </w:p>
    <w:p>
      <w:pPr>
        <w:spacing w:after="60" w:before="60"/>
      </w:pPr>
      <w:r>
        <w:rPr>
          <w:rFonts w:ascii="Arial" w:cs="Arial" w:eastAsia="Arial" w:hAnsi="Arial"/>
          <w:color w:val="2D2D2D"/>
          <w:sz w:val="20"/>
          <w:szCs w:val="20"/>
        </w:rPr>
        <w:t xml:space="preserve">The model converges steadily over 50 epochs. Training loss decreases from an initial high value driven by random initialisation toward a lower asymptote as the model memorises character-level transition probabilities. Validation loss tracks training loss closely in early epochs; the 0.2 Dropout rate and the 10% validation hold-out together act as a regularisation signal. EarlyStopping (monitor: val_loss) is configured to halt training and restore the best weights if generalisation begins to degrade, preventing unnecessary computation.</w:t>
      </w:r>
    </w:p>
    <w:p>
      <w:pPr>
        <w:spacing w:after="0" w:before="80"/>
      </w:pPr>
    </w:p>
    <w:p>
      <w:pPr>
        <w:spacing w:after="60" w:before="360"/>
      </w:pPr>
      <w:r>
        <w:rPr>
          <w:rFonts w:ascii="Arial" w:cs="Arial" w:eastAsia="Arial" w:hAnsi="Arial"/>
          <w:b/>
          <w:bCs/>
          <w:color w:val="1A3C34"/>
          <w:sz w:val="28"/>
          <w:szCs w:val="28"/>
        </w:rPr>
        <w:t xml:space="preserve">6.  Text Generation Methodology</w:t>
      </w:r>
    </w:p>
    <w:p>
      <w:pPr>
        <w:pBdr>
          <w:bottom w:val="single" w:color="2E6B4F" w:sz="8" w:space="1"/>
        </w:pBdr>
        <w:spacing w:after="160" w:before="0"/>
      </w:pPr>
    </w:p>
    <w:p>
      <w:pPr>
        <w:spacing w:after="60" w:before="240"/>
      </w:pPr>
      <w:r>
        <w:rPr>
          <w:rFonts w:ascii="Arial" w:cs="Arial" w:eastAsia="Arial" w:hAnsi="Arial"/>
          <w:b/>
          <w:bCs/>
          <w:color w:val="2C3E35"/>
          <w:sz w:val="24"/>
          <w:szCs w:val="24"/>
        </w:rPr>
        <w:t xml:space="preserve">6.1  Autoregressive Sampling</w:t>
      </w:r>
    </w:p>
    <w:p>
      <w:pPr>
        <w:spacing w:after="60" w:before="60"/>
      </w:pPr>
      <w:r>
        <w:rPr>
          <w:rFonts w:ascii="Arial" w:cs="Arial" w:eastAsia="Arial" w:hAnsi="Arial"/>
          <w:color w:val="2D2D2D"/>
          <w:sz w:val="20"/>
          <w:szCs w:val="20"/>
        </w:rPr>
        <w:t xml:space="preserve">At inference time, the generate_text function maintains a rolling context window of 100 characters. For each generation step, the window is one-hot encoded and passed through the trained model to obtain a 65-dimensional probability vector. Temperature scaling is applied by dividing the log-probabilities by the temperature constant and re-exponentiating, then re-normalising. A character index is drawn via numpy.random.choice with the scaled distribution as weights, appended to the generated string, and the window advances by one character.</w:t>
      </w:r>
    </w:p>
    <w:p>
      <w:pPr>
        <w:spacing w:after="0" w:before="60"/>
      </w:pPr>
    </w:p>
    <w:p>
      <w:pPr>
        <w:spacing w:after="60" w:before="240"/>
      </w:pPr>
      <w:r>
        <w:rPr>
          <w:rFonts w:ascii="Arial" w:cs="Arial" w:eastAsia="Arial" w:hAnsi="Arial"/>
          <w:b/>
          <w:bCs/>
          <w:color w:val="2C3E35"/>
          <w:sz w:val="24"/>
          <w:szCs w:val="24"/>
        </w:rPr>
        <w:t xml:space="preserve">6.2  Temperature Scaling</w:t>
      </w:r>
    </w:p>
    <w:p>
      <w:pPr>
        <w:spacing w:after="60" w:before="60"/>
      </w:pPr>
      <w:r>
        <w:rPr>
          <w:rFonts w:ascii="Arial" w:cs="Arial" w:eastAsia="Arial" w:hAnsi="Arial"/>
          <w:color w:val="2D2D2D"/>
          <w:sz w:val="20"/>
          <w:szCs w:val="20"/>
        </w:rPr>
        <w:t xml:space="preserve">Temperature is the sole inference hyperparameter. Values below 1.0 sharpen the distribution toward its mode, producing more repetitive but grammatically stable output. Values above 1.0 flatten the distribution, increasing lexical diversity at the cost of coherence. This project evaluates four settings: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Temperature</w:t>
            </w:r>
          </w:p>
        </w:tc>
        <w:tc>
          <w:tcPr>
            <w:tcW w:type="dxa" w:w="260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Behaviour</w:t>
            </w:r>
          </w:p>
        </w:tc>
        <w:tc>
          <w:tcPr>
            <w:tcW w:type="dxa" w:w="520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Observed Characteristic</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0.5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Conservative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High-frequency words repeated; grammatically stable but less expressive</w:t>
            </w:r>
          </w:p>
        </w:tc>
      </w:tr>
      <w:tr>
        <w:tc>
          <w:tcPr>
            <w:tcW w:type="dxa" w:w="156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0.8</w:t>
            </w:r>
          </w:p>
        </w:tc>
        <w:tc>
          <w:tcPr>
            <w:tcW w:type="dxa" w:w="26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Moderately cautious</w:t>
            </w:r>
          </w:p>
        </w:tc>
        <w:tc>
          <w:tcPr>
            <w:tcW w:type="dxa" w:w="52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Good punctuation adherence; Shakespearean vocabulary emerges</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Balanced (default)</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Optimal trade-off; character names and dialogue structure preserved</w:t>
            </w:r>
          </w:p>
        </w:tc>
      </w:tr>
      <w:tr>
        <w:tc>
          <w:tcPr>
            <w:tcW w:type="dxa" w:w="156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1.2</w:t>
            </w:r>
          </w:p>
        </w:tc>
        <w:tc>
          <w:tcPr>
            <w:tcW w:type="dxa" w:w="26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Creative / exploratory</w:t>
            </w:r>
          </w:p>
        </w:tc>
        <w:tc>
          <w:tcPr>
            <w:tcW w:type="dxa" w:w="52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Higher lexical diversity; occasional incoherence in longer sequences</w:t>
            </w:r>
          </w:p>
        </w:tc>
      </w:tr>
    </w:tbl>
    <w:p>
      <w:pPr>
        <w:spacing w:after="0" w:before="120"/>
      </w:pPr>
    </w:p>
    <w:p>
      <w:pPr>
        <w:spacing w:after="60" w:before="240"/>
      </w:pPr>
      <w:r>
        <w:rPr>
          <w:rFonts w:ascii="Arial" w:cs="Arial" w:eastAsia="Arial" w:hAnsi="Arial"/>
          <w:b/>
          <w:bCs/>
          <w:color w:val="2C3E35"/>
          <w:sz w:val="24"/>
          <w:szCs w:val="24"/>
        </w:rPr>
        <w:t xml:space="preserve">6.3  Seed Prompts</w:t>
      </w:r>
    </w:p>
    <w:p>
      <w:pPr>
        <w:spacing w:after="60" w:before="60"/>
      </w:pPr>
      <w:r>
        <w:rPr>
          <w:rFonts w:ascii="Arial" w:cs="Arial" w:eastAsia="Arial" w:hAnsi="Arial"/>
          <w:color w:val="2D2D2D"/>
          <w:sz w:val="20"/>
          <w:szCs w:val="20"/>
        </w:rPr>
        <w:t xml:space="preserve">Four seed strings are used to initialise the generation buffer, each representing a canonical Shakespearean character prefix:</w:t>
      </w:r>
    </w:p>
    <w:p>
      <w:pPr>
        <w:pStyle w:val="ListParagraph"/>
        <w:numPr>
          <w:ilvl w:val="0"/>
          <w:numId w:val="2"/>
        </w:numPr>
        <w:spacing w:after="40" w:before="40"/>
      </w:pPr>
      <w:r>
        <w:rPr>
          <w:rFonts w:ascii="Arial" w:cs="Arial" w:eastAsia="Arial" w:hAnsi="Arial"/>
          <w:color w:val="2D2D2D"/>
          <w:sz w:val="20"/>
          <w:szCs w:val="20"/>
        </w:rPr>
        <w:t xml:space="preserve">"ROMEO: "  —  tests romantic/lyric register</w:t>
      </w:r>
    </w:p>
    <w:p>
      <w:pPr>
        <w:pStyle w:val="ListParagraph"/>
        <w:numPr>
          <w:ilvl w:val="0"/>
          <w:numId w:val="2"/>
        </w:numPr>
        <w:spacing w:after="40" w:before="40"/>
      </w:pPr>
      <w:r>
        <w:rPr>
          <w:rFonts w:ascii="Arial" w:cs="Arial" w:eastAsia="Arial" w:hAnsi="Arial"/>
          <w:color w:val="2D2D2D"/>
          <w:sz w:val="20"/>
          <w:szCs w:val="20"/>
        </w:rPr>
        <w:t xml:space="preserve">"HAMLET: To be "  —  pre-conditions on the most recognisable literary phrase</w:t>
      </w:r>
    </w:p>
    <w:p>
      <w:pPr>
        <w:pStyle w:val="ListParagraph"/>
        <w:numPr>
          <w:ilvl w:val="0"/>
          <w:numId w:val="2"/>
        </w:numPr>
        <w:spacing w:after="40" w:before="40"/>
      </w:pPr>
      <w:r>
        <w:rPr>
          <w:rFonts w:ascii="Arial" w:cs="Arial" w:eastAsia="Arial" w:hAnsi="Arial"/>
          <w:color w:val="2D2D2D"/>
          <w:sz w:val="20"/>
          <w:szCs w:val="20"/>
        </w:rPr>
        <w:t xml:space="preserve">"KING: I have "  —  probes formal, authoritative register</w:t>
      </w:r>
    </w:p>
    <w:p>
      <w:pPr>
        <w:pStyle w:val="ListParagraph"/>
        <w:numPr>
          <w:ilvl w:val="0"/>
          <w:numId w:val="2"/>
        </w:numPr>
        <w:spacing w:after="40" w:before="40"/>
      </w:pPr>
      <w:r>
        <w:rPr>
          <w:rFonts w:ascii="Arial" w:cs="Arial" w:eastAsia="Arial" w:hAnsi="Arial"/>
          <w:color w:val="2D2D2D"/>
          <w:sz w:val="20"/>
          <w:szCs w:val="20"/>
        </w:rPr>
        <w:t xml:space="preserve">"JULIET: My "  —  tests possessive-opener patterns</w:t>
      </w:r>
    </w:p>
    <w:p>
      <w:pPr>
        <w:spacing w:after="0" w:before="60"/>
      </w:pPr>
    </w:p>
    <w:p>
      <w:pPr>
        <w:spacing w:after="60" w:before="60"/>
      </w:pPr>
      <w:r>
        <w:rPr>
          <w:rFonts w:ascii="Arial" w:cs="Arial" w:eastAsia="Arial" w:hAnsi="Arial"/>
          <w:color w:val="2D2D2D"/>
          <w:sz w:val="20"/>
          <w:szCs w:val="20"/>
        </w:rPr>
        <w:t xml:space="preserve">Outputs of 250 characters are generated per seed at temperature 1.0, and 150 characters per seed across all four temperature settings for the comparative analysis.</w:t>
      </w:r>
    </w:p>
    <w:p>
      <w:pPr>
        <w:spacing w:after="0" w:before="80"/>
      </w:pPr>
    </w:p>
    <w:p>
      <w:pPr>
        <w:spacing w:after="60" w:before="360"/>
      </w:pPr>
      <w:r>
        <w:rPr>
          <w:rFonts w:ascii="Arial" w:cs="Arial" w:eastAsia="Arial" w:hAnsi="Arial"/>
          <w:b/>
          <w:bCs/>
          <w:color w:val="1A3C34"/>
          <w:sz w:val="28"/>
          <w:szCs w:val="28"/>
        </w:rPr>
        <w:t xml:space="preserve">7.  Key Findings</w:t>
      </w:r>
    </w:p>
    <w:p>
      <w:pPr>
        <w:pBdr>
          <w:bottom w:val="single" w:color="2E6B4F" w:sz="8" w:space="1"/>
        </w:pBdr>
        <w:spacing w:after="160" w:before="0"/>
      </w:pPr>
    </w:p>
    <w:p>
      <w:pPr>
        <w:spacing w:after="60" w:before="240"/>
      </w:pPr>
      <w:r>
        <w:rPr>
          <w:rFonts w:ascii="Arial" w:cs="Arial" w:eastAsia="Arial" w:hAnsi="Arial"/>
          <w:b/>
          <w:bCs/>
          <w:color w:val="2C3E35"/>
          <w:sz w:val="24"/>
          <w:szCs w:val="24"/>
        </w:rPr>
        <w:t xml:space="preserve">7.1  Corpus Characteristics</w:t>
      </w:r>
    </w:p>
    <w:p>
      <w:pPr>
        <w:pStyle w:val="ListParagraph"/>
        <w:numPr>
          <w:ilvl w:val="0"/>
          <w:numId w:val="2"/>
        </w:numPr>
        <w:spacing w:after="40" w:before="40"/>
      </w:pPr>
      <w:r>
        <w:rPr>
          <w:rFonts w:ascii="Arial" w:cs="Arial" w:eastAsia="Arial" w:hAnsi="Arial"/>
          <w:color w:val="2D2D2D"/>
          <w:sz w:val="20"/>
          <w:szCs w:val="20"/>
        </w:rPr>
        <w:t xml:space="preserve">The TinyShakespeare corpus contains over 1.1 million characters spanning 65 unique tokens, providing rich variation for character-level modelling.</w:t>
      </w:r>
    </w:p>
    <w:p>
      <w:pPr>
        <w:pStyle w:val="ListParagraph"/>
        <w:numPr>
          <w:ilvl w:val="0"/>
          <w:numId w:val="2"/>
        </w:numPr>
        <w:spacing w:after="40" w:before="40"/>
      </w:pPr>
      <w:r>
        <w:rPr>
          <w:rFonts w:ascii="Arial" w:cs="Arial" w:eastAsia="Arial" w:hAnsi="Arial"/>
          <w:color w:val="2D2D2D"/>
          <w:sz w:val="20"/>
          <w:szCs w:val="20"/>
        </w:rPr>
        <w:t xml:space="preserve">The 40,000-sequence cap represents a practical constraint; the full corpus would yield approximately 370,000 sequences at step=3, suggesting further capacity for performance gains with increased memory.</w:t>
      </w:r>
    </w:p>
    <w:p>
      <w:pPr>
        <w:spacing w:after="0" w:before="60"/>
      </w:pPr>
    </w:p>
    <w:p>
      <w:pPr>
        <w:spacing w:after="60" w:before="240"/>
      </w:pPr>
      <w:r>
        <w:rPr>
          <w:rFonts w:ascii="Arial" w:cs="Arial" w:eastAsia="Arial" w:hAnsi="Arial"/>
          <w:b/>
          <w:bCs/>
          <w:color w:val="2C3E35"/>
          <w:sz w:val="24"/>
          <w:szCs w:val="24"/>
        </w:rPr>
        <w:t xml:space="preserve">7.2  Model Convergence</w:t>
      </w:r>
    </w:p>
    <w:p>
      <w:pPr>
        <w:pStyle w:val="ListParagraph"/>
        <w:numPr>
          <w:ilvl w:val="0"/>
          <w:numId w:val="2"/>
        </w:numPr>
        <w:spacing w:after="40" w:before="40"/>
      </w:pPr>
      <w:r>
        <w:rPr>
          <w:rFonts w:ascii="Arial" w:cs="Arial" w:eastAsia="Arial" w:hAnsi="Arial"/>
          <w:color w:val="2D2D2D"/>
          <w:sz w:val="20"/>
          <w:szCs w:val="20"/>
        </w:rPr>
        <w:t xml:space="preserve">The stacked LSTM (approximately 296K parameters) converges within 50 epochs on the capped dataset, demonstrating that relatively compact architectures are sufficient for stylistic imitation at the character level.</w:t>
      </w:r>
    </w:p>
    <w:p>
      <w:pPr>
        <w:pStyle w:val="ListParagraph"/>
        <w:numPr>
          <w:ilvl w:val="0"/>
          <w:numId w:val="2"/>
        </w:numPr>
        <w:spacing w:after="40" w:before="40"/>
      </w:pPr>
      <w:r>
        <w:rPr>
          <w:rFonts w:ascii="Arial" w:cs="Arial" w:eastAsia="Arial" w:hAnsi="Arial"/>
          <w:color w:val="2D2D2D"/>
          <w:sz w:val="20"/>
          <w:szCs w:val="20"/>
        </w:rPr>
        <w:t xml:space="preserve">Validation accuracy tracks training accuracy throughout training, indicating that Dropout at 0.2 provides adequate regularisation for this corpus size and model capacity combination.</w:t>
      </w:r>
    </w:p>
    <w:p>
      <w:pPr>
        <w:pStyle w:val="ListParagraph"/>
        <w:numPr>
          <w:ilvl w:val="0"/>
          <w:numId w:val="2"/>
        </w:numPr>
        <w:spacing w:after="40" w:before="40"/>
      </w:pPr>
      <w:r>
        <w:rPr>
          <w:rFonts w:ascii="Arial" w:cs="Arial" w:eastAsia="Arial" w:hAnsi="Arial"/>
          <w:color w:val="2D2D2D"/>
          <w:sz w:val="20"/>
          <w:szCs w:val="20"/>
        </w:rPr>
        <w:t xml:space="preserve">The best validation accuracy and lowest validation loss are captured by the EarlyStopping callback, ensuring that the saved weights correspond to the optimal generalisation checkpoint.</w:t>
      </w:r>
    </w:p>
    <w:p>
      <w:pPr>
        <w:spacing w:after="0" w:before="60"/>
      </w:pPr>
    </w:p>
    <w:p>
      <w:pPr>
        <w:spacing w:after="60" w:before="240"/>
      </w:pPr>
      <w:r>
        <w:rPr>
          <w:rFonts w:ascii="Arial" w:cs="Arial" w:eastAsia="Arial" w:hAnsi="Arial"/>
          <w:b/>
          <w:bCs/>
          <w:color w:val="2C3E35"/>
          <w:sz w:val="24"/>
          <w:szCs w:val="24"/>
        </w:rPr>
        <w:t xml:space="preserve">7.3  Generation Quality</w:t>
      </w:r>
    </w:p>
    <w:p>
      <w:pPr>
        <w:pStyle w:val="ListParagraph"/>
        <w:numPr>
          <w:ilvl w:val="0"/>
          <w:numId w:val="2"/>
        </w:numPr>
        <w:spacing w:after="40" w:before="40"/>
      </w:pPr>
      <w:r>
        <w:rPr>
          <w:rFonts w:ascii="Arial" w:cs="Arial" w:eastAsia="Arial" w:hAnsi="Arial"/>
          <w:color w:val="2D2D2D"/>
          <w:sz w:val="20"/>
          <w:szCs w:val="20"/>
        </w:rPr>
        <w:t xml:space="preserve">At temperature 1.0, generated sequences consistently reproduce Shakespearean structural markers: character name prefixes in uppercase followed by a colon, line-break patterns consistent with verse, and punctuation habits (comma-heavy phrasing, mid-word apostrophes).</w:t>
      </w:r>
    </w:p>
    <w:p>
      <w:pPr>
        <w:pStyle w:val="ListParagraph"/>
        <w:numPr>
          <w:ilvl w:val="0"/>
          <w:numId w:val="2"/>
        </w:numPr>
        <w:spacing w:after="40" w:before="40"/>
      </w:pPr>
      <w:r>
        <w:rPr>
          <w:rFonts w:ascii="Arial" w:cs="Arial" w:eastAsia="Arial" w:hAnsi="Arial"/>
          <w:color w:val="2D2D2D"/>
          <w:sz w:val="20"/>
          <w:szCs w:val="20"/>
        </w:rPr>
        <w:t xml:space="preserve">The model successfully learns that character names appear at the start of utterances and that dialogue lines have a characteristic length before a newline — emergent structural properties not explicitly encoded during training.</w:t>
      </w:r>
    </w:p>
    <w:p>
      <w:pPr>
        <w:pStyle w:val="ListParagraph"/>
        <w:numPr>
          <w:ilvl w:val="0"/>
          <w:numId w:val="2"/>
        </w:numPr>
        <w:spacing w:after="40" w:before="40"/>
      </w:pPr>
      <w:r>
        <w:rPr>
          <w:rFonts w:ascii="Arial" w:cs="Arial" w:eastAsia="Arial" w:hAnsi="Arial"/>
          <w:color w:val="2D2D2D"/>
          <w:sz w:val="20"/>
          <w:szCs w:val="20"/>
        </w:rPr>
        <w:t xml:space="preserve">At temperature 0.5, output is more repetitive, with the model defaulting to high-frequency function words and common character names, reflecting over-confidence in the mode of the learned distribution.</w:t>
      </w:r>
    </w:p>
    <w:p>
      <w:pPr>
        <w:pStyle w:val="ListParagraph"/>
        <w:numPr>
          <w:ilvl w:val="0"/>
          <w:numId w:val="2"/>
        </w:numPr>
        <w:spacing w:after="40" w:before="40"/>
      </w:pPr>
      <w:r>
        <w:rPr>
          <w:rFonts w:ascii="Arial" w:cs="Arial" w:eastAsia="Arial" w:hAnsi="Arial"/>
          <w:color w:val="2D2D2D"/>
          <w:sz w:val="20"/>
          <w:szCs w:val="20"/>
        </w:rPr>
        <w:t xml:space="preserve">At temperature 1.2, the model occasionally produces non-English character sequences, highlighting the limit of character-level modelling without a word-boundary constraint.</w:t>
      </w:r>
    </w:p>
    <w:p>
      <w:pPr>
        <w:pStyle w:val="ListParagraph"/>
        <w:numPr>
          <w:ilvl w:val="0"/>
          <w:numId w:val="2"/>
        </w:numPr>
        <w:spacing w:after="40" w:before="40"/>
      </w:pPr>
      <w:r>
        <w:rPr>
          <w:rFonts w:ascii="Arial" w:cs="Arial" w:eastAsia="Arial" w:hAnsi="Arial"/>
          <w:color w:val="2D2D2D"/>
          <w:sz w:val="20"/>
          <w:szCs w:val="20"/>
        </w:rPr>
        <w:t xml:space="preserve">The HAMLET seed produced the most contextually recognisable continuation owing to the partial phrase conditioning, demonstrating the value of meaningful seed initialisation.</w:t>
      </w:r>
    </w:p>
    <w:p>
      <w:pPr>
        <w:spacing w:after="0" w:before="60"/>
      </w:pPr>
    </w:p>
    <w:p>
      <w:pPr>
        <w:spacing w:after="60" w:before="240"/>
      </w:pPr>
      <w:r>
        <w:rPr>
          <w:rFonts w:ascii="Arial" w:cs="Arial" w:eastAsia="Arial" w:hAnsi="Arial"/>
          <w:b/>
          <w:bCs/>
          <w:color w:val="2C3E35"/>
          <w:sz w:val="24"/>
          <w:szCs w:val="24"/>
        </w:rPr>
        <w:t xml:space="preserve">7.4  Design Observations</w:t>
      </w:r>
    </w:p>
    <w:p>
      <w:pPr>
        <w:pStyle w:val="ListParagraph"/>
        <w:numPr>
          <w:ilvl w:val="0"/>
          <w:numId w:val="2"/>
        </w:numPr>
        <w:spacing w:after="40" w:before="40"/>
      </w:pPr>
      <w:r>
        <w:rPr>
          <w:rFonts w:ascii="Arial" w:cs="Arial" w:eastAsia="Arial" w:hAnsi="Arial"/>
          <w:color w:val="2D2D2D"/>
          <w:sz w:val="20"/>
          <w:szCs w:val="20"/>
        </w:rPr>
        <w:t xml:space="preserve">One-hot input encoding at vocabulary size 65 is computationally inexpensive for this corpus but would not scale to word-level vocabularies — an embedding layer would be necessary for word-level generation.</w:t>
      </w:r>
    </w:p>
    <w:p>
      <w:pPr>
        <w:pStyle w:val="ListParagraph"/>
        <w:numPr>
          <w:ilvl w:val="0"/>
          <w:numId w:val="2"/>
        </w:numPr>
        <w:spacing w:after="40" w:before="40"/>
      </w:pPr>
      <w:r>
        <w:rPr>
          <w:rFonts w:ascii="Arial" w:cs="Arial" w:eastAsia="Arial" w:hAnsi="Arial"/>
          <w:color w:val="2D2D2D"/>
          <w:sz w:val="20"/>
          <w:szCs w:val="20"/>
        </w:rPr>
        <w:t xml:space="preserve">Character-level modelling natively handles unknown words and rare tokens, making it robust to archaic Shakespearean vocabulary without any special preprocessing.</w:t>
      </w:r>
    </w:p>
    <w:p>
      <w:pPr>
        <w:pStyle w:val="ListParagraph"/>
        <w:numPr>
          <w:ilvl w:val="0"/>
          <w:numId w:val="2"/>
        </w:numPr>
        <w:spacing w:after="40" w:before="40"/>
      </w:pPr>
      <w:r>
        <w:rPr>
          <w:rFonts w:ascii="Arial" w:cs="Arial" w:eastAsia="Arial" w:hAnsi="Arial"/>
          <w:color w:val="2D2D2D"/>
          <w:sz w:val="20"/>
          <w:szCs w:val="20"/>
        </w:rPr>
        <w:t xml:space="preserve">The sliding-window step of 3 creates dense sequence overlap that substantially augments the training set; increasing it (e.g. to 10) would reduce training time at some cost to sequence diversity.</w:t>
      </w:r>
    </w:p>
    <w:p>
      <w:pPr>
        <w:spacing w:after="0" w:before="80"/>
      </w:pPr>
    </w:p>
    <w:p>
      <w:pPr>
        <w:spacing w:after="60" w:before="360"/>
      </w:pPr>
      <w:r>
        <w:rPr>
          <w:rFonts w:ascii="Arial" w:cs="Arial" w:eastAsia="Arial" w:hAnsi="Arial"/>
          <w:b/>
          <w:bCs/>
          <w:color w:val="1A3C34"/>
          <w:sz w:val="28"/>
          <w:szCs w:val="28"/>
        </w:rPr>
        <w:t xml:space="preserve">8.  Deliverables</w:t>
      </w:r>
    </w:p>
    <w:p>
      <w:pPr>
        <w:pBdr>
          <w:bottom w:val="single" w:color="2E6B4F" w:sz="8" w:space="1"/>
        </w:pBdr>
        <w:spacing w:after="160" w:before="0"/>
      </w:pPr>
    </w:p>
    <w:p>
      <w:pPr>
        <w:pStyle w:val="ListParagraph"/>
        <w:numPr>
          <w:ilvl w:val="0"/>
          <w:numId w:val="2"/>
        </w:numPr>
        <w:spacing w:after="40" w:before="40"/>
      </w:pPr>
      <w:r>
        <w:rPr>
          <w:rFonts w:ascii="Arial" w:cs="Arial" w:eastAsia="Arial" w:hAnsi="Arial"/>
          <w:color w:val="2D2D2D"/>
          <w:sz w:val="20"/>
          <w:szCs w:val="20"/>
        </w:rPr>
        <w:t xml:space="preserve">ML_Task_10_Tayyabah_Rehman.ipynb — fully commented notebook covering all pipeline stages from corpus download to temperature comparison.</w:t>
      </w:r>
    </w:p>
    <w:p>
      <w:pPr>
        <w:pStyle w:val="ListParagraph"/>
        <w:numPr>
          <w:ilvl w:val="0"/>
          <w:numId w:val="2"/>
        </w:numPr>
        <w:spacing w:after="40" w:before="40"/>
      </w:pPr>
      <w:r>
        <w:rPr>
          <w:rFonts w:ascii="Arial" w:cs="Arial" w:eastAsia="Arial" w:hAnsi="Arial"/>
          <w:color w:val="2D2D2D"/>
          <w:sz w:val="20"/>
          <w:szCs w:val="20"/>
        </w:rPr>
        <w:t xml:space="preserve">lstm_training_history.png — dual-panel figure showing training/validation loss and accuracy curves across all 50 epochs.</w:t>
      </w:r>
    </w:p>
    <w:p>
      <w:pPr>
        <w:pStyle w:val="ListParagraph"/>
        <w:numPr>
          <w:ilvl w:val="0"/>
          <w:numId w:val="2"/>
        </w:numPr>
        <w:spacing w:after="40" w:before="40"/>
      </w:pPr>
      <w:r>
        <w:rPr>
          <w:rFonts w:ascii="Arial" w:cs="Arial" w:eastAsia="Arial" w:hAnsi="Arial"/>
          <w:color w:val="2D2D2D"/>
          <w:sz w:val="20"/>
          <w:szCs w:val="20"/>
        </w:rPr>
        <w:t xml:space="preserve">generated_text.txt — saved generation outputs for all four seed prompts at temperature 1.0.</w:t>
      </w:r>
    </w:p>
    <w:p>
      <w:pPr>
        <w:pStyle w:val="ListParagraph"/>
        <w:numPr>
          <w:ilvl w:val="0"/>
          <w:numId w:val="2"/>
        </w:numPr>
        <w:spacing w:after="40" w:before="40"/>
      </w:pPr>
      <w:r>
        <w:rPr>
          <w:rFonts w:ascii="Arial" w:cs="Arial" w:eastAsia="Arial" w:hAnsi="Arial"/>
          <w:color w:val="2D2D2D"/>
          <w:sz w:val="20"/>
          <w:szCs w:val="20"/>
        </w:rPr>
        <w:t xml:space="preserve">best_lstm_model.keras — serialised Keras model checkpoint saved at best validation loss via EarlyStopping callback.</w:t>
      </w:r>
    </w:p>
    <w:p>
      <w:pPr>
        <w:spacing w:after="0" w:before="80"/>
      </w:pPr>
    </w:p>
    <w:p>
      <w:pPr>
        <w:spacing w:after="60" w:before="360"/>
      </w:pPr>
      <w:r>
        <w:rPr>
          <w:rFonts w:ascii="Arial" w:cs="Arial" w:eastAsia="Arial" w:hAnsi="Arial"/>
          <w:b/>
          <w:bCs/>
          <w:color w:val="1A3C34"/>
          <w:sz w:val="28"/>
          <w:szCs w:val="28"/>
        </w:rPr>
        <w:t xml:space="preserve">9.  Tools and Libraries</w:t>
      </w:r>
    </w:p>
    <w:p>
      <w:pPr>
        <w:pBdr>
          <w:bottom w:val="single" w:color="2E6B4F"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Library</w:t>
            </w:r>
          </w:p>
        </w:tc>
        <w:tc>
          <w:tcPr>
            <w:tcW w:type="dxa" w:w="312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Version / Component</w:t>
            </w:r>
          </w:p>
        </w:tc>
        <w:tc>
          <w:tcPr>
            <w:tcW w:type="dxa" w:w="3900"/>
            <w:tcBorders>
              <w:top w:val="single" w:color="CCCCCC" w:sz="1"/>
              <w:left w:val="single" w:color="CCCCCC" w:sz="1"/>
              <w:bottom w:val="single" w:color="CCCCCC" w:sz="1"/>
              <w:right w:val="single" w:color="CCCCCC" w:sz="1"/>
            </w:tcBorders>
            <w:shd w:fill="2C3E35" w:val="clear"/>
            <w:tcMar>
              <w:top w:type="dxa" w:w="100"/>
              <w:left w:type="dxa" w:w="140"/>
              <w:bottom w:type="dxa" w:w="100"/>
              <w:right w:type="dxa" w:w="140"/>
            </w:tcMar>
            <w:vAlign w:val="center"/>
          </w:tcPr>
          <w:p>
            <w:r>
              <w:rPr>
                <w:rFonts w:ascii="Arial" w:cs="Arial" w:eastAsia="Arial" w:hAnsi="Arial"/>
                <w:b/>
                <w:bCs/>
                <w:color w:val="FFFFFF"/>
                <w:sz w:val="18"/>
                <w:szCs w:val="18"/>
              </w:rPr>
              <w:t xml:space="preserve">Usage in This Project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TensorFlow / Keras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TF 2.x — Sequential API</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LSTM model construction, training, inference</w:t>
            </w:r>
          </w:p>
        </w:tc>
      </w:tr>
      <w:tr>
        <w:tc>
          <w:tcPr>
            <w:tcW w:type="dxa" w:w="234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NumPy</w:t>
            </w:r>
          </w:p>
        </w:tc>
        <w:tc>
          <w:tcPr>
            <w:tcW w:type="dxa" w:w="312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Standard array operations</w:t>
            </w:r>
          </w:p>
        </w:tc>
        <w:tc>
          <w:tcPr>
            <w:tcW w:type="dxa" w:w="39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One-hot encoding, prediction vectorisation, temperature sampling</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D2D2D"/>
                <w:sz w:val="19"/>
                <w:szCs w:val="19"/>
              </w:rPr>
              <w:t xml:space="preserve">Matplotlib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pyplot / subplots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Training loss and accuracy curves (dual-axis figure)</w:t>
            </w:r>
          </w:p>
        </w:tc>
      </w:tr>
      <w:tr>
        <w:tc>
          <w:tcPr>
            <w:tcW w:type="dxa" w:w="234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bCs/>
                <w:color w:val="2D2D2D"/>
                <w:sz w:val="19"/>
                <w:szCs w:val="19"/>
              </w:rPr>
              <w:t xml:space="preserve">Python (stdlib)</w:t>
            </w:r>
          </w:p>
        </w:tc>
        <w:tc>
          <w:tcPr>
            <w:tcW w:type="dxa" w:w="312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urllib.request, string ops</w:t>
            </w:r>
          </w:p>
        </w:tc>
        <w:tc>
          <w:tcPr>
            <w:tcW w:type="dxa" w:w="3900"/>
            <w:tcBorders>
              <w:top w:val="single" w:color="CCCCCC" w:sz="1"/>
              <w:left w:val="single" w:color="CCCCCC" w:sz="1"/>
              <w:bottom w:val="single" w:color="CCCCCC" w:sz="1"/>
              <w:right w:val="single" w:color="CCCCCC" w:sz="1"/>
            </w:tcBorders>
            <w:shd w:fill="E8F2EE" w:val="clear"/>
            <w:tcMar>
              <w:top w:type="dxa" w:w="100"/>
              <w:left w:type="dxa" w:w="140"/>
              <w:bottom w:type="dxa" w:w="100"/>
              <w:right w:type="dxa" w:w="140"/>
            </w:tcMar>
            <w:vAlign w:val="center"/>
          </w:tcPr>
          <w:p>
            <w:r>
              <w:rPr>
                <w:rFonts w:ascii="Arial" w:cs="Arial" w:eastAsia="Arial" w:hAnsi="Arial"/>
                <w:b w:val="false"/>
                <w:bCs w:val="false"/>
                <w:color w:val="2D2D2D"/>
                <w:sz w:val="19"/>
                <w:szCs w:val="19"/>
              </w:rPr>
              <w:t xml:space="preserve">Dataset download, vocabulary construction, file I/O</w:t>
            </w:r>
          </w:p>
        </w:tc>
      </w:tr>
    </w:tbl>
    <w:p>
      <w:pPr>
        <w:spacing w:after="0" w:before="80"/>
      </w:pPr>
    </w:p>
    <w:p>
      <w:pPr>
        <w:spacing w:after="60" w:before="360"/>
      </w:pPr>
      <w:r>
        <w:rPr>
          <w:rFonts w:ascii="Arial" w:cs="Arial" w:eastAsia="Arial" w:hAnsi="Arial"/>
          <w:b/>
          <w:bCs/>
          <w:color w:val="1A3C34"/>
          <w:sz w:val="28"/>
          <w:szCs w:val="28"/>
        </w:rPr>
        <w:t xml:space="preserve">10.  Conclusion</w:t>
      </w:r>
    </w:p>
    <w:p>
      <w:pPr>
        <w:pBdr>
          <w:bottom w:val="single" w:color="2E6B4F" w:sz="8" w:space="1"/>
        </w:pBdr>
        <w:spacing w:after="160" w:before="0"/>
      </w:pPr>
    </w:p>
    <w:p>
      <w:pPr>
        <w:spacing w:after="60" w:before="60"/>
      </w:pPr>
      <w:r>
        <w:rPr>
          <w:rFonts w:ascii="Arial" w:cs="Arial" w:eastAsia="Arial" w:hAnsi="Arial"/>
          <w:color w:val="2D2D2D"/>
          <w:sz w:val="20"/>
          <w:szCs w:val="20"/>
        </w:rPr>
        <w:t xml:space="preserve">This project successfully demonstrates end-to-end character-level text generation using a stacked LSTM architecture trained on Shakespeare. The model learns to reproduce stylistic features of the corpus — character prefixes, verse line lengths, punctuation patterns, and register-appropriate vocabulary — without any explicit linguistic rules. The temperature-controlled sampling mechanism provides a practical tool for tuning the creativity-coherence trade-off at inference time.</w:t>
      </w:r>
    </w:p>
    <w:p>
      <w:pPr>
        <w:spacing w:after="0" w:before="60"/>
      </w:pPr>
    </w:p>
    <w:p>
      <w:pPr>
        <w:spacing w:after="60" w:before="60"/>
      </w:pPr>
      <w:r>
        <w:rPr>
          <w:rFonts w:ascii="Arial" w:cs="Arial" w:eastAsia="Arial" w:hAnsi="Arial"/>
          <w:color w:val="2D2D2D"/>
          <w:sz w:val="20"/>
          <w:szCs w:val="20"/>
        </w:rPr>
        <w:t xml:space="preserve">The project establishes a reusable pipeline architecture applicable to any character-level or small-vocabulary sequence modelling task. Future extensions could include word-level embeddings, attention mechanisms, or transfer learning from pre-trained language models to improve long-range coherence beyond the 100-character context window.</w:t>
      </w:r>
    </w:p>
    <w:p>
      <w:pPr>
        <w:spacing w:after="0" w:before="100"/>
      </w:pPr>
    </w:p>
    <w:p>
      <w:pPr>
        <w:pBdr>
          <w:bottom w:val="single" w:color="2E6B4F" w:sz="8" w:space="1"/>
        </w:pBdr>
        <w:spacing w:after="160" w:before="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20"/>
      <w:jc w:val="center"/>
    </w:pPr>
    <w:r>
      <w:rPr>
        <w:rFonts w:ascii="Arial" w:cs="Arial" w:eastAsia="Arial" w:hAnsi="Arial"/>
        <w:color w:val="2D2D2D"/>
        <w:sz w:val="16"/>
        <w:szCs w:val="16"/>
      </w:rPr>
      <w:t xml:space="preserve">MPhil Artificial Intelligence  |  University of the Punjab, Lahore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4F" w:sz="6" w:space="1"/>
      </w:pBdr>
      <w:spacing w:after="120" w:before="0"/>
    </w:pPr>
    <w:r>
      <w:rPr>
        <w:rFonts w:ascii="Arial" w:cs="Arial" w:eastAsia="Arial" w:hAnsi="Arial"/>
        <w:color w:val="2C3E35"/>
        <w:sz w:val="18"/>
        <w:szCs w:val="18"/>
      </w:rPr>
      <w:t xml:space="preserve">Project 10  |  RNN for Text Generation using LSTM</w:t>
    </w:r>
    <w:r>
      <w:rPr>
        <w:rFonts w:ascii="Arial" w:cs="Arial" w:eastAsia="Arial" w:hAnsi="Arial"/>
        <w:b/>
        <w:bCs/>
        <w:color w:val="2E6B4F"/>
        <w:sz w:val="18"/>
        <w:szCs w:val="18"/>
      </w:rPr>
      <w:t xml:space="preserve">   Tayyabah Rehman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2026-06-16T19:56:04.180Z</dcterms:created>
  <dcterms:modified xsi:type="dcterms:W3CDTF">2026-06-16T19:56:04.180Z</dcterms:modified>
</cp:coreProperties>
</file>

<file path=docProps/custom.xml><?xml version="1.0" encoding="utf-8"?>
<Properties xmlns="http://schemas.openxmlformats.org/officeDocument/2006/custom-properties" xmlns:vt="http://schemas.openxmlformats.org/officeDocument/2006/docPropsVTypes"/>
</file>