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AAPL Investment Memo</w:t>
      </w:r>
    </w:p>
    <w:p>
      <w:pPr>
        <w:spacing w:after="180"/>
      </w:pPr>
      <w:r>
        <w:rPr>
          <w:b/>
          <w:bCs/>
          <w:color w:val="17345C"/>
        </w:rPr>
        <w:t xml:space="preserve">Citadail Equity Research</w:t>
      </w:r>
      <w:r>
        <w:rPr>
          <w:color w:val="64748B"/>
        </w:rPr>
        <w:t xml:space="preserve"> | Generated Apr 18, 2026</w:t>
      </w:r>
    </w:p>
    <w:p>
      <w:pPr>
        <w:pStyle w:val="Heading2"/>
        <w:spacing w:after="120" w:before="240"/>
      </w:pPr>
      <w:r>
        <w:t xml:space="preserve">Thesis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Ticker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AAPL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 / Long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Rationale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 / Long: services durability and margin discipline are underappreciated while the market is over-focused on near-term iPhone unit pressure.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posture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Narrative source documents and reported baselines are cited; forward estimates are labeled separately.</w:t>
            </w:r>
          </w:p>
        </w:tc>
      </w:tr>
    </w:tbl>
    <w:p>
      <w:pPr>
        <w:spacing w:after="120"/>
      </w:pPr>
      <w:r>
        <w:rPr>
          <w:b/>
          <w:bCs/>
        </w:rPr>
        <w:t xml:space="preserve">Buy / Long. User rationale: services durability and margin discipline are underappreciated while the market is over-focused on near-term iPhone unit pressure.</w:t>
      </w:r>
    </w:p>
    <w:p>
      <w:pPr>
        <w:spacing w:after="120"/>
      </w:pPr>
      <w:r>
        <w:t xml:space="preserve">User rationale: Buy / Long: services durability and margin discipline are underappreciated while the market is over-focused on near-term iPhone unit pressure.</w:t>
      </w:r>
    </w:p>
    <w:p>
      <w:pPr>
        <w:pStyle w:val="Heading2"/>
        <w:spacing w:after="120" w:before="240"/>
      </w:pPr>
      <w:r>
        <w:t xml:space="preserve">Narrative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900"/>
        <w:gridCol w:w="23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changed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reported FY2024 net sales of $391.0B.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(2024-11-01)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Defines why now and whether the thesis is reacting to a real change rather than a stale narrative.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Management / filing narrative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revenue returned to modest growth after FY2023 contraction.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(2024-11-01)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Connects the thesis to company-disclosed operating context instead of only market price action.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Risk / falsification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Apple's risk disclosures emphasize competitive pressure, supply concentration, geopolitical and trade restrictions, dependence on third-party developers and distribution, and regulatory scrutiny of platform economics.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(2024-11-01)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Supplies explicit conditions that can weaken or break the thesis.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 debate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core debate is whether a large installed base, services mix, and product ecosystem can defend earnings power while hardware replacement cycles remain uneven and regulators scrutinize platform monetization.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Citadail cached coverage seed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Frames what the market is likely focused on versus what the thesis needs to prove.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Business quality driver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generated $118.3B of operating cash flow and $108.8B of free cash flow in FY2024.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(2024-11-01)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Identifies the qualitative driver that must translate into durable model assumptions.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revenue base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$391.0bn / 2.0% YoY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filed 2024-11-01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Sets the growth bar the narrative must beat or defend.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margin structure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Gross 46.2% / operating 31.5%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filed 2024-11-01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Shows whether the qualitative story has already appeared in reported economics.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free cash flow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$108.8bn / 27.8% margin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10-K; cached SEC snapshot filed 2024-11-01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Tests whether the company can fund reinvestment, buybacks, and downside resilience.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revenue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$391.0bn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Reported revenue growth resets the underwriting base after FY2023 pressure.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gross margin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Gross margin expansion supports the services mix and pricing discipline argument.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operating margin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31.5%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Operating margin anchors the earnings durability case.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free cash flow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$108.8bn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 FCF supports capital return and downside resilience.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FY2024 net margin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24.0%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FY2024 Form 10-K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 margin converts the operating story into earnings power.</w:t>
            </w:r>
          </w:p>
        </w:tc>
      </w:tr>
    </w:tbl>
    <w:p>
      <w:pPr>
        <w:pStyle w:val="Heading2"/>
        <w:spacing w:after="120" w:before="240"/>
      </w:pPr>
      <w:r>
        <w:t xml:space="preserve">Company Overview</w:t>
      </w:r>
    </w:p>
    <w:p>
      <w:pPr>
        <w:spacing w:after="120"/>
      </w:pPr>
      <w:r>
        <w:t xml:space="preserve">Source: Apple FY2024 Form 10-K. Apple is a premium consumer hardware and services platform with a large recurring services layer.</w:t>
      </w:r>
    </w:p>
    <w:p>
      <w:pPr>
        <w:pStyle w:val="Heading2"/>
        <w:spacing w:after="120" w:before="240"/>
      </w:pPr>
      <w:r>
        <w:t xml:space="preserve">Why Now</w:t>
      </w:r>
    </w:p>
    <w:p>
      <w:pPr>
        <w:spacing w:after="120"/>
      </w:pPr>
      <w:r>
        <w:t xml:space="preserve">Source: Apple FY2024 Form 10-K. Revenue returned to modest growth in FY2024 while gross margin expanded, making the next revision cycle important.</w:t>
      </w:r>
    </w:p>
    <w:p>
      <w:pPr>
        <w:pStyle w:val="Heading2"/>
        <w:spacing w:after="120" w:before="240"/>
      </w:pPr>
      <w:r>
        <w:t xml:space="preserve">What Changed</w:t>
      </w:r>
    </w:p>
    <w:p>
      <w:pPr>
        <w:spacing w:after="120"/>
      </w:pPr>
      <w:r>
        <w:t xml:space="preserve">Source: Apple FY2024 Form 10-K. FY2024 revenue increased versus FY2023 and gross profit expanded faster than revenue.</w:t>
      </w:r>
    </w:p>
    <w:p>
      <w:pPr>
        <w:pStyle w:val="Heading2"/>
        <w:spacing w:after="120" w:before="240"/>
      </w:pPr>
      <w:r>
        <w:t xml:space="preserve">Variant Perception / Edge</w:t>
      </w:r>
    </w:p>
    <w:p>
      <w:pPr>
        <w:spacing w:after="120"/>
      </w:pPr>
      <w:r>
        <w:t xml:space="preserve">Consensus likely focuses on hardware unit softness. We believe the sharper question is whether services mix and operating leverage can defend earnings power through the next product cycle.</w:t>
      </w:r>
    </w:p>
    <w:p>
      <w:pPr>
        <w:spacing w:after="120"/>
      </w:pPr>
      <w:r>
        <w:t xml:space="preserve">Consensus likely believes: User rationale: consensus may underweight services resilience against uneven device demand.</w:t>
      </w:r>
    </w:p>
    <w:p>
      <w:pPr>
        <w:pStyle w:val="Heading2"/>
        <w:spacing w:after="120" w:before="240"/>
      </w:pPr>
      <w:r>
        <w:t xml:space="preserve">Bull / Base / Bear</w:t>
      </w:r>
    </w:p>
    <w:p>
      <w:pPr>
        <w:spacing w:after="120"/>
      </w:pPr>
      <w:r>
        <w:t xml:space="preserve">Bull: Forward estimate: services growth accelerates and gross margin remains above the recent range.</w:t>
      </w:r>
    </w:p>
    <w:p>
      <w:pPr>
        <w:spacing w:after="120"/>
      </w:pPr>
      <w:r>
        <w:t xml:space="preserve">Base: Forward estimate: low-single-digit revenue growth and stable margins support a neutral-to-positive setup.</w:t>
      </w:r>
    </w:p>
    <w:p>
      <w:pPr>
        <w:spacing w:after="120"/>
      </w:pPr>
      <w:r>
        <w:t xml:space="preserve">Bear: Forward estimate: device replacement cycles elongate and services growth decelerates.</w:t>
      </w:r>
    </w:p>
    <w:p>
      <w:pPr>
        <w:pStyle w:val="Heading2"/>
        <w:spacing w:after="120" w:before="240"/>
      </w:pPr>
      <w:r>
        <w:t xml:space="preserve">Catalysts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estimate: earnings revision inflection.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estimate: product cycle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Source: Apple FY2024 Form 10-K; monitor services margin disclosure and mix.</w:t>
      </w:r>
    </w:p>
    <w:p>
      <w:pPr>
        <w:pStyle w:val="Heading2"/>
        <w:spacing w:after="120" w:before="24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estimate: iPhone demand weakens.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estimate: regulatory pressure on app-store economics.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estimate: AI capex rises without revenue proof.</w:t>
      </w:r>
    </w:p>
    <w:p>
      <w:pPr>
        <w:pStyle w:val="Heading2"/>
        <w:spacing w:after="120" w:before="240"/>
      </w:pPr>
      <w:r>
        <w:t xml:space="preserve">Invalidation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 growth falls below mid-single digits.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Gross margin compresses by more than 150 bps.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guides to sustained hardware decline.</w:t>
      </w:r>
    </w:p>
    <w:p>
      <w:pPr>
        <w:pStyle w:val="Heading2"/>
        <w:spacing w:after="120" w:before="240"/>
      </w:pPr>
      <w:r>
        <w:t xml:space="preserve">Risk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4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Services slowdown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Growth below mid-single digits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Re-underwrite thesis.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Margin compression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Gross margin down more than 150 bps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Trim or exit paper position.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Hardware guide-down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Sustained device revenue decline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 thesis weakened.</w:t>
            </w:r>
          </w:p>
        </w:tc>
      </w:tr>
    </w:tbl>
    <w:p>
      <w:pPr>
        <w:pStyle w:val="Heading2"/>
        <w:spacing w:after="120" w:before="240"/>
      </w:pPr>
      <w:r>
        <w:t xml:space="preserve">Trade Proposal</w:t>
      </w:r>
    </w:p>
    <w:p>
      <w:pPr>
        <w:spacing w:after="120"/>
      </w:pPr>
      <w:r>
        <w:t xml:space="preserve">Bias: Long bias</w:t>
      </w:r>
    </w:p>
    <w:p>
      <w:pPr>
        <w:spacing w:after="120"/>
      </w:pPr>
      <w:r>
        <w:t xml:space="preserve">Entry zone: Build on weakness near prior support; do not chase gaps.</w:t>
      </w:r>
    </w:p>
    <w:p>
      <w:pPr>
        <w:spacing w:after="120"/>
      </w:pPr>
      <w:r>
        <w:t xml:space="preserve">Position size: Starter 2%; add only after margin confirmation.</w:t>
      </w:r>
    </w:p>
    <w:p>
      <w:pPr>
        <w:spacing w:after="120"/>
      </w:pPr>
      <w:r>
        <w:t xml:space="preserve">Time horizon: Multi-week to multi-month.</w:t>
      </w:r>
    </w:p>
    <w:p>
      <w:pPr>
        <w:spacing w:after="120"/>
      </w:pPr>
      <w:r>
        <w:t xml:space="preserve">Add / trim / exit: Add on services confirmation, trim on guide-down, exit on margin break.</w:t>
      </w:r>
    </w:p>
    <w:p>
      <w:pPr>
        <w:pStyle w:val="Heading2"/>
        <w:spacing w:after="120" w:before="240"/>
      </w:pPr>
      <w:r>
        <w:t xml:space="preserve">Source Discipline</w:t>
      </w:r>
    </w:p>
    <w:p>
      <w:pPr>
        <w:spacing w:after="120"/>
      </w:pPr>
      <w:r>
        <w:t xml:space="preserve">Filing, news, profile, and reported-baseline claims in this package are cited where available. Forward-looking scenarios, valuation outputs, and trade sizing are explicitly labeled as estimates or user rationale.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Confidential internal draft |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7345C"/>
        <w:sz w:val="18"/>
        <w:szCs w:val="18"/>
      </w:rPr>
      <w:t xml:space="preserve">Citadail Equity Research</w:t>
    </w:r>
    <w:r>
      <w:rPr>
        <w:color w:val="64748B"/>
        <w:sz w:val="18"/>
        <w:szCs w:val="18"/>
      </w:rPr>
      <w:t xml:space="preserve"> | AAPL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7345C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734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734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Investment Memo</dc:title>
  <dc:creator>Citadail</dc:creator>
  <dc:description>AI-assisted internal equity research memo.</dc:description>
  <cp:lastModifiedBy>Un-named</cp:lastModifiedBy>
  <cp:revision>1</cp:revision>
  <dcterms:created xsi:type="dcterms:W3CDTF">2026-04-18T09:52:39.946Z</dcterms:created>
  <dcterms:modified xsi:type="dcterms:W3CDTF">2026-04-18T09:52:39.946Z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