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Find a list of papers that use Deep Learning for Multi-Messenger Astronomy.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criteria for “worthiness” of paper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Narrow candidate papers as much as possible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based on criteria list developed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Criteria List: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research question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F(feasible) I(interesting) N(novel) E(ethical) R(relevant) from Cummings et 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systematic, appropriate research methodology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data analysis methods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Representative and generalizable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Guided by logic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validity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Replicable, reproducible, and transparent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Acknowledges limitations and provides suggestions for future research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ethical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Sources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https://research.com/research/top-10-qualities-of-good-academic-research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35.99999999999994" w:lineRule="auto"/>
        <w:ind w:left="0" w:firstLine="0"/>
        <w:rPr>
          <w:rFonts w:ascii="Times New Roman" w:cs="Times New Roman" w:eastAsia="Times New Roman" w:hAnsi="Times New Roman"/>
          <w:color w:val="003047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919"/>
          <w:sz w:val="24"/>
          <w:szCs w:val="24"/>
          <w:rtl w:val="0"/>
        </w:rPr>
        <w:t xml:space="preserve">Cummings, S. R., Browner, W. S., &amp; Hulley, S. B. (2013). Conceiving the research question and developing the study plan.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91919"/>
          <w:sz w:val="24"/>
          <w:szCs w:val="24"/>
          <w:rtl w:val="0"/>
        </w:rPr>
        <w:t xml:space="preserve">Designing clinical research</w:t>
      </w:r>
      <w:r w:rsidDel="00000000" w:rsidR="00000000" w:rsidRPr="00000000">
        <w:rPr>
          <w:rFonts w:ascii="Times New Roman" w:cs="Times New Roman" w:eastAsia="Times New Roman" w:hAnsi="Times New Roman"/>
          <w:color w:val="191919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9191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191919"/>
          <w:sz w:val="24"/>
          <w:szCs w:val="24"/>
          <w:rtl w:val="0"/>
        </w:rPr>
        <w:t xml:space="preserve">, 14-22.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3047"/>
            <w:sz w:val="24"/>
            <w:szCs w:val="24"/>
            <w:u w:val="single"/>
            <w:rtl w:val="0"/>
          </w:rPr>
          <w:t xml:space="preserve">Wolters Kluwer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35.99999999999994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35.99999999999994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as Before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240" w:line="335.9999999999999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Professor Weekly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240" w:before="0" w:beforeAutospacing="0" w:line="335.99999999999994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papers are found =&gt; let professor know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earch.com/research/top-10-qualities-of-good-academic-research" TargetMode="External"/><Relationship Id="rId7" Type="http://schemas.openxmlformats.org/officeDocument/2006/relationships/hyperlink" Target="https://bjcancer.org/Sites/Uploaded/File/2016/11/30636160943115667893758296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