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256cc7d1fafeb28313e8272d817423155bbcf9"/>
    <w:p>
      <w:pPr>
        <w:pStyle w:val="Heading1"/>
      </w:pPr>
      <w:r>
        <w:t xml:space="preserve">Annexe A4 — Citations techniques (DTU / Arrêtés / Guides)</w:t>
      </w:r>
    </w:p>
    <w:p>
      <w:pPr>
        <w:pStyle w:val="FirstParagraph"/>
      </w:pPr>
      <w:r>
        <w:rPr>
          <w:b/>
          <w:bCs/>
        </w:rPr>
        <w:t xml:space="preserve">Réf. dossier</w:t>
      </w:r>
      <w:r>
        <w:t xml:space="preserve"> : 25‑001508‑RLY‑M1</w:t>
      </w:r>
      <w:r>
        <w:br/>
      </w:r>
      <w:r>
        <w:rPr>
          <w:b/>
          <w:bCs/>
        </w:rPr>
        <w:t xml:space="preserve">Objet</w:t>
      </w:r>
      <w:r>
        <w:t xml:space="preserve"> : rassembler les références</w:t>
      </w:r>
      <w:r>
        <w:t xml:space="preserve"> </w:t>
      </w:r>
      <w:r>
        <w:rPr>
          <w:b/>
          <w:bCs/>
        </w:rPr>
        <w:t xml:space="preserve">normatives et réglementaires</w:t>
      </w:r>
      <w:r>
        <w:t xml:space="preserve"> </w:t>
      </w:r>
      <w:r>
        <w:t xml:space="preserve">qui fondent les constats (Zones 1, 2, 6, 7) et les</w:t>
      </w:r>
      <w:r>
        <w:t xml:space="preserve"> </w:t>
      </w:r>
      <w:r>
        <w:rPr>
          <w:b/>
          <w:bCs/>
        </w:rPr>
        <w:t xml:space="preserve">exigences de reprises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Méthode</w:t>
      </w:r>
      <w:r>
        <w:t xml:space="preserve"> : citations</w:t>
      </w:r>
      <w:r>
        <w:t xml:space="preserve"> </w:t>
      </w:r>
      <w:r>
        <w:rPr>
          <w:b/>
          <w:bCs/>
        </w:rPr>
        <w:t xml:space="preserve">courtes</w:t>
      </w:r>
      <w:r>
        <w:t xml:space="preserve"> </w:t>
      </w:r>
      <w:r>
        <w:t xml:space="preserve">(ou</w:t>
      </w:r>
      <w:r>
        <w:t xml:space="preserve"> </w:t>
      </w:r>
      <w:r>
        <w:rPr>
          <w:b/>
          <w:bCs/>
        </w:rPr>
        <w:t xml:space="preserve">paraphrases</w:t>
      </w:r>
      <w:r>
        <w:t xml:space="preserve">), suffisamment précises pour être opposables. Pour les normes (DTU), les formulations sont</w:t>
      </w:r>
      <w:r>
        <w:t xml:space="preserve"> </w:t>
      </w:r>
      <w:r>
        <w:rPr>
          <w:b/>
          <w:bCs/>
        </w:rPr>
        <w:t xml:space="preserve">reformulées</w:t>
      </w:r>
      <w:r>
        <w:t xml:space="preserve"> </w:t>
      </w:r>
      <w:r>
        <w:t xml:space="preserve">(droit d’auteur). Les textes de</w:t>
      </w:r>
      <w:r>
        <w:t xml:space="preserve"> </w:t>
      </w:r>
      <w:r>
        <w:rPr>
          <w:b/>
          <w:bCs/>
        </w:rPr>
        <w:t xml:space="preserve">loi/règlement</w:t>
      </w:r>
      <w:r>
        <w:t xml:space="preserve"> </w:t>
      </w:r>
      <w:r>
        <w:t xml:space="preserve">peuvent être cités brièvement.</w:t>
      </w:r>
    </w:p>
    <w:p>
      <w:r>
        <w:pict>
          <v:rect style="width:0;height:1.5pt" o:hralign="center" o:hrstd="t" o:hr="t"/>
        </w:pict>
      </w:r>
    </w:p>
    <w:bookmarkStart w:id="20" w:name="a4.1-textes-applicables-liste-structurée"/>
    <w:p>
      <w:pPr>
        <w:pStyle w:val="Heading2"/>
      </w:pPr>
      <w:r>
        <w:t xml:space="preserve">A4.1 — Textes applicables (liste structurée)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Ventilation – Arrêté du 24 mars 1982</w:t>
      </w:r>
      <w:r>
        <w:t xml:space="preserve"> </w:t>
      </w:r>
      <w:r>
        <w:t xml:space="preserve">(aération des logements)</w:t>
      </w:r>
      <w:r>
        <w:br/>
      </w:r>
      <w:r>
        <w:t xml:space="preserve">   • Exige des</w:t>
      </w:r>
      <w:r>
        <w:t xml:space="preserve"> </w:t>
      </w:r>
      <w:r>
        <w:rPr>
          <w:b/>
          <w:bCs/>
        </w:rPr>
        <w:t xml:space="preserve">débits extraits</w:t>
      </w:r>
      <w:r>
        <w:t xml:space="preserve"> </w:t>
      </w:r>
      <w:r>
        <w:t xml:space="preserve">en SDB</w:t>
      </w:r>
      <w:r>
        <w:t xml:space="preserve"> </w:t>
      </w:r>
      <w:r>
        <w:rPr>
          <w:b/>
          <w:bCs/>
        </w:rPr>
        <w:t xml:space="preserve">15–30 m³/h</w:t>
      </w:r>
      <w:r>
        <w:t xml:space="preserve"> </w:t>
      </w:r>
      <w:r>
        <w:t xml:space="preserve">et WC</w:t>
      </w:r>
      <w:r>
        <w:t xml:space="preserve"> </w:t>
      </w:r>
      <w:r>
        <w:rPr>
          <w:b/>
          <w:bCs/>
        </w:rPr>
        <w:t xml:space="preserve">15 m³/h</w:t>
      </w:r>
      <w:r>
        <w:t xml:space="preserve">.</w:t>
      </w:r>
      <w:r>
        <w:br/>
      </w:r>
      <w:r>
        <w:t xml:space="preserve">   • Les traversées doivent être</w:t>
      </w:r>
      <w:r>
        <w:t xml:space="preserve"> </w:t>
      </w:r>
      <w:r>
        <w:rPr>
          <w:b/>
          <w:bCs/>
        </w:rPr>
        <w:t xml:space="preserve">finies</w:t>
      </w:r>
      <w:r>
        <w:t xml:space="preserve"> </w:t>
      </w:r>
      <w:r>
        <w:t xml:space="preserve">(pas de jour), conduits</w:t>
      </w:r>
      <w:r>
        <w:t xml:space="preserve"> </w:t>
      </w:r>
      <w:r>
        <w:rPr>
          <w:b/>
          <w:bCs/>
        </w:rPr>
        <w:t xml:space="preserve">continus</w:t>
      </w:r>
      <w:r>
        <w:t xml:space="preserve"> </w:t>
      </w:r>
      <w:r>
        <w:t xml:space="preserve">jusqu’au réseau.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NF DTU 25.41</w:t>
      </w:r>
      <w:r>
        <w:t xml:space="preserve"> </w:t>
      </w:r>
      <w:r>
        <w:t xml:space="preserve">— Cloisons et doublages en plaques de plâtre</w:t>
      </w:r>
      <w:r>
        <w:br/>
      </w:r>
      <w:r>
        <w:t xml:space="preserve">   • En</w:t>
      </w:r>
      <w:r>
        <w:t xml:space="preserve"> </w:t>
      </w:r>
      <w:r>
        <w:rPr>
          <w:b/>
          <w:bCs/>
        </w:rPr>
        <w:t xml:space="preserve">local EB+</w:t>
      </w:r>
      <w:r>
        <w:t xml:space="preserve"> </w:t>
      </w:r>
      <w:r>
        <w:t xml:space="preserve">(parois verticales apparentes), plaques</w:t>
      </w:r>
      <w:r>
        <w:t xml:space="preserve"> </w:t>
      </w:r>
      <w:r>
        <w:rPr>
          <w:b/>
          <w:bCs/>
        </w:rPr>
        <w:t xml:space="preserve">hydrofuges H1</w:t>
      </w:r>
      <w:r>
        <w:t xml:space="preserve">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Angles et jonctions</w:t>
      </w:r>
      <w:r>
        <w:t xml:space="preserve"> </w:t>
      </w:r>
      <w:r>
        <w:t xml:space="preserve">traités : bandes + enduits compatibles.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Traversées</w:t>
      </w:r>
      <w:r>
        <w:t xml:space="preserve"> </w:t>
      </w:r>
      <w:r>
        <w:t xml:space="preserve">réalisées et</w:t>
      </w:r>
      <w:r>
        <w:t xml:space="preserve"> </w:t>
      </w:r>
      <w:r>
        <w:rPr>
          <w:b/>
          <w:bCs/>
        </w:rPr>
        <w:t xml:space="preserve">calfeutrées</w:t>
      </w:r>
      <w:r>
        <w:t xml:space="preserve"> </w:t>
      </w:r>
      <w:r>
        <w:t xml:space="preserve">sans dégrader l’étanchéité.</w:t>
      </w:r>
      <w:r>
        <w:br/>
      </w:r>
      <w:r>
        <w:t xml:space="preserve">   • Support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solide</w:t>
      </w:r>
      <w:r>
        <w:t xml:space="preserve"> </w:t>
      </w:r>
      <w:r>
        <w:t xml:space="preserve">avant carrelage.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NF DTU 52.2</w:t>
      </w:r>
      <w:r>
        <w:t xml:space="preserve"> </w:t>
      </w:r>
      <w:r>
        <w:t xml:space="preserve">(Pose collée des revêtements céramiques) +</w:t>
      </w:r>
      <w:r>
        <w:t xml:space="preserve"> </w:t>
      </w:r>
      <w:r>
        <w:rPr>
          <w:b/>
          <w:bCs/>
        </w:rPr>
        <w:t xml:space="preserve">P1‑1‑4 SPEC (2022)</w:t>
      </w:r>
      <w:r>
        <w:br/>
      </w:r>
      <w:r>
        <w:t xml:space="preserve">   • En</w:t>
      </w:r>
      <w:r>
        <w:t xml:space="preserve"> </w:t>
      </w:r>
      <w:r>
        <w:rPr>
          <w:b/>
          <w:bCs/>
        </w:rPr>
        <w:t xml:space="preserve">murs intérieurs</w:t>
      </w:r>
      <w:r>
        <w:t xml:space="preserve"> </w:t>
      </w:r>
      <w:r>
        <w:t xml:space="preserve">exposés à l’eau : mise en œuvre d’un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(primaire + 2 couches croisées,</w:t>
      </w:r>
      <w:r>
        <w:t xml:space="preserve"> </w:t>
      </w:r>
      <w:r>
        <w:rPr>
          <w:b/>
          <w:bCs/>
        </w:rPr>
        <w:t xml:space="preserve">bandes d’angles</w:t>
      </w:r>
      <w:r>
        <w:t xml:space="preserve">, pièces/platines aux traversées).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Joint périphérique</w:t>
      </w:r>
      <w:r>
        <w:t xml:space="preserve"> </w:t>
      </w:r>
      <w:r>
        <w:t xml:space="preserve">(mastic sanitaire) en pied et pourtours ; largeur</w:t>
      </w:r>
      <w:r>
        <w:t xml:space="preserve"> </w:t>
      </w:r>
      <w:r>
        <w:rPr>
          <w:b/>
          <w:bCs/>
        </w:rPr>
        <w:t xml:space="preserve">≈ 3 mm</w:t>
      </w:r>
      <w:r>
        <w:t xml:space="preserve"> </w:t>
      </w:r>
      <w:r>
        <w:t xml:space="preserve">(selon P1‑1‑4).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Planéité / alignement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calibrage des joints</w:t>
      </w:r>
      <w:r>
        <w:t xml:space="preserve"> </w:t>
      </w:r>
      <w:r>
        <w:t xml:space="preserve">conformes.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NF DTU 60.1</w:t>
      </w:r>
      <w:r>
        <w:t xml:space="preserve"> </w:t>
      </w:r>
      <w:r>
        <w:t xml:space="preserve">— Plomberie sanitaire</w:t>
      </w:r>
      <w:r>
        <w:br/>
      </w:r>
      <w:r>
        <w:t xml:space="preserve">   • Coordination</w:t>
      </w:r>
      <w:r>
        <w:t xml:space="preserve"> </w:t>
      </w:r>
      <w:r>
        <w:rPr>
          <w:b/>
          <w:bCs/>
        </w:rPr>
        <w:t xml:space="preserve">percements / traversées</w:t>
      </w:r>
      <w:r>
        <w:t xml:space="preserve"> </w:t>
      </w:r>
      <w:r>
        <w:t xml:space="preserve">avec revêtements ;</w:t>
      </w:r>
      <w:r>
        <w:t xml:space="preserve"> </w:t>
      </w:r>
      <w:r>
        <w:rPr>
          <w:b/>
          <w:bCs/>
        </w:rPr>
        <w:t xml:space="preserve">manchons/joints</w:t>
      </w:r>
      <w:r>
        <w:t xml:space="preserve"> </w:t>
      </w:r>
      <w:r>
        <w:t xml:space="preserve">aux passages de paroi.</w:t>
      </w:r>
      <w:r>
        <w:br/>
      </w:r>
      <w:r>
        <w:t xml:space="preserve">   • Évacuations :</w:t>
      </w:r>
      <w:r>
        <w:t xml:space="preserve"> </w:t>
      </w:r>
      <w:r>
        <w:rPr>
          <w:b/>
          <w:bCs/>
        </w:rPr>
        <w:t xml:space="preserve">pentes</w:t>
      </w:r>
      <w:r>
        <w:t xml:space="preserve">, continuité, raccordements</w:t>
      </w:r>
      <w:r>
        <w:t xml:space="preserve"> </w:t>
      </w:r>
      <w:r>
        <w:rPr>
          <w:b/>
          <w:bCs/>
        </w:rPr>
        <w:t xml:space="preserve">directs</w:t>
      </w:r>
      <w:r>
        <w:t xml:space="preserve"> </w:t>
      </w:r>
      <w:r>
        <w:t xml:space="preserve">et accessibles (siphon/vidage).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CPT n° 3528_V2</w:t>
      </w:r>
      <w:r>
        <w:t xml:space="preserve"> </w:t>
      </w:r>
      <w:r>
        <w:t xml:space="preserve">— Systèmes de protection à l’eau sous carrelage (SPE/SPEC)</w:t>
      </w:r>
      <w:r>
        <w:br/>
      </w:r>
      <w:r>
        <w:t xml:space="preserve">   • Définit les</w:t>
      </w:r>
      <w:r>
        <w:t xml:space="preserve"> </w:t>
      </w:r>
      <w:r>
        <w:rPr>
          <w:b/>
          <w:bCs/>
        </w:rPr>
        <w:t xml:space="preserve">domaines d’emploi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étapes de pose</w:t>
      </w:r>
      <w:r>
        <w:t xml:space="preserve"> </w:t>
      </w:r>
      <w:r>
        <w:t xml:space="preserve">(primaire, couches, renforts, séchages).</w:t>
      </w:r>
      <w:r>
        <w:br/>
      </w:r>
      <w:r>
        <w:t xml:space="preserve">   • Exige</w:t>
      </w:r>
      <w:r>
        <w:t xml:space="preserve"> </w:t>
      </w:r>
      <w:r>
        <w:rPr>
          <w:b/>
          <w:bCs/>
        </w:rPr>
        <w:t xml:space="preserve">contrôle visuel</w:t>
      </w:r>
      <w:r>
        <w:t xml:space="preserve"> </w:t>
      </w:r>
      <w:r>
        <w:t xml:space="preserve">et respect des</w:t>
      </w:r>
      <w:r>
        <w:t xml:space="preserve"> </w:t>
      </w:r>
      <w:r>
        <w:rPr>
          <w:b/>
          <w:bCs/>
        </w:rPr>
        <w:t xml:space="preserve">temps</w:t>
      </w:r>
      <w:r>
        <w:t xml:space="preserve"> </w:t>
      </w:r>
      <w:r>
        <w:t xml:space="preserve">avant collage.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Notices fabricants – Baignoires acryliques (Jakob Delafon, v7)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Mode de pose</w:t>
      </w:r>
      <w:r>
        <w:t xml:space="preserve"> </w:t>
      </w:r>
      <w:r>
        <w:t xml:space="preserve">: baignoire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,</w:t>
      </w:r>
      <w:r>
        <w:t xml:space="preserve"> </w:t>
      </w:r>
      <w:r>
        <w:rPr>
          <w:b/>
          <w:bCs/>
        </w:rPr>
        <w:t xml:space="preserve">calée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stabilisée</w:t>
      </w:r>
      <w:r>
        <w:t xml:space="preserve"> </w:t>
      </w:r>
      <w:r>
        <w:t xml:space="preserve">; essais d’</w:t>
      </w:r>
      <w:r>
        <w:rPr>
          <w:b/>
          <w:bCs/>
        </w:rPr>
        <w:t xml:space="preserve">étanchéité</w:t>
      </w:r>
      <w:r>
        <w:t xml:space="preserve"> </w:t>
      </w:r>
      <w:r>
        <w:t xml:space="preserve">après raccordement.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Pieds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réglage</w:t>
      </w:r>
      <w:r>
        <w:t xml:space="preserve"> </w:t>
      </w:r>
      <w:r>
        <w:t xml:space="preserve">à la cote ;</w:t>
      </w:r>
      <w:r>
        <w:t xml:space="preserve"> </w:t>
      </w:r>
      <w:r>
        <w:rPr>
          <w:b/>
          <w:bCs/>
        </w:rPr>
        <w:t xml:space="preserve">appui stable</w:t>
      </w:r>
      <w:r>
        <w:t xml:space="preserve"> </w:t>
      </w:r>
      <w:r>
        <w:t xml:space="preserve">avec</w:t>
      </w:r>
      <w:r>
        <w:t xml:space="preserve"> </w:t>
      </w:r>
      <w:r>
        <w:rPr>
          <w:b/>
          <w:bCs/>
        </w:rPr>
        <w:t xml:space="preserve">répartition de charge</w:t>
      </w:r>
      <w:r>
        <w:t xml:space="preserve"> </w:t>
      </w:r>
      <w:r>
        <w:t xml:space="preserve">(plaque/socle) ;</w:t>
      </w:r>
      <w:r>
        <w:t xml:space="preserve"> </w:t>
      </w:r>
      <w:r>
        <w:rPr>
          <w:b/>
          <w:bCs/>
        </w:rPr>
        <w:t xml:space="preserve">application de silicone au pied</w:t>
      </w:r>
      <w:r>
        <w:t xml:space="preserve"> </w:t>
      </w:r>
      <w:r>
        <w:t xml:space="preserve">si prescrit par la notice ;</w:t>
      </w:r>
      <w:r>
        <w:t xml:space="preserve"> </w:t>
      </w:r>
      <w:r>
        <w:rPr>
          <w:b/>
          <w:bCs/>
        </w:rPr>
        <w:t xml:space="preserve">interdiction d’appuis détournés</w:t>
      </w:r>
      <w:r>
        <w:t xml:space="preserve"> </w:t>
      </w:r>
      <w:r>
        <w:t xml:space="preserve">(ex. fourrures de placo).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Appuis latéraux</w:t>
      </w:r>
      <w:r>
        <w:t xml:space="preserve"> </w:t>
      </w:r>
      <w:r>
        <w:t xml:space="preserve">: uniquement via</w:t>
      </w:r>
      <w:r>
        <w:t xml:space="preserve"> </w:t>
      </w:r>
      <w:r>
        <w:rPr>
          <w:b/>
          <w:bCs/>
        </w:rPr>
        <w:t xml:space="preserve">sabots/rails/accessoires dédiés</w:t>
      </w:r>
      <w:r>
        <w:t xml:space="preserve"> </w:t>
      </w:r>
      <w:r>
        <w:t xml:space="preserve">fournis ou référencés par le fabricant.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Dimensions d’encastrement</w:t>
      </w:r>
      <w:r>
        <w:t xml:space="preserve"> </w:t>
      </w:r>
      <w:r>
        <w:t xml:space="preserve">: respect des</w:t>
      </w:r>
      <w:r>
        <w:t xml:space="preserve"> </w:t>
      </w:r>
      <w:r>
        <w:rPr>
          <w:b/>
          <w:bCs/>
        </w:rPr>
        <w:t xml:space="preserve">cotes et tolérances</w:t>
      </w:r>
      <w:r>
        <w:t xml:space="preserve"> </w:t>
      </w:r>
      <w:r>
        <w:t xml:space="preserve">données par les</w:t>
      </w:r>
      <w:r>
        <w:t xml:space="preserve"> </w:t>
      </w:r>
      <w:r>
        <w:rPr>
          <w:b/>
          <w:bCs/>
        </w:rPr>
        <w:t xml:space="preserve">tableaux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schémas</w:t>
      </w:r>
      <w:r>
        <w:t xml:space="preserve"> </w:t>
      </w:r>
      <w:r>
        <w:t xml:space="preserve">(hauteur sous rebord, entraxes, dégagements de maintenance).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Raccordements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siphon/vidange</w:t>
      </w:r>
      <w:r>
        <w:t xml:space="preserve"> </w:t>
      </w:r>
      <w:r>
        <w:t xml:space="preserve">accessibles et</w:t>
      </w:r>
      <w:r>
        <w:t xml:space="preserve"> </w:t>
      </w:r>
      <w:r>
        <w:rPr>
          <w:b/>
          <w:bCs/>
        </w:rPr>
        <w:t xml:space="preserve">raccord direct</w:t>
      </w:r>
      <w:r>
        <w:t xml:space="preserve"> </w:t>
      </w:r>
      <w:r>
        <w:t xml:space="preserve">à l’évacuation ; pas de tracé imposant une</w:t>
      </w:r>
      <w:r>
        <w:t xml:space="preserve"> </w:t>
      </w:r>
      <w:r>
        <w:rPr>
          <w:b/>
          <w:bCs/>
        </w:rPr>
        <w:t xml:space="preserve">surélévation inutile</w:t>
      </w:r>
      <w:r>
        <w:t xml:space="preserve">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Joint périphérique</w:t>
      </w:r>
      <w:r>
        <w:t xml:space="preserve"> </w:t>
      </w:r>
      <w:r>
        <w:t xml:space="preserve">: mastic</w:t>
      </w:r>
      <w:r>
        <w:t xml:space="preserve"> </w:t>
      </w:r>
      <w:r>
        <w:rPr>
          <w:b/>
          <w:bCs/>
        </w:rPr>
        <w:t xml:space="preserve">sanitaire</w:t>
      </w:r>
      <w:r>
        <w:t xml:space="preserve"> </w:t>
      </w:r>
      <w:r>
        <w:t xml:space="preserve">après</w:t>
      </w:r>
      <w:r>
        <w:t xml:space="preserve"> </w:t>
      </w:r>
      <w:r>
        <w:rPr>
          <w:b/>
          <w:bCs/>
        </w:rPr>
        <w:t xml:space="preserve">décapage/dégraissage</w:t>
      </w:r>
      <w:r>
        <w:t xml:space="preserve"> </w:t>
      </w:r>
      <w:r>
        <w:t xml:space="preserve">des rives ; continuité sans jour.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Garantie</w:t>
      </w:r>
      <w:r>
        <w:t xml:space="preserve"> </w:t>
      </w:r>
      <w:r>
        <w:t xml:space="preserve">: le</w:t>
      </w:r>
      <w:r>
        <w:t xml:space="preserve"> </w:t>
      </w:r>
      <w:r>
        <w:rPr>
          <w:b/>
          <w:bCs/>
        </w:rPr>
        <w:t xml:space="preserve">non‑respect</w:t>
      </w:r>
      <w:r>
        <w:t xml:space="preserve"> </w:t>
      </w:r>
      <w:r>
        <w:t xml:space="preserve">des prescriptions (pieds sans silicone, appuis non conformes, surélévation, joints)</w:t>
      </w:r>
      <w:r>
        <w:t xml:space="preserve"> </w:t>
      </w:r>
      <w:r>
        <w:rPr>
          <w:b/>
          <w:bCs/>
        </w:rPr>
        <w:t xml:space="preserve">rend caduque</w:t>
      </w:r>
      <w:r>
        <w:t xml:space="preserve"> </w:t>
      </w:r>
      <w:r>
        <w:t xml:space="preserve">la garantie fabricant.</w:t>
      </w:r>
    </w:p>
    <w:p>
      <w:pPr>
        <w:pStyle w:val="BlockText"/>
      </w:pPr>
      <w:r>
        <w:t xml:space="preserve">Schémas et tableaux issus de la notice</w:t>
      </w:r>
      <w:r>
        <w:t xml:space="preserve"> </w:t>
      </w:r>
      <w:r>
        <w:rPr>
          <w:b/>
          <w:bCs/>
        </w:rPr>
        <w:t xml:space="preserve">intégrés</w:t>
      </w:r>
      <w:r>
        <w:t xml:space="preserve"> </w:t>
      </w:r>
      <w:r>
        <w:t xml:space="preserve">dans :</w:t>
      </w:r>
      <w:r>
        <w:t xml:space="preserve"> </w:t>
      </w:r>
      <w:r>
        <w:rPr>
          <w:i/>
          <w:iCs/>
        </w:rPr>
        <w:t xml:space="preserve">Extraits_Notices_FT_avec_schemas.docx</w:t>
      </w:r>
      <w:r>
        <w:t xml:space="preserve"> </w:t>
      </w:r>
      <w:r>
        <w:t xml:space="preserve">(pages repérées).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Liaisons carrelage / doublage plâtre avec menuiseries (fenêtre/porte)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Arrêt propre</w:t>
      </w:r>
      <w:r>
        <w:t xml:space="preserve"> </w:t>
      </w:r>
      <w:r>
        <w:t xml:space="preserve">des revêtements contre le</w:t>
      </w:r>
      <w:r>
        <w:t xml:space="preserve"> </w:t>
      </w:r>
      <w:r>
        <w:rPr>
          <w:b/>
          <w:bCs/>
        </w:rPr>
        <w:t xml:space="preserve">dormant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pas de vide</w:t>
      </w:r>
      <w:r>
        <w:t xml:space="preserve"> </w:t>
      </w:r>
      <w:r>
        <w:t xml:space="preserve">visible ;</w:t>
      </w:r>
      <w:r>
        <w:t xml:space="preserve"> </w:t>
      </w:r>
      <w:r>
        <w:rPr>
          <w:b/>
          <w:bCs/>
        </w:rPr>
        <w:t xml:space="preserve">joint souple</w:t>
      </w:r>
      <w:r>
        <w:t xml:space="preserve"> </w:t>
      </w:r>
      <w:r>
        <w:t xml:space="preserve">en finition périphérique.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Doublage</w:t>
      </w:r>
      <w:r>
        <w:t xml:space="preserve"> </w:t>
      </w:r>
      <w:r>
        <w:t xml:space="preserve">côté baie : plaques</w:t>
      </w:r>
      <w:r>
        <w:t xml:space="preserve"> </w:t>
      </w:r>
      <w:r>
        <w:rPr>
          <w:b/>
          <w:bCs/>
        </w:rPr>
        <w:t xml:space="preserve">H1</w:t>
      </w:r>
      <w:r>
        <w:t xml:space="preserve"> </w:t>
      </w:r>
      <w:r>
        <w:t xml:space="preserve">en EB+ ;</w:t>
      </w:r>
      <w:r>
        <w:t xml:space="preserve"> </w:t>
      </w:r>
      <w:r>
        <w:rPr>
          <w:b/>
          <w:bCs/>
        </w:rPr>
        <w:t xml:space="preserve">traitement des angles/jonctions</w:t>
      </w:r>
      <w:r>
        <w:t xml:space="preserve"> </w:t>
      </w:r>
      <w:r>
        <w:t xml:space="preserve">(bandes + enduits compatibles).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Planéité / alignement</w:t>
      </w:r>
      <w:r>
        <w:t xml:space="preserve"> </w:t>
      </w:r>
      <w:r>
        <w:t xml:space="preserve">: rives</w:t>
      </w:r>
      <w:r>
        <w:t xml:space="preserve"> </w:t>
      </w:r>
      <w:r>
        <w:rPr>
          <w:b/>
          <w:bCs/>
        </w:rPr>
        <w:t xml:space="preserve">alignées sur la menuiserie</w:t>
      </w:r>
      <w:r>
        <w:t xml:space="preserve">, découpes</w:t>
      </w:r>
      <w:r>
        <w:t xml:space="preserve"> </w:t>
      </w:r>
      <w:r>
        <w:rPr>
          <w:b/>
          <w:bCs/>
        </w:rPr>
        <w:t xml:space="preserve">franches</w:t>
      </w:r>
      <w:r>
        <w:t xml:space="preserve">, joints</w:t>
      </w:r>
      <w:r>
        <w:t xml:space="preserve"> </w:t>
      </w:r>
      <w:r>
        <w:rPr>
          <w:b/>
          <w:bCs/>
        </w:rPr>
        <w:t xml:space="preserve">calibrés</w:t>
      </w:r>
      <w:r>
        <w:t xml:space="preserve"> </w:t>
      </w:r>
      <w:r>
        <w:t xml:space="preserve">; pas d’alignement pris sur un</w:t>
      </w:r>
      <w:r>
        <w:t xml:space="preserve"> </w:t>
      </w:r>
      <w:r>
        <w:rPr>
          <w:b/>
          <w:bCs/>
        </w:rPr>
        <w:t xml:space="preserve">mur non droit</w:t>
      </w:r>
      <w:r>
        <w:t xml:space="preserve">.</w:t>
      </w:r>
      <w:r>
        <w:br/>
      </w:r>
      <w:r>
        <w:t xml:space="preserve">   •</w:t>
      </w:r>
      <w:r>
        <w:t xml:space="preserve"> </w:t>
      </w:r>
      <w:r>
        <w:rPr>
          <w:b/>
          <w:bCs/>
        </w:rPr>
        <w:t xml:space="preserve">Compatibilité</w:t>
      </w:r>
      <w:r>
        <w:t xml:space="preserve"> </w:t>
      </w:r>
      <w:r>
        <w:t xml:space="preserve">avec SPEC : continuité de la</w:t>
      </w:r>
      <w:r>
        <w:t xml:space="preserve"> </w:t>
      </w:r>
      <w:r>
        <w:rPr>
          <w:b/>
          <w:bCs/>
        </w:rPr>
        <w:t xml:space="preserve">protection à l’eau</w:t>
      </w:r>
      <w:r>
        <w:t xml:space="preserve"> </w:t>
      </w:r>
      <w:r>
        <w:t xml:space="preserve">jusqu’aux rives sous carrelage.</w:t>
      </w:r>
    </w:p>
    <w:p>
      <w:r>
        <w:pict>
          <v:rect style="width:0;height:1.5pt" o:hralign="center" o:hrstd="t" o:hr="t"/>
        </w:pict>
      </w:r>
    </w:p>
    <w:bookmarkEnd w:id="20"/>
    <w:bookmarkStart w:id="21" w:name="Xb45ed3f9df20154ac59d18e8cd67bdb4f3858de"/>
    <w:p>
      <w:pPr>
        <w:pStyle w:val="Heading2"/>
      </w:pPr>
      <w:r>
        <w:t xml:space="preserve">A4.2 — Exigences par thème → zones / métiers / preuves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Thème</w:t>
            </w:r>
          </w:p>
        </w:tc>
        <w:tc>
          <w:tcPr/>
          <w:p>
            <w:pPr>
              <w:pStyle w:val="Compact"/>
            </w:pPr>
            <w:r>
              <w:t xml:space="preserve">Exigence (paraphrasée)</w:t>
            </w:r>
          </w:p>
        </w:tc>
        <w:tc>
          <w:tcPr/>
          <w:p>
            <w:pPr>
              <w:pStyle w:val="Compact"/>
            </w:pPr>
            <w:r>
              <w:t xml:space="preserve">Zones</w:t>
            </w:r>
          </w:p>
        </w:tc>
        <w:tc>
          <w:tcPr/>
          <w:p>
            <w:pPr>
              <w:pStyle w:val="Compact"/>
            </w:pPr>
            <w:r>
              <w:t xml:space="preserve">Métier(s)</w:t>
            </w:r>
          </w:p>
        </w:tc>
        <w:tc>
          <w:tcPr/>
          <w:p>
            <w:pPr>
              <w:pStyle w:val="Compact"/>
            </w:pPr>
            <w:r>
              <w:t xml:space="preserve">Preuves photos (ex.)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murs EB+</w:t>
            </w:r>
          </w:p>
        </w:tc>
        <w:tc>
          <w:tcPr/>
          <w:p>
            <w:pPr>
              <w:pStyle w:val="Compact"/>
            </w:pPr>
            <w:r>
              <w:t xml:space="preserve">Primaire + 2 couches croisées + bandes d’angles + pièces aux traversées</w:t>
            </w:r>
          </w:p>
        </w:tc>
        <w:tc>
          <w:tcPr/>
          <w:p>
            <w:pPr>
              <w:pStyle w:val="Compact"/>
            </w:pPr>
            <w:r>
              <w:t xml:space="preserve">Z1</w:t>
            </w:r>
          </w:p>
        </w:tc>
        <w:tc>
          <w:tcPr/>
          <w:p>
            <w:pPr>
              <w:pStyle w:val="Compact"/>
            </w:pPr>
            <w:r>
              <w:t xml:space="preserve">Carreleur / Plaquiste</w:t>
            </w:r>
          </w:p>
        </w:tc>
        <w:tc>
          <w:tcPr/>
          <w:p>
            <w:pPr>
              <w:pStyle w:val="Compact"/>
            </w:pPr>
            <w:r>
              <w:t xml:space="preserve">2101, 2105, 2109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Traversées</w:t>
            </w:r>
          </w:p>
        </w:tc>
        <w:tc>
          <w:tcPr/>
          <w:p>
            <w:pPr>
              <w:pStyle w:val="Compact"/>
            </w:pPr>
            <w:r>
              <w:t xml:space="preserve">Calfeutrement étanche (manchon/platine), pas de plâtre nu</w:t>
            </w:r>
          </w:p>
        </w:tc>
        <w:tc>
          <w:tcPr/>
          <w:p>
            <w:pPr>
              <w:pStyle w:val="Compact"/>
            </w:pPr>
            <w:r>
              <w:t xml:space="preserve">Z1, Z2</w:t>
            </w:r>
          </w:p>
        </w:tc>
        <w:tc>
          <w:tcPr/>
          <w:p>
            <w:pPr>
              <w:pStyle w:val="Compact"/>
            </w:pPr>
            <w:r>
              <w:t xml:space="preserve">Plombier / Carreleur</w:t>
            </w:r>
          </w:p>
        </w:tc>
        <w:tc>
          <w:tcPr/>
          <w:p>
            <w:pPr>
              <w:pStyle w:val="Compact"/>
            </w:pPr>
            <w:r>
              <w:t xml:space="preserve">2102, 2103, 2115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Joints souples</w:t>
            </w:r>
          </w:p>
        </w:tc>
        <w:tc>
          <w:tcPr/>
          <w:p>
            <w:pPr>
              <w:pStyle w:val="Compact"/>
            </w:pPr>
            <w:r>
              <w:t xml:space="preserve">Mastic sanitaire continu en pied et pourtours</w:t>
            </w:r>
          </w:p>
        </w:tc>
        <w:tc>
          <w:tcPr/>
          <w:p>
            <w:pPr>
              <w:pStyle w:val="Compact"/>
            </w:pPr>
            <w:r>
              <w:t xml:space="preserve">Z2, Z6</w:t>
            </w:r>
          </w:p>
        </w:tc>
        <w:tc>
          <w:tcPr/>
          <w:p>
            <w:pPr>
              <w:pStyle w:val="Compact"/>
            </w:pPr>
            <w:r>
              <w:t xml:space="preserve">Carreleur / Plombier</w:t>
            </w:r>
          </w:p>
        </w:tc>
        <w:tc>
          <w:tcPr/>
          <w:p>
            <w:pPr>
              <w:pStyle w:val="Compact"/>
            </w:pPr>
            <w:r>
              <w:t xml:space="preserve">2310, 2311, 2301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Planéité / alignement</w:t>
            </w:r>
          </w:p>
        </w:tc>
        <w:tc>
          <w:tcPr/>
          <w:p>
            <w:pPr>
              <w:pStyle w:val="Compact"/>
            </w:pPr>
            <w:r>
              <w:t xml:space="preserve">Alignement des carreaux, joints calibrés, coupes nettes</w:t>
            </w:r>
          </w:p>
        </w:tc>
        <w:tc>
          <w:tcPr/>
          <w:p>
            <w:pPr>
              <w:pStyle w:val="Compact"/>
            </w:pPr>
            <w:r>
              <w:t xml:space="preserve">Z6 / Fenêtre</w:t>
            </w:r>
          </w:p>
        </w:tc>
        <w:tc>
          <w:tcPr/>
          <w:p>
            <w:pPr>
              <w:pStyle w:val="Compact"/>
            </w:pPr>
            <w:r>
              <w:t xml:space="preserve">Carreleur</w:t>
            </w:r>
          </w:p>
        </w:tc>
        <w:tc>
          <w:tcPr/>
          <w:p>
            <w:pPr>
              <w:pStyle w:val="Compact"/>
            </w:pPr>
            <w:r>
              <w:t xml:space="preserve">0009, 0010 (détails), vues générales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Ventilation</w:t>
            </w:r>
          </w:p>
        </w:tc>
        <w:tc>
          <w:tcPr/>
          <w:p>
            <w:pPr>
              <w:pStyle w:val="Compact"/>
            </w:pPr>
            <w:r>
              <w:t xml:space="preserve">Débits SDB 15–30 m³/h, WC 15 m³/h ; traversée propre (rosace, pas de jour)</w:t>
            </w:r>
          </w:p>
        </w:tc>
        <w:tc>
          <w:tcPr/>
          <w:p>
            <w:pPr>
              <w:pStyle w:val="Compact"/>
            </w:pPr>
            <w:r>
              <w:t xml:space="preserve">Z7</w:t>
            </w:r>
          </w:p>
        </w:tc>
        <w:tc>
          <w:tcPr/>
          <w:p>
            <w:pPr>
              <w:pStyle w:val="Compact"/>
            </w:pPr>
            <w:r>
              <w:t xml:space="preserve">Électricien / Ventilation</w:t>
            </w:r>
          </w:p>
        </w:tc>
        <w:tc>
          <w:tcPr/>
          <w:p>
            <w:pPr>
              <w:pStyle w:val="Compact"/>
            </w:pPr>
            <w:r>
              <w:t xml:space="preserve">2110, 2111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Baignoire – pieds</w:t>
            </w:r>
          </w:p>
        </w:tc>
        <w:tc>
          <w:tcPr/>
          <w:p>
            <w:pPr>
              <w:pStyle w:val="Compact"/>
            </w:pPr>
            <w:r>
              <w:t xml:space="preserve">Réglage</w:t>
            </w:r>
            <w:r>
              <w:t xml:space="preserve"> </w:t>
            </w:r>
            <w:r>
              <w:rPr>
                <w:b/>
                <w:bCs/>
              </w:rPr>
              <w:t xml:space="preserve">sans excès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silicone</w:t>
            </w:r>
            <w:r>
              <w:t xml:space="preserve"> </w:t>
            </w:r>
            <w:r>
              <w:t xml:space="preserve">si prescrit,</w:t>
            </w:r>
            <w:r>
              <w:t xml:space="preserve"> </w:t>
            </w:r>
            <w:r>
              <w:rPr>
                <w:b/>
                <w:bCs/>
              </w:rPr>
              <w:t xml:space="preserve">répartition</w:t>
            </w:r>
            <w:r>
              <w:t xml:space="preserve"> </w:t>
            </w:r>
            <w:r>
              <w:t xml:space="preserve">de charge</w:t>
            </w:r>
          </w:p>
        </w:tc>
        <w:tc>
          <w:tcPr/>
          <w:p>
            <w:pPr>
              <w:pStyle w:val="Compact"/>
            </w:pPr>
            <w:r>
              <w:t xml:space="preserve">Z2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  <w:tc>
          <w:tcPr/>
          <w:p>
            <w:pPr>
              <w:pStyle w:val="Compact"/>
            </w:pPr>
            <w:r>
              <w:t xml:space="preserve">2208, 2210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Baignoire – évacuation</w:t>
            </w:r>
          </w:p>
        </w:tc>
        <w:tc>
          <w:tcPr/>
          <w:p>
            <w:pPr>
              <w:pStyle w:val="Compact"/>
            </w:pPr>
            <w:r>
              <w:t xml:space="preserve">Raccord</w:t>
            </w:r>
            <w:r>
              <w:t xml:space="preserve"> </w:t>
            </w: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depuis siphon ; éviter réemploi défavorable</w:t>
            </w:r>
          </w:p>
        </w:tc>
        <w:tc>
          <w:tcPr/>
          <w:p>
            <w:pPr>
              <w:pStyle w:val="Compact"/>
            </w:pPr>
            <w:r>
              <w:t xml:space="preserve">Z2</w:t>
            </w:r>
          </w:p>
        </w:tc>
        <w:tc>
          <w:tcPr/>
          <w:p>
            <w:pPr>
              <w:pStyle w:val="Compact"/>
            </w:pPr>
            <w:r>
              <w:t xml:space="preserve">Plombier</w:t>
            </w:r>
          </w:p>
        </w:tc>
        <w:tc>
          <w:tcPr/>
          <w:p>
            <w:pPr>
              <w:pStyle w:val="Compact"/>
            </w:pPr>
            <w:r>
              <w:t xml:space="preserve">2209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Baignoire – appuis</w:t>
            </w:r>
          </w:p>
        </w:tc>
        <w:tc>
          <w:tcPr/>
          <w:p>
            <w:pPr>
              <w:pStyle w:val="Compact"/>
            </w:pPr>
            <w:r>
              <w:t xml:space="preserve">Appuis latéraux</w:t>
            </w:r>
            <w:r>
              <w:t xml:space="preserve"> </w:t>
            </w:r>
            <w:r>
              <w:rPr>
                <w:b/>
                <w:bCs/>
              </w:rPr>
              <w:t xml:space="preserve">conformes</w:t>
            </w:r>
            <w:r>
              <w:t xml:space="preserve"> </w:t>
            </w:r>
            <w:r>
              <w:t xml:space="preserve">(sabots/rails dédiés), pas de fourrures placo</w:t>
            </w:r>
          </w:p>
        </w:tc>
        <w:tc>
          <w:tcPr/>
          <w:p>
            <w:pPr>
              <w:pStyle w:val="Compact"/>
            </w:pPr>
            <w:r>
              <w:t xml:space="preserve">Z2</w:t>
            </w:r>
          </w:p>
        </w:tc>
        <w:tc>
          <w:tcPr/>
          <w:p>
            <w:pPr>
              <w:pStyle w:val="Compact"/>
            </w:pPr>
            <w:r>
              <w:t xml:space="preserve">Plombier / Plaquiste</w:t>
            </w:r>
          </w:p>
        </w:tc>
        <w:tc>
          <w:tcPr/>
          <w:p>
            <w:pPr>
              <w:pStyle w:val="Compact"/>
            </w:pPr>
            <w:r>
              <w:t xml:space="preserve">2207</w:t>
            </w:r>
          </w:p>
        </w:tc>
      </w:tr>
    </w:tbl>
    <w:p>
      <w:pPr>
        <w:pStyle w:val="BlockText"/>
      </w:pPr>
      <w:r>
        <w:t xml:space="preserve">Les correspondances</w:t>
      </w:r>
      <w:r>
        <w:t xml:space="preserve"> </w:t>
      </w:r>
      <w:r>
        <w:rPr>
          <w:b/>
          <w:bCs/>
        </w:rPr>
        <w:t xml:space="preserve">Zx‑yy</w:t>
      </w:r>
      <w:r>
        <w:t xml:space="preserve"> </w:t>
      </w:r>
      <w:r>
        <w:t xml:space="preserve">détaillées figurent en</w:t>
      </w:r>
      <w:r>
        <w:t xml:space="preserve"> </w:t>
      </w:r>
      <w:r>
        <w:rPr>
          <w:b/>
          <w:bCs/>
        </w:rPr>
        <w:t xml:space="preserve">A3</w:t>
      </w:r>
      <w:r>
        <w:t xml:space="preserve"> ; l’index complet des fichiers est en</w:t>
      </w:r>
      <w:r>
        <w:t xml:space="preserve"> </w:t>
      </w:r>
      <w:r>
        <w:rPr>
          <w:b/>
          <w:bCs/>
        </w:rPr>
        <w:t xml:space="preserve">A2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0332a3e325a18b342d9ba8dda0bdc9e997ea4cf"/>
    <w:p>
      <w:pPr>
        <w:pStyle w:val="Heading2"/>
      </w:pPr>
      <w:r>
        <w:t xml:space="preserve">A4.3 — Application aux désordres du dossier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 1</w:t>
      </w:r>
      <w:r>
        <w:t xml:space="preserve"> :</w:t>
      </w:r>
      <w:r>
        <w:t xml:space="preserve"> </w:t>
      </w:r>
      <w:r>
        <w:rPr>
          <w:b/>
          <w:bCs/>
        </w:rPr>
        <w:t xml:space="preserve">absence de SPEC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plâtre nu</w:t>
      </w:r>
      <w:r>
        <w:t xml:space="preserve"> </w:t>
      </w:r>
      <w:r>
        <w:t xml:space="preserve">aux traversées ⇒ contraire à</w:t>
      </w:r>
      <w:r>
        <w:t xml:space="preserve"> </w:t>
      </w:r>
      <w:r>
        <w:rPr>
          <w:b/>
          <w:bCs/>
        </w:rPr>
        <w:t xml:space="preserve">DTU 52.2 + P1‑1‑4</w:t>
      </w:r>
      <w:r>
        <w:t xml:space="preserve"> </w:t>
      </w:r>
      <w:r>
        <w:t xml:space="preserve">(SPE/SPEC) et à la</w:t>
      </w:r>
      <w:r>
        <w:t xml:space="preserve"> </w:t>
      </w:r>
      <w:r>
        <w:rPr>
          <w:b/>
          <w:bCs/>
        </w:rPr>
        <w:t xml:space="preserve">coordination</w:t>
      </w:r>
      <w:r>
        <w:t xml:space="preserve"> </w:t>
      </w:r>
      <w:r>
        <w:t xml:space="preserve">exigée par</w:t>
      </w:r>
      <w:r>
        <w:t xml:space="preserve"> </w:t>
      </w:r>
      <w:r>
        <w:rPr>
          <w:b/>
          <w:bCs/>
        </w:rPr>
        <w:t xml:space="preserve">DTU 60.1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 2</w:t>
      </w:r>
      <w:r>
        <w:t xml:space="preserve"> :</w:t>
      </w:r>
      <w:r>
        <w:t xml:space="preserve"> </w:t>
      </w:r>
      <w:r>
        <w:rPr>
          <w:b/>
          <w:bCs/>
        </w:rPr>
        <w:t xml:space="preserve">pieds au maximum sans silicone</w:t>
      </w:r>
      <w:r>
        <w:t xml:space="preserve">,</w:t>
      </w:r>
      <w:r>
        <w:t xml:space="preserve"> </w:t>
      </w:r>
      <w:r>
        <w:rPr>
          <w:b/>
          <w:bCs/>
        </w:rPr>
        <w:t xml:space="preserve">appuis en fourrures</w:t>
      </w:r>
      <w:r>
        <w:t xml:space="preserve">,</w:t>
      </w:r>
      <w:r>
        <w:t xml:space="preserve"> </w:t>
      </w:r>
      <w:r>
        <w:rPr>
          <w:b/>
          <w:bCs/>
        </w:rPr>
        <w:t xml:space="preserve">joint périphérique lacunaire</w:t>
      </w:r>
      <w:r>
        <w:t xml:space="preserve"> ⇒ contraire aux</w:t>
      </w:r>
      <w:r>
        <w:t xml:space="preserve"> </w:t>
      </w:r>
      <w:r>
        <w:rPr>
          <w:b/>
          <w:bCs/>
        </w:rPr>
        <w:t xml:space="preserve">notices fabricants</w:t>
      </w:r>
      <w:r>
        <w:t xml:space="preserve"> </w:t>
      </w:r>
      <w:r>
        <w:t xml:space="preserve">baignoires et aux</w:t>
      </w:r>
      <w:r>
        <w:t xml:space="preserve"> </w:t>
      </w:r>
      <w:r>
        <w:rPr>
          <w:b/>
          <w:bCs/>
        </w:rPr>
        <w:t xml:space="preserve">règles de l’art</w:t>
      </w:r>
      <w:r>
        <w:t xml:space="preserve"> ; risque d’</w:t>
      </w:r>
      <w:r>
        <w:rPr>
          <w:b/>
          <w:bCs/>
        </w:rPr>
        <w:t xml:space="preserve">instabilité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infiltrations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 6</w:t>
      </w:r>
      <w:r>
        <w:t xml:space="preserve"> :</w:t>
      </w:r>
      <w:r>
        <w:t xml:space="preserve"> </w:t>
      </w:r>
      <w:r>
        <w:rPr>
          <w:b/>
          <w:bCs/>
        </w:rPr>
        <w:t xml:space="preserve">joints souples manquants/discontinus</w:t>
      </w:r>
      <w:r>
        <w:t xml:space="preserve">,</w:t>
      </w:r>
      <w:r>
        <w:t xml:space="preserve"> </w:t>
      </w:r>
      <w:r>
        <w:rPr>
          <w:b/>
          <w:bCs/>
        </w:rPr>
        <w:t xml:space="preserve">découpes grossières</w:t>
      </w:r>
      <w:r>
        <w:t xml:space="preserve"> ⇒ non‑conformité</w:t>
      </w:r>
      <w:r>
        <w:t xml:space="preserve"> </w:t>
      </w:r>
      <w:r>
        <w:rPr>
          <w:b/>
          <w:bCs/>
        </w:rPr>
        <w:t xml:space="preserve">DTU 52.2</w:t>
      </w:r>
      <w:r>
        <w:t xml:space="preserve"> </w:t>
      </w:r>
      <w:r>
        <w:t xml:space="preserve">(finitions, joints) ; défauts de propreté de fin de chantier.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Zone 7</w:t>
      </w:r>
      <w:r>
        <w:t xml:space="preserve"> :</w:t>
      </w:r>
      <w:r>
        <w:t xml:space="preserve"> </w:t>
      </w:r>
      <w:r>
        <w:rPr>
          <w:b/>
          <w:bCs/>
        </w:rPr>
        <w:t xml:space="preserve">traversée non habillée</w:t>
      </w:r>
      <w:r>
        <w:t xml:space="preserve"> ⇒ contraire à l’</w:t>
      </w:r>
      <w:r>
        <w:rPr>
          <w:b/>
          <w:bCs/>
        </w:rPr>
        <w:t xml:space="preserve">Arrêté 1982</w:t>
      </w:r>
      <w:r>
        <w:t xml:space="preserve"> </w:t>
      </w:r>
      <w:r>
        <w:t xml:space="preserve">(exigence de continuité et absence de jour au droit des bouches).</w:t>
      </w:r>
    </w:p>
    <w:p>
      <w:r>
        <w:pict>
          <v:rect style="width:0;height:1.5pt" o:hralign="center" o:hrstd="t" o:hr="t"/>
        </w:pict>
      </w:r>
    </w:p>
    <w:bookmarkEnd w:id="22"/>
    <w:bookmarkStart w:id="23" w:name="a4.4-clause-garantie-fabricant-baignoire"/>
    <w:p>
      <w:pPr>
        <w:pStyle w:val="Heading2"/>
      </w:pPr>
      <w:r>
        <w:t xml:space="preserve">A4.4 — Clause « garantie fabricant » (baignoire)</w:t>
      </w:r>
    </w:p>
    <w:p>
      <w:pPr>
        <w:pStyle w:val="Compact"/>
        <w:numPr>
          <w:ilvl w:val="0"/>
          <w:numId w:val="1004"/>
        </w:numPr>
      </w:pPr>
      <w:r>
        <w:t xml:space="preserve">La notice jointe impose :</w:t>
      </w:r>
      <w:r>
        <w:t xml:space="preserve"> </w:t>
      </w:r>
      <w:r>
        <w:rPr>
          <w:b/>
          <w:bCs/>
        </w:rPr>
        <w:t xml:space="preserve">pieds réglés correctement</w:t>
      </w:r>
      <w:r>
        <w:t xml:space="preserve">,</w:t>
      </w:r>
      <w:r>
        <w:t xml:space="preserve"> </w:t>
      </w:r>
      <w:r>
        <w:rPr>
          <w:b/>
          <w:bCs/>
        </w:rPr>
        <w:t xml:space="preserve">silicone</w:t>
      </w:r>
      <w:r>
        <w:t xml:space="preserve"> </w:t>
      </w:r>
      <w:r>
        <w:t xml:space="preserve">au sol si prescrit,</w:t>
      </w:r>
      <w:r>
        <w:t xml:space="preserve"> </w:t>
      </w:r>
      <w:r>
        <w:rPr>
          <w:b/>
          <w:bCs/>
        </w:rPr>
        <w:t xml:space="preserve">appuis conformes</w:t>
      </w:r>
      <w:r>
        <w:t xml:space="preserve">,</w:t>
      </w:r>
      <w:r>
        <w:t xml:space="preserve"> </w:t>
      </w:r>
      <w:r>
        <w:rPr>
          <w:b/>
          <w:bCs/>
        </w:rPr>
        <w:t xml:space="preserve">joint périphérique</w:t>
      </w:r>
      <w:r>
        <w:t xml:space="preserve"> </w:t>
      </w:r>
      <w:r>
        <w:t xml:space="preserve">sur supports</w:t>
      </w:r>
      <w:r>
        <w:t xml:space="preserve"> </w:t>
      </w:r>
      <w:r>
        <w:rPr>
          <w:b/>
          <w:bCs/>
        </w:rPr>
        <w:t xml:space="preserve">propres/dégraissés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réutilisation</w:t>
      </w:r>
      <w:r>
        <w:t xml:space="preserve"> </w:t>
      </w:r>
      <w:r>
        <w:t xml:space="preserve">d’une évacuation imposant une</w:t>
      </w:r>
      <w:r>
        <w:t xml:space="preserve"> </w:t>
      </w:r>
      <w:r>
        <w:rPr>
          <w:b/>
          <w:bCs/>
        </w:rPr>
        <w:t xml:space="preserve">surélévation</w:t>
      </w:r>
      <w:r>
        <w:t xml:space="preserve"> </w:t>
      </w:r>
      <w:r>
        <w:t xml:space="preserve">évitable et l’absence de silicone aux pieds</w:t>
      </w:r>
      <w:r>
        <w:t xml:space="preserve"> </w:t>
      </w:r>
      <w:r>
        <w:rPr>
          <w:b/>
          <w:bCs/>
        </w:rPr>
        <w:t xml:space="preserve">annulent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garantie</w:t>
      </w:r>
      <w:r>
        <w:t xml:space="preserve"> </w:t>
      </w:r>
      <w:r>
        <w:t xml:space="preserve">du fabricant.</w:t>
      </w:r>
    </w:p>
    <w:p>
      <w:pPr>
        <w:pStyle w:val="FirstParagraph"/>
      </w:pPr>
      <w:r>
        <w:rPr>
          <w:i/>
          <w:iCs/>
        </w:rPr>
        <w:t xml:space="preserve">(Référence interne : « NOTICE_Bain‑Acrylique_v7.pdf » jointe au dossier.)</w:t>
      </w:r>
    </w:p>
    <w:p>
      <w:r>
        <w:pict>
          <v:rect style="width:0;height:1.5pt" o:hralign="center" o:hrstd="t" o:hr="t"/>
        </w:pict>
      </w:r>
    </w:p>
    <w:bookmarkEnd w:id="23"/>
    <w:bookmarkStart w:id="25" w:name="X530e81b381f1db7d7388c52ea288904697a0d69"/>
    <w:p>
      <w:pPr>
        <w:pStyle w:val="Heading2"/>
      </w:pPr>
      <w:r>
        <w:t xml:space="preserve">A4.5 — Bibliographie courte (accès public / fabricants)</w:t>
      </w:r>
    </w:p>
    <w:p>
      <w:pPr>
        <w:pStyle w:val="Compact"/>
        <w:numPr>
          <w:ilvl w:val="0"/>
          <w:numId w:val="1005"/>
        </w:numPr>
      </w:pPr>
      <w:r>
        <w:t xml:space="preserve">Arrêté du 24 mars 1982 relatif à l’aération des logements (JO).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NF DTU 25.41 : Cloisons/doublages en plaques de plâtre (EB+, H1).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NF DTU 52.2 &amp; P1‑1‑4 (2022) : Pose collée + SPEC murs intérieurs.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NF DTU 60.1 : Plomberie sanitaire.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CPT 3528_V2 : Systèmes de protection à l’eau sous carrelage.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Notices fabricants (baignoires acryliques, systèmes SPEC, plaques H1, mastics sanitaires).</w:t>
      </w:r>
    </w:p>
    <w:p>
      <w:r>
        <w:pict>
          <v:rect style="width:0;height:1.5pt" o:hralign="center" o:hrstd="t" o:hr="t"/>
        </w:pict>
      </w:r>
    </w:p>
    <w:bookmarkStart w:id="24" w:name="X975f832c92b9fd30dd5d8663ea72fbdd6e27e1b"/>
    <w:p>
      <w:pPr>
        <w:pStyle w:val="Heading3"/>
      </w:pPr>
      <w:r>
        <w:t xml:space="preserve">A4.6 — Clause de responsabilité &amp; vérifications préalables</w:t>
      </w:r>
    </w:p>
    <w:p>
      <w:pPr>
        <w:pStyle w:val="FirstParagraph"/>
      </w:pPr>
      <w:r>
        <w:t xml:space="preserve">Les éléments ci‑dessus sont fournis</w:t>
      </w:r>
      <w:r>
        <w:t xml:space="preserve"> </w:t>
      </w:r>
      <w:r>
        <w:rPr>
          <w:b/>
          <w:bCs/>
        </w:rPr>
        <w:t xml:space="preserve">à titre strictement informatif</w:t>
      </w:r>
      <w:r>
        <w:t xml:space="preserve"> </w:t>
      </w:r>
      <w:r>
        <w:t xml:space="preserve">pour faciliter la lecture contradictoire du dossier. Ils ne sauraient se substituer aux</w:t>
      </w:r>
      <w:r>
        <w:t xml:space="preserve"> </w:t>
      </w:r>
      <w:r>
        <w:rPr>
          <w:b/>
          <w:bCs/>
        </w:rPr>
        <w:t xml:space="preserve">textes officiels</w:t>
      </w:r>
      <w:r>
        <w:t xml:space="preserve">, aux</w:t>
      </w:r>
      <w:r>
        <w:t xml:space="preserve"> </w:t>
      </w:r>
      <w:r>
        <w:rPr>
          <w:b/>
          <w:bCs/>
        </w:rPr>
        <w:t xml:space="preserve">DTU</w:t>
      </w:r>
      <w:r>
        <w:t xml:space="preserve">,</w:t>
      </w:r>
      <w:r>
        <w:t xml:space="preserve"> </w:t>
      </w:r>
      <w:r>
        <w:rPr>
          <w:b/>
          <w:bCs/>
        </w:rPr>
        <w:t xml:space="preserve">Avis techniques</w:t>
      </w:r>
      <w:r>
        <w:t xml:space="preserve">,</w:t>
      </w:r>
      <w:r>
        <w:t xml:space="preserve"> </w:t>
      </w:r>
      <w:r>
        <w:rPr>
          <w:b/>
          <w:bCs/>
        </w:rPr>
        <w:t xml:space="preserve">CPT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notices fabricants</w:t>
      </w:r>
      <w:r>
        <w:t xml:space="preserve"> </w:t>
      </w:r>
      <w:r>
        <w:t xml:space="preserve">applicables.</w:t>
      </w:r>
    </w:p>
    <w:p>
      <w:pPr>
        <w:pStyle w:val="Compact"/>
        <w:numPr>
          <w:ilvl w:val="0"/>
          <w:numId w:val="1006"/>
        </w:numPr>
      </w:pPr>
      <w:r>
        <w:t xml:space="preserve">Chaque intervenant (entreprise, opérateur, expert, assureur) doit</w:t>
      </w:r>
      <w:r>
        <w:t xml:space="preserve"> </w:t>
      </w:r>
      <w:r>
        <w:rPr>
          <w:b/>
          <w:bCs/>
        </w:rPr>
        <w:t xml:space="preserve">vérifier</w:t>
      </w:r>
      <w:r>
        <w:t xml:space="preserve"> </w:t>
      </w:r>
      <w:r>
        <w:t xml:space="preserve">sous sa responsabilité la</w:t>
      </w:r>
      <w:r>
        <w:t xml:space="preserve"> </w:t>
      </w:r>
      <w:r>
        <w:rPr>
          <w:b/>
          <w:bCs/>
        </w:rPr>
        <w:t xml:space="preserve">version en vigueur</w:t>
      </w:r>
      <w:r>
        <w:t xml:space="preserve"> </w:t>
      </w:r>
      <w:r>
        <w:t xml:space="preserve">des documents et leur</w:t>
      </w:r>
      <w:r>
        <w:t xml:space="preserve"> </w:t>
      </w:r>
      <w:r>
        <w:rPr>
          <w:b/>
          <w:bCs/>
        </w:rPr>
        <w:t xml:space="preserve">champ d’application</w:t>
      </w:r>
      <w:r>
        <w:t xml:space="preserve"> </w:t>
      </w:r>
      <w:r>
        <w:t xml:space="preserve">au cas présent.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 cas de</w:t>
      </w:r>
      <w:r>
        <w:t xml:space="preserve"> </w:t>
      </w:r>
      <w:r>
        <w:rPr>
          <w:b/>
          <w:bCs/>
        </w:rPr>
        <w:t xml:space="preserve">divergence</w:t>
      </w:r>
      <w:r>
        <w:t xml:space="preserve"> </w:t>
      </w:r>
      <w:r>
        <w:t xml:space="preserve">entre le présent résumé et une source de référence,</w:t>
      </w:r>
      <w:r>
        <w:t xml:space="preserve"> </w:t>
      </w:r>
      <w:r>
        <w:rPr>
          <w:b/>
          <w:bCs/>
        </w:rPr>
        <w:t xml:space="preserve">la source de référence prévaut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Le bénéficiaire et l’auteur de la présente annexe</w:t>
      </w:r>
      <w:r>
        <w:t xml:space="preserve"> </w:t>
      </w:r>
      <w:r>
        <w:rPr>
          <w:b/>
          <w:bCs/>
        </w:rPr>
        <w:t xml:space="preserve">déclinent toute responsabilité</w:t>
      </w:r>
      <w:r>
        <w:t xml:space="preserve"> </w:t>
      </w:r>
      <w:r>
        <w:t xml:space="preserve">quant aux conséquences d’un usage sans vérification préalable.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Les prescriptions de pose/fournisseur et la réglementation</w:t>
      </w:r>
      <w:r>
        <w:t xml:space="preserve"> </w:t>
      </w:r>
      <w:r>
        <w:rPr>
          <w:b/>
          <w:bCs/>
        </w:rPr>
        <w:t xml:space="preserve">demeurent opposables</w:t>
      </w:r>
      <w:r>
        <w:t xml:space="preserve"> </w:t>
      </w:r>
      <w:r>
        <w:t xml:space="preserve">à l’entreprise, indépendamment de ce résumé.</w:t>
      </w:r>
    </w:p>
    <w:bookmarkEnd w:id="24"/>
    <w:bookmarkEnd w:id="25"/>
    <w:bookmarkStart w:id="26" w:name="section"/>
    <w:p>
      <w:pPr>
        <w:pStyle w:val="Heading2"/>
      </w:pPr>
      <w:r>
        <w:t xml:space="preserve">—</w:t>
      </w:r>
    </w:p>
    <w:bookmarkEnd w:id="26"/>
    <w:bookmarkStart w:id="27" w:name="X5e5e17165a425e6696b66d19a9d95b7013616e5"/>
    <w:p>
      <w:pPr>
        <w:pStyle w:val="Heading2"/>
      </w:pPr>
      <w:r>
        <w:t xml:space="preserve">A4.7 — Fiches fabricants &amp; documents techniques joints (repères de citation)</w:t>
      </w:r>
    </w:p>
    <w:p>
      <w:pPr>
        <w:pStyle w:val="BlockText"/>
      </w:pPr>
      <w:r>
        <w:t xml:space="preserve">Les points ci‑dessous synthétisent les</w:t>
      </w:r>
      <w:r>
        <w:t xml:space="preserve"> </w:t>
      </w:r>
      <w:r>
        <w:rPr>
          <w:b/>
          <w:bCs/>
        </w:rPr>
        <w:t xml:space="preserve">exigences usuelles</w:t>
      </w:r>
      <w:r>
        <w:t xml:space="preserve"> </w:t>
      </w:r>
      <w:r>
        <w:t xml:space="preserve">de chaque document transmis. Ils sont formulés pour un</w:t>
      </w:r>
      <w:r>
        <w:t xml:space="preserve"> </w:t>
      </w:r>
      <w:r>
        <w:rPr>
          <w:b/>
          <w:bCs/>
        </w:rPr>
        <w:t xml:space="preserve">usage contradictoire</w:t>
      </w:r>
      <w:r>
        <w:t xml:space="preserve"> </w:t>
      </w:r>
      <w:r>
        <w:t xml:space="preserve">(entreprise/opérateur/assureur). En cas de divergence, la</w:t>
      </w:r>
      <w:r>
        <w:t xml:space="preserve"> </w:t>
      </w:r>
      <w:r>
        <w:rPr>
          <w:b/>
          <w:bCs/>
        </w:rPr>
        <w:t xml:space="preserve">notice/FT fait foi</w:t>
      </w:r>
      <w:r>
        <w:t xml:space="preserve"> </w:t>
      </w:r>
      <w:r>
        <w:t xml:space="preserve">; les références des pages/paragraphes seront ajoutées si besoin lors de l’export.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(réf.)</w:t>
            </w:r>
          </w:p>
        </w:tc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</w:pPr>
            <w:r>
              <w:t xml:space="preserve">Exigences clés à opposer</w:t>
            </w:r>
          </w:p>
        </w:tc>
        <w:tc>
          <w:tcPr/>
          <w:p>
            <w:pPr>
              <w:pStyle w:val="Compact"/>
            </w:pPr>
            <w:r>
              <w:t xml:space="preserve">Repères de citation</w:t>
            </w:r>
          </w:p>
        </w:tc>
        <w:tc>
          <w:tcPr/>
          <w:p>
            <w:pPr>
              <w:pStyle w:val="Compact"/>
            </w:pPr>
            <w:r>
              <w:t xml:space="preserve">Usage dans le dossier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NOTICE_Bain‑Acrylique_v7.pdf</w:t>
            </w:r>
          </w:p>
        </w:tc>
        <w:tc>
          <w:tcPr/>
          <w:p>
            <w:pPr>
              <w:pStyle w:val="Compact"/>
            </w:pPr>
            <w:r>
              <w:t xml:space="preserve">Pose baignoire acrylique</w:t>
            </w:r>
          </w:p>
        </w:tc>
        <w:tc>
          <w:tcPr/>
          <w:p>
            <w:pPr>
              <w:pStyle w:val="Compact"/>
            </w:pPr>
            <w:r>
              <w:t xml:space="preserve">Pieds</w:t>
            </w:r>
            <w:r>
              <w:t xml:space="preserve"> </w:t>
            </w:r>
            <w:r>
              <w:rPr>
                <w:b/>
                <w:bCs/>
              </w:rPr>
              <w:t xml:space="preserve">réglés</w:t>
            </w:r>
            <w:r>
              <w:t xml:space="preserve">/</w:t>
            </w:r>
            <w:r>
              <w:rPr>
                <w:b/>
                <w:bCs/>
              </w:rPr>
              <w:t xml:space="preserve">assurés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silicone</w:t>
            </w:r>
            <w:r>
              <w:t xml:space="preserve"> </w:t>
            </w:r>
            <w:r>
              <w:t xml:space="preserve">au pied si prescrit ;</w:t>
            </w:r>
            <w:r>
              <w:t xml:space="preserve"> </w:t>
            </w:r>
            <w:r>
              <w:rPr>
                <w:b/>
                <w:bCs/>
              </w:rPr>
              <w:t xml:space="preserve">appuis latéraux dédiés</w:t>
            </w:r>
            <w:r>
              <w:t xml:space="preserve"> </w:t>
            </w:r>
            <w:r>
              <w:t xml:space="preserve">(sabots/rails) ;</w:t>
            </w:r>
            <w:r>
              <w:t xml:space="preserve"> </w:t>
            </w:r>
            <w:r>
              <w:rPr>
                <w:b/>
                <w:bCs/>
              </w:rPr>
              <w:t xml:space="preserve">répartition de charge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joint périphérique</w:t>
            </w:r>
            <w:r>
              <w:t xml:space="preserve"> </w:t>
            </w:r>
            <w:r>
              <w:t xml:space="preserve">mastic sanitaire après dégraissage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(Notice v7, p.1 : « pieds », « silicone », « appui », « joint périphérique »)</w:t>
            </w:r>
          </w:p>
        </w:tc>
        <w:tc>
          <w:tcPr/>
          <w:p>
            <w:pPr>
              <w:pStyle w:val="Compact"/>
            </w:pPr>
            <w:r>
              <w:t xml:space="preserve">Z2 — Instabilité (pieds au max, sans silicone), appuis détournés, joint périphérique lacunaire ;</w:t>
            </w:r>
            <w:r>
              <w:t xml:space="preserve"> </w:t>
            </w:r>
            <w:r>
              <w:rPr>
                <w:b/>
                <w:bCs/>
              </w:rPr>
              <w:t xml:space="preserve">garantie caduque</w:t>
            </w:r>
            <w:r>
              <w:t xml:space="preserve"> </w:t>
            </w:r>
            <w:r>
              <w:t xml:space="preserve">si non‑respect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FT_Baignoire_E6D122.pdf</w:t>
            </w:r>
          </w:p>
        </w:tc>
        <w:tc>
          <w:tcPr/>
          <w:p>
            <w:pPr>
              <w:pStyle w:val="Compact"/>
            </w:pPr>
            <w:r>
              <w:t xml:space="preserve">Caractéristiques &amp; pose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Dimensions</w:t>
            </w:r>
            <w:r>
              <w:t xml:space="preserve"> </w:t>
            </w:r>
            <w:r>
              <w:t xml:space="preserve">d’encastrement, schémas d’</w:t>
            </w:r>
            <w:r>
              <w:rPr>
                <w:b/>
                <w:bCs/>
              </w:rPr>
              <w:t xml:space="preserve">appuis</w:t>
            </w:r>
            <w:r>
              <w:t xml:space="preserve">, consignes de</w:t>
            </w:r>
            <w:r>
              <w:t xml:space="preserve"> </w:t>
            </w:r>
            <w:r>
              <w:rPr>
                <w:b/>
                <w:bCs/>
              </w:rPr>
              <w:t xml:space="preserve">calage</w:t>
            </w:r>
            <w:r>
              <w:t xml:space="preserve">/</w:t>
            </w:r>
            <w:r>
              <w:rPr>
                <w:b/>
                <w:bCs/>
              </w:rPr>
              <w:t xml:space="preserve">pieds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(FT Baignoire, p.1‑2 : « dimensions », « encastrement », « pied »)</w:t>
            </w:r>
          </w:p>
        </w:tc>
        <w:tc>
          <w:tcPr/>
          <w:p>
            <w:pPr>
              <w:pStyle w:val="Compact"/>
            </w:pPr>
            <w:r>
              <w:t xml:space="preserve">Z2 — Vérifie compatibilité des hauteurs/appuis ; proscrit appuis discontinus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FT_Vidange_E6D124.pdf</w:t>
            </w:r>
          </w:p>
        </w:tc>
        <w:tc>
          <w:tcPr/>
          <w:p>
            <w:pPr>
              <w:pStyle w:val="Compact"/>
            </w:pPr>
            <w:r>
              <w:t xml:space="preserve">Siphon/vidange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Raccord direct</w:t>
            </w:r>
            <w:r>
              <w:t xml:space="preserve"> </w:t>
            </w:r>
            <w:r>
              <w:t xml:space="preserve">siphon→évacuation,</w:t>
            </w:r>
            <w:r>
              <w:t xml:space="preserve"> </w:t>
            </w:r>
            <w:r>
              <w:rPr>
                <w:b/>
                <w:bCs/>
              </w:rPr>
              <w:t xml:space="preserve">pente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(FT Vidange, p.1 : « siphon », « raccord »)</w:t>
            </w:r>
          </w:p>
        </w:tc>
        <w:tc>
          <w:tcPr/>
          <w:p>
            <w:pPr>
              <w:pStyle w:val="Compact"/>
            </w:pPr>
            <w:r>
              <w:t xml:space="preserve">Z2 — S’oppose à la réutilisation d’une évacuation haute imposant une surélévation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FT_Mitigeur_GROTHERM2000.pdf</w:t>
            </w:r>
          </w:p>
        </w:tc>
        <w:tc>
          <w:tcPr/>
          <w:p>
            <w:pPr>
              <w:pStyle w:val="Compact"/>
            </w:pPr>
            <w:r>
              <w:t xml:space="preserve">Mitigeur thermostatique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Entraxes</w:t>
            </w:r>
            <w:r>
              <w:t xml:space="preserve">/affleur</w:t>
            </w:r>
            <w:r>
              <w:t xml:space="preserve"> </w:t>
            </w:r>
            <w:r>
              <w:rPr>
                <w:b/>
                <w:bCs/>
              </w:rPr>
              <w:t xml:space="preserve">rosaces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étanchéité</w:t>
            </w:r>
            <w:r>
              <w:t xml:space="preserve"> </w:t>
            </w:r>
            <w:r>
              <w:t xml:space="preserve">traversées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(FT Grohtherm 2000, p.4 : « raccord », « rosace », « joint »)</w:t>
            </w:r>
          </w:p>
        </w:tc>
        <w:tc>
          <w:tcPr/>
          <w:p>
            <w:pPr>
              <w:pStyle w:val="Compact"/>
            </w:pPr>
            <w:r>
              <w:t xml:space="preserve">Z1/Z2 — Calfeutrement étanche et affleur régulier requis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FT_Carrelage_4263895.pdf</w:t>
            </w:r>
          </w:p>
        </w:tc>
        <w:tc>
          <w:tcPr/>
          <w:p>
            <w:pPr>
              <w:pStyle w:val="Compact"/>
            </w:pPr>
            <w:r>
              <w:t xml:space="preserve">Carrelage mur EB+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Supports plans H1</w:t>
            </w:r>
            <w:r>
              <w:t xml:space="preserve"> </w:t>
            </w:r>
            <w:r>
              <w:t xml:space="preserve">en EB+ ;</w:t>
            </w:r>
            <w:r>
              <w:t xml:space="preserve"> </w:t>
            </w:r>
            <w:r>
              <w:rPr>
                <w:b/>
                <w:bCs/>
              </w:rPr>
              <w:t xml:space="preserve">SPEC</w:t>
            </w:r>
            <w:r>
              <w:t xml:space="preserve"> </w:t>
            </w:r>
            <w:r>
              <w:t xml:space="preserve">complet (primaire, 2 couches, bandes, pièces traversées) ;</w:t>
            </w:r>
            <w:r>
              <w:t xml:space="preserve"> </w:t>
            </w:r>
            <w:r>
              <w:rPr>
                <w:b/>
                <w:bCs/>
              </w:rPr>
              <w:t xml:space="preserve">joints</w:t>
            </w:r>
            <w:r>
              <w:t xml:space="preserve"> </w:t>
            </w:r>
            <w:r>
              <w:t xml:space="preserve">calibrés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(FT Carrelage : schémas techniques — pages non textuelles)</w:t>
            </w:r>
          </w:p>
        </w:tc>
        <w:tc>
          <w:tcPr/>
          <w:p>
            <w:pPr>
              <w:pStyle w:val="Compact"/>
            </w:pPr>
            <w:r>
              <w:t xml:space="preserve">Z1/Z6 — Confirme absence de SPEC, angles non traités, joints lacunaires</w:t>
            </w:r>
          </w:p>
        </w:tc>
      </w:tr>
    </w:tbl>
    <w:bookmarkEnd w:id="27"/>
    <w:bookmarkStart w:id="28" w:name="Xf9c8824485db83fa60666869a09911be8d6b447"/>
    <w:p>
      <w:pPr>
        <w:pStyle w:val="Heading2"/>
      </w:pPr>
      <w:r>
        <w:t xml:space="preserve">&gt; Les</w:t>
      </w:r>
      <w:r>
        <w:t xml:space="preserve"> </w:t>
      </w:r>
      <w:r>
        <w:rPr>
          <w:b/>
          <w:bCs/>
        </w:rPr>
        <w:t xml:space="preserve">repères</w:t>
      </w:r>
      <w:r>
        <w:t xml:space="preserve"> </w:t>
      </w:r>
      <w:r>
        <w:t xml:space="preserve">indiquent les pages où figurent les mots‑clés dans les PDFs transmis. Pour toute remise à l’assureur, joindre les</w:t>
      </w:r>
      <w:r>
        <w:t xml:space="preserve"> </w:t>
      </w:r>
      <w:r>
        <w:rPr>
          <w:b/>
          <w:bCs/>
        </w:rPr>
        <w:t xml:space="preserve">extraits paginés</w:t>
      </w:r>
      <w:r>
        <w:t xml:space="preserve"> </w:t>
      </w:r>
      <w:r>
        <w:t xml:space="preserve">correspondants.</w:t>
      </w:r>
    </w:p>
    <w:bookmarkEnd w:id="28"/>
    <w:bookmarkStart w:id="29" w:name="X0000e65479734dce5bb6868e89fe847c2facdd9"/>
    <w:p>
      <w:pPr>
        <w:pStyle w:val="Heading2"/>
      </w:pPr>
      <w:r>
        <w:t xml:space="preserve">A4.8 — Clauses d’exécution &amp; contrôle (à rappeler dans les reprises)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Avant collage</w:t>
      </w:r>
      <w:r>
        <w:t xml:space="preserve"> </w:t>
      </w:r>
      <w:r>
        <w:t xml:space="preserve">: procès‑verbal</w:t>
      </w:r>
      <w:r>
        <w:t xml:space="preserve"> </w:t>
      </w:r>
      <w:r>
        <w:rPr>
          <w:b/>
          <w:bCs/>
        </w:rPr>
        <w:t xml:space="preserve">SPEC</w:t>
      </w:r>
      <w:r>
        <w:t xml:space="preserve"> </w:t>
      </w:r>
      <w:r>
        <w:t xml:space="preserve">(primaire, 2 couches croisées, bandes, pièces aux traversées) + photos datées.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Pose baignoire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mise à niveau</w:t>
      </w:r>
      <w:r>
        <w:t xml:space="preserve">,</w:t>
      </w:r>
      <w:r>
        <w:t xml:space="preserve"> </w:t>
      </w:r>
      <w:r>
        <w:rPr>
          <w:b/>
          <w:bCs/>
        </w:rPr>
        <w:t xml:space="preserve">calage</w:t>
      </w:r>
      <w:r>
        <w:t xml:space="preserve">,</w:t>
      </w:r>
      <w:r>
        <w:t xml:space="preserve"> </w:t>
      </w:r>
      <w:r>
        <w:rPr>
          <w:b/>
          <w:bCs/>
        </w:rPr>
        <w:t xml:space="preserve">silicone aux pieds</w:t>
      </w:r>
      <w:r>
        <w:t xml:space="preserve"> </w:t>
      </w:r>
      <w:r>
        <w:t xml:space="preserve">si prescrit,</w:t>
      </w:r>
      <w:r>
        <w:t xml:space="preserve"> </w:t>
      </w:r>
      <w:r>
        <w:rPr>
          <w:b/>
          <w:bCs/>
        </w:rPr>
        <w:t xml:space="preserve">appuis conformes</w:t>
      </w:r>
      <w:r>
        <w:t xml:space="preserve">, photo du</w:t>
      </w:r>
      <w:r>
        <w:t xml:space="preserve"> </w:t>
      </w:r>
      <w:r>
        <w:rPr>
          <w:b/>
          <w:bCs/>
        </w:rPr>
        <w:t xml:space="preserve">raccord direct</w:t>
      </w:r>
      <w:r>
        <w:t xml:space="preserve"> </w:t>
      </w:r>
      <w:r>
        <w:t xml:space="preserve">siphon→évacuation.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Finitions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joint périphérique</w:t>
      </w:r>
      <w:r>
        <w:t xml:space="preserve"> </w:t>
      </w:r>
      <w:r>
        <w:t xml:space="preserve">continu, contrôle</w:t>
      </w:r>
      <w:r>
        <w:t xml:space="preserve"> </w:t>
      </w:r>
      <w:r>
        <w:rPr>
          <w:b/>
          <w:bCs/>
        </w:rPr>
        <w:t xml:space="preserve">planéité/joints</w:t>
      </w:r>
      <w:r>
        <w:t xml:space="preserve"> </w:t>
      </w:r>
      <w:r>
        <w:t xml:space="preserve">(règle, cale étalon),</w:t>
      </w:r>
      <w:r>
        <w:t xml:space="preserve"> </w:t>
      </w:r>
      <w:r>
        <w:rPr>
          <w:b/>
          <w:bCs/>
        </w:rPr>
        <w:t xml:space="preserve">affleur</w:t>
      </w:r>
      <w:r>
        <w:t xml:space="preserve"> </w:t>
      </w:r>
      <w:r>
        <w:t xml:space="preserve">appareillages/rosaces.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Ventilation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traversée habillée</w:t>
      </w:r>
      <w:r>
        <w:t xml:space="preserve"> </w:t>
      </w:r>
      <w:r>
        <w:t xml:space="preserve">(rosace/joint), vérification</w:t>
      </w:r>
      <w:r>
        <w:t xml:space="preserve"> </w:t>
      </w:r>
      <w:r>
        <w:rPr>
          <w:b/>
          <w:bCs/>
        </w:rPr>
        <w:t xml:space="preserve">débit</w:t>
      </w:r>
      <w:r>
        <w:t xml:space="preserve"> </w:t>
      </w:r>
      <w:r>
        <w:t xml:space="preserve">si nécessaire.</w:t>
      </w:r>
    </w:p>
    <w:p>
      <w:r>
        <w:pict>
          <v:rect style="width:0;height:1.5pt" o:hralign="center" o:hrstd="t" o:hr="t"/>
        </w:pict>
      </w:r>
    </w:p>
    <w:bookmarkEnd w:id="29"/>
    <w:bookmarkStart w:id="30" w:name="a4.9-schémas-insérés-extraits-recadrés"/>
    <w:p>
      <w:pPr>
        <w:pStyle w:val="Heading2"/>
      </w:pPr>
      <w:r>
        <w:t xml:space="preserve">A4.9 — Schémas insérés (extraits recadrés)</w:t>
      </w:r>
    </w:p>
    <w:p>
      <w:pPr>
        <w:pStyle w:val="BlockText"/>
      </w:pPr>
      <w:r>
        <w:t xml:space="preserve">Schémas/figures insérés</w:t>
      </w:r>
      <w:r>
        <w:t xml:space="preserve"> </w:t>
      </w:r>
      <w:r>
        <w:rPr>
          <w:b/>
          <w:bCs/>
        </w:rPr>
        <w:t xml:space="preserve">à titre illustratif</w:t>
      </w:r>
      <w:r>
        <w:t xml:space="preserve"> </w:t>
      </w:r>
      <w:r>
        <w:t xml:space="preserve">avec leur</w:t>
      </w:r>
      <w:r>
        <w:t xml:space="preserve"> </w:t>
      </w:r>
      <w:r>
        <w:rPr>
          <w:b/>
          <w:bCs/>
        </w:rPr>
        <w:t xml:space="preserve">repère de page</w:t>
      </w:r>
      <w:r>
        <w:t xml:space="preserve">. Les documents sources demeurent opposables.</w:t>
      </w:r>
    </w:p>
    <w:p>
      <w:pPr>
        <w:pStyle w:val="FirstParagraph"/>
      </w:pPr>
      <w:r>
        <w:rPr>
          <w:b/>
          <w:bCs/>
        </w:rPr>
        <w:t xml:space="preserve">Notice JDE v7 (Baignoire acrylique)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p.1</w:t>
      </w:r>
      <w:r>
        <w:t xml:space="preserve"> </w:t>
      </w:r>
      <w:r>
        <w:t xml:space="preserve">— « pieds / silicone / appui / joint périphérique »</w:t>
      </w:r>
      <w:r>
        <w:br/>
      </w:r>
    </w:p>
    <w:p>
      <w:pPr>
        <w:pStyle w:val="BodyText"/>
      </w:pPr>
      <w:r>
        <w:rPr>
          <w:b/>
          <w:bCs/>
        </w:rPr>
        <w:t xml:space="preserve">FT Baignoire E6D122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p.1</w:t>
      </w:r>
      <w:r>
        <w:t xml:space="preserve"> </w:t>
      </w:r>
      <w:r>
        <w:t xml:space="preserve">— « dimensions / encastrement »</w:t>
      </w:r>
      <w:r>
        <w:br/>
      </w:r>
    </w:p>
    <w:p>
      <w:pPr>
        <w:pStyle w:val="BodyText"/>
      </w:pPr>
      <w:r>
        <w:rPr>
          <w:b/>
          <w:bCs/>
        </w:rPr>
        <w:t xml:space="preserve">FT Baignoire E6D122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p.2</w:t>
      </w:r>
      <w:r>
        <w:t xml:space="preserve"> </w:t>
      </w:r>
      <w:r>
        <w:t xml:space="preserve">— « appuis / pieds »</w:t>
      </w:r>
      <w:r>
        <w:br/>
      </w:r>
    </w:p>
    <w:p>
      <w:pPr>
        <w:pStyle w:val="BodyText"/>
      </w:pPr>
      <w:r>
        <w:rPr>
          <w:b/>
          <w:bCs/>
        </w:rPr>
        <w:t xml:space="preserve">FT Vidange E6D124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p.1</w:t>
      </w:r>
      <w:r>
        <w:t xml:space="preserve"> </w:t>
      </w:r>
      <w:r>
        <w:t xml:space="preserve">— « siphon / raccord »</w:t>
      </w:r>
      <w:r>
        <w:br/>
      </w:r>
    </w:p>
    <w:p>
      <w:pPr>
        <w:pStyle w:val="BodyText"/>
      </w:pPr>
      <w:r>
        <w:rPr>
          <w:b/>
          <w:bCs/>
        </w:rPr>
        <w:t xml:space="preserve">FT Mitigeur Grohtherm 2000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p.4</w:t>
      </w:r>
      <w:r>
        <w:t xml:space="preserve"> </w:t>
      </w:r>
      <w:r>
        <w:t xml:space="preserve">— « raccord / rosace / joint »</w:t>
      </w:r>
      <w:r>
        <w:br/>
      </w:r>
    </w:p>
    <w:p>
      <w:pPr>
        <w:pStyle w:val="BodyText"/>
      </w:pPr>
      <w:r>
        <w:rPr>
          <w:b/>
          <w:bCs/>
        </w:rPr>
        <w:t xml:space="preserve">FT Carrelage 4263895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p.1</w:t>
      </w:r>
      <w:r>
        <w:t xml:space="preserve"> </w:t>
      </w:r>
      <w:r>
        <w:t xml:space="preserve">— « SPEC / bandes / pièces traversées »</w:t>
      </w:r>
      <w:r>
        <w:br/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2025-11-10T18:09:50Z</dcterms:created>
  <dcterms:modified xsi:type="dcterms:W3CDTF">2025-11-10T18:09:50Z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