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nnexe-a5-plans-parois-v3"/>
    <w:p>
      <w:pPr>
        <w:pStyle w:val="Heading1"/>
      </w:pPr>
      <w:r>
        <w:t xml:space="preserve">Annexe A5 — Plans &amp; Parois (v3)</w:t>
      </w:r>
    </w:p>
    <w:p>
      <w:pPr>
        <w:pStyle w:val="FirstParagraph"/>
      </w:pPr>
      <w:r>
        <w:rPr>
          <w:b/>
          <w:bCs/>
        </w:rPr>
        <w:t xml:space="preserve">Réf. dossier</w:t>
      </w:r>
      <w:r>
        <w:t xml:space="preserve"> : 25‑001508‑RLY‑M1</w:t>
      </w:r>
      <w:r>
        <w:br/>
      </w:r>
      <w:r>
        <w:rPr>
          <w:b/>
          <w:bCs/>
        </w:rPr>
        <w:t xml:space="preserve">Objet</w:t>
      </w:r>
      <w:r>
        <w:t xml:space="preserve"> : Plans « avant / après » et structuration</w:t>
      </w:r>
      <w:r>
        <w:t xml:space="preserve"> </w:t>
      </w:r>
      <w:r>
        <w:rPr>
          <w:b/>
          <w:bCs/>
        </w:rPr>
        <w:t xml:space="preserve">par parois</w:t>
      </w:r>
      <w:r>
        <w:t xml:space="preserve"> </w:t>
      </w:r>
      <w:r>
        <w:t xml:space="preserve">(PW1, PW2, PS1, PE1, PN1) avec</w:t>
      </w:r>
      <w:r>
        <w:t xml:space="preserve"> </w:t>
      </w:r>
      <w:r>
        <w:rPr>
          <w:b/>
          <w:bCs/>
        </w:rPr>
        <w:t xml:space="preserve">liste des travaux prévus</w:t>
      </w:r>
      <w:r>
        <w:t xml:space="preserve"> </w:t>
      </w:r>
      <w:r>
        <w:t xml:space="preserve">comme référence unique.</w:t>
      </w:r>
    </w:p>
    <w:p>
      <w:pPr>
        <w:pStyle w:val="BlockText"/>
      </w:pPr>
      <w:r>
        <w:t xml:space="preserve">Remplacement des anciennes références « zones rénovées en orange / Zxx ». La</w:t>
      </w:r>
      <w:r>
        <w:t xml:space="preserve"> </w:t>
      </w:r>
      <w:r>
        <w:rPr>
          <w:b/>
          <w:bCs/>
        </w:rPr>
        <w:t xml:space="preserve">nomenclature des parois</w:t>
      </w:r>
      <w:r>
        <w:t xml:space="preserve"> </w:t>
      </w:r>
      <w:r>
        <w:t xml:space="preserve">et le document</w:t>
      </w:r>
      <w:r>
        <w:t xml:space="preserve"> </w:t>
      </w:r>
      <w:r>
        <w:rPr>
          <w:b/>
          <w:bCs/>
        </w:rPr>
        <w:t xml:space="preserve">« Les travaux prévus en détails »</w:t>
      </w:r>
      <w:r>
        <w:t xml:space="preserve"> </w:t>
      </w:r>
      <w:r>
        <w:t xml:space="preserve">deviennent la base de lecture et de contrôle.</w:t>
      </w:r>
    </w:p>
    <w:p>
      <w:r>
        <w:pict>
          <v:rect style="width:0;height:1.5pt" o:hralign="center" o:hrstd="t" o:hr="t"/>
        </w:pict>
      </w:r>
    </w:p>
    <w:bookmarkStart w:id="20" w:name="plan-de-référence-avant-travaux"/>
    <w:p>
      <w:pPr>
        <w:pStyle w:val="Heading2"/>
      </w:pPr>
      <w:r>
        <w:t xml:space="preserve">Plan de référence —</w:t>
      </w:r>
      <w:r>
        <w:t xml:space="preserve"> </w:t>
      </w:r>
      <w:r>
        <w:rPr>
          <w:i/>
          <w:iCs/>
        </w:rPr>
        <w:t xml:space="preserve">Avant travaux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20"/>
    <w:bookmarkStart w:id="21" w:name="plan-après-travaux-août-2025"/>
    <w:p>
      <w:pPr>
        <w:pStyle w:val="Heading2"/>
      </w:pPr>
      <w:r>
        <w:t xml:space="preserve">Plan —</w:t>
      </w:r>
      <w:r>
        <w:t xml:space="preserve"> </w:t>
      </w:r>
      <w:r>
        <w:rPr>
          <w:i/>
          <w:iCs/>
        </w:rPr>
        <w:t xml:space="preserve">Après travaux (août 2025)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21"/>
    <w:bookmarkStart w:id="22" w:name="nomenclature-des-parois-repères-du-plan"/>
    <w:p>
      <w:pPr>
        <w:pStyle w:val="Heading2"/>
      </w:pPr>
      <w:r>
        <w:t xml:space="preserve">Nomenclature des parois (repères du plan)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PW1</w:t>
      </w:r>
      <w:r>
        <w:t xml:space="preserve"> : Mitoyenne</w:t>
      </w:r>
      <w:r>
        <w:t xml:space="preserve"> </w:t>
      </w:r>
      <w:r>
        <w:rPr>
          <w:b/>
          <w:bCs/>
        </w:rPr>
        <w:t xml:space="preserve">WC ↔︎ SDB</w:t>
      </w:r>
      <w:r>
        <w:t xml:space="preserve"> </w:t>
      </w:r>
      <w:r>
        <w:t xml:space="preserve">(côté WC).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PW2</w:t>
      </w:r>
      <w:r>
        <w:t xml:space="preserve"> : Mitoyenne</w:t>
      </w:r>
      <w:r>
        <w:t xml:space="preserve"> </w:t>
      </w:r>
      <w:r>
        <w:rPr>
          <w:b/>
          <w:bCs/>
        </w:rPr>
        <w:t xml:space="preserve">SDB ↔︎ WC</w:t>
      </w:r>
      <w:r>
        <w:t xml:space="preserve"> </w:t>
      </w:r>
      <w:r>
        <w:t xml:space="preserve">(côté SDB).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PS1</w:t>
      </w:r>
      <w:r>
        <w:t xml:space="preserve"> :</w:t>
      </w:r>
      <w:r>
        <w:t xml:space="preserve"> </w:t>
      </w:r>
      <w:r>
        <w:rPr>
          <w:b/>
          <w:bCs/>
        </w:rPr>
        <w:t xml:space="preserve">SDB ↔︎ Salon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PE1</w:t>
      </w:r>
      <w:r>
        <w:t xml:space="preserve"> :</w:t>
      </w:r>
      <w:r>
        <w:t xml:space="preserve"> </w:t>
      </w:r>
      <w:r>
        <w:rPr>
          <w:b/>
          <w:bCs/>
        </w:rPr>
        <w:t xml:space="preserve">SDB ↔︎ extérieur</w:t>
      </w:r>
      <w:r>
        <w:t xml:space="preserve"> </w:t>
      </w:r>
      <w:r>
        <w:t xml:space="preserve">(mur béton côté cour).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PN1</w:t>
      </w:r>
      <w:r>
        <w:t xml:space="preserve"> :</w:t>
      </w:r>
      <w:r>
        <w:t xml:space="preserve"> </w:t>
      </w:r>
      <w:r>
        <w:rPr>
          <w:b/>
          <w:bCs/>
        </w:rPr>
        <w:t xml:space="preserve">Nord SDB</w:t>
      </w:r>
      <w:r>
        <w:t xml:space="preserve"> </w:t>
      </w:r>
      <w:r>
        <w:t xml:space="preserve">(côté meuble vasque).</w:t>
      </w:r>
    </w:p>
    <w:p>
      <w:r>
        <w:pict>
          <v:rect style="width:0;height:1.5pt" o:hralign="center" o:hrstd="t" o:hr="t"/>
        </w:pict>
      </w:r>
    </w:p>
    <w:bookmarkEnd w:id="22"/>
    <w:bookmarkStart w:id="26" w:name="X8660fa1c7571640a1b65c50783b62b262b9fa1e"/>
    <w:p>
      <w:pPr>
        <w:pStyle w:val="Heading2"/>
      </w:pPr>
      <w:r>
        <w:t xml:space="preserve">Travaux prévus (référence : « Les travaux prévus en détails »)</w:t>
      </w:r>
    </w:p>
    <w:bookmarkStart w:id="23" w:name="sdb-préparation"/>
    <w:p>
      <w:pPr>
        <w:pStyle w:val="Heading3"/>
      </w:pPr>
      <w:r>
        <w:t xml:space="preserve">SDB — Préparation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Curage complet</w:t>
      </w:r>
      <w:r>
        <w:t xml:space="preserve"> </w:t>
      </w:r>
      <w:r>
        <w:t xml:space="preserve">des doublages existants sur les</w:t>
      </w:r>
      <w:r>
        <w:t xml:space="preserve"> </w:t>
      </w:r>
      <w:r>
        <w:rPr>
          <w:b/>
          <w:bCs/>
        </w:rPr>
        <w:t xml:space="preserve">trois faces</w:t>
      </w:r>
      <w:r>
        <w:t xml:space="preserve"> </w:t>
      </w:r>
      <w:r>
        <w:t xml:space="preserve">de la SDB.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Dépose &amp; évacuation</w:t>
      </w:r>
      <w:r>
        <w:t xml:space="preserve"> : baignoire et</w:t>
      </w:r>
      <w:r>
        <w:t xml:space="preserve"> </w:t>
      </w:r>
      <w:r>
        <w:rPr>
          <w:b/>
          <w:bCs/>
        </w:rPr>
        <w:t xml:space="preserve">mitigeur</w:t>
      </w:r>
      <w:r>
        <w:t xml:space="preserve"> </w:t>
      </w:r>
      <w:r>
        <w:t xml:space="preserve">existants.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Dépose &amp; repose</w:t>
      </w:r>
      <w:r>
        <w:t xml:space="preserve"> : spots,</w:t>
      </w:r>
      <w:r>
        <w:t xml:space="preserve"> </w:t>
      </w:r>
      <w:r>
        <w:rPr>
          <w:b/>
          <w:bCs/>
        </w:rPr>
        <w:t xml:space="preserve">VMC simple flux</w:t>
      </w:r>
      <w:r>
        <w:t xml:space="preserve">,</w:t>
      </w:r>
      <w:r>
        <w:t xml:space="preserve"> </w:t>
      </w:r>
      <w:r>
        <w:rPr>
          <w:b/>
          <w:bCs/>
        </w:rPr>
        <w:t xml:space="preserve">ventilation basse</w:t>
      </w:r>
      <w:r>
        <w:t xml:space="preserve"> </w:t>
      </w:r>
      <w:r>
        <w:t xml:space="preserve">sous meuble vasque,</w:t>
      </w:r>
      <w:r>
        <w:t xml:space="preserve"> </w:t>
      </w:r>
      <w:r>
        <w:rPr>
          <w:b/>
          <w:bCs/>
        </w:rPr>
        <w:t xml:space="preserve">meuble vasque</w:t>
      </w:r>
      <w:r>
        <w:t xml:space="preserve"> </w:t>
      </w:r>
      <w:r>
        <w:t xml:space="preserve">(avec robinetterie),</w:t>
      </w:r>
      <w:r>
        <w:t xml:space="preserve"> </w:t>
      </w:r>
      <w:r>
        <w:rPr>
          <w:b/>
          <w:bCs/>
        </w:rPr>
        <w:t xml:space="preserve">interrupteurs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prises</w:t>
      </w:r>
      <w:r>
        <w:t xml:space="preserve">.</w:t>
      </w:r>
    </w:p>
    <w:bookmarkEnd w:id="23"/>
    <w:bookmarkStart w:id="24" w:name="sdb-travaux-par-paroi"/>
    <w:p>
      <w:pPr>
        <w:pStyle w:val="Heading3"/>
      </w:pPr>
      <w:r>
        <w:t xml:space="preserve">SDB — Travaux par paroi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PW2</w:t>
      </w:r>
      <w:r>
        <w:t xml:space="preserve"> </w:t>
      </w:r>
      <w:r>
        <w:t xml:space="preserve">(mitoyenne WC) &amp;</w:t>
      </w:r>
      <w:r>
        <w:t xml:space="preserve"> </w:t>
      </w:r>
      <w:r>
        <w:rPr>
          <w:b/>
          <w:bCs/>
        </w:rPr>
        <w:t xml:space="preserve">PS1</w:t>
      </w:r>
      <w:r>
        <w:t xml:space="preserve"> </w:t>
      </w:r>
      <w:r>
        <w:t xml:space="preserve">(mitoyenne Salon) : pose doublage</w:t>
      </w:r>
      <w:r>
        <w:t xml:space="preserve"> </w:t>
      </w:r>
      <w:r>
        <w:rPr>
          <w:b/>
          <w:bCs/>
        </w:rPr>
        <w:t xml:space="preserve">BA13</w:t>
      </w:r>
      <w:r>
        <w:t xml:space="preserve">,</w:t>
      </w:r>
      <w:r>
        <w:t xml:space="preserve"> </w:t>
      </w:r>
      <w:r>
        <w:rPr>
          <w:b/>
          <w:bCs/>
        </w:rPr>
        <w:t xml:space="preserve">bandes à joints</w:t>
      </w:r>
      <w:r>
        <w:t xml:space="preserve">,</w:t>
      </w:r>
      <w:r>
        <w:t xml:space="preserve"> </w:t>
      </w:r>
      <w:r>
        <w:rPr>
          <w:b/>
          <w:bCs/>
        </w:rPr>
        <w:t xml:space="preserve">carrelage blanc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joints carrelage</w:t>
      </w:r>
      <w:r>
        <w:t xml:space="preserve"> </w:t>
      </w:r>
      <w:r>
        <w:rPr>
          <w:i/>
          <w:iCs/>
        </w:rPr>
        <w:t xml:space="preserve">(document source : sans SPEC mentionné)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PE1</w:t>
      </w:r>
      <w:r>
        <w:t xml:space="preserve"> </w:t>
      </w:r>
      <w:r>
        <w:t xml:space="preserve">(mur béton extérieur) : pose doublage</w:t>
      </w:r>
      <w:r>
        <w:t xml:space="preserve"> </w:t>
      </w:r>
      <w:r>
        <w:rPr>
          <w:b/>
          <w:bCs/>
        </w:rPr>
        <w:t xml:space="preserve">BA13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bande à joint</w:t>
      </w:r>
      <w:r>
        <w:t xml:space="preserve"> </w:t>
      </w:r>
      <w:r>
        <w:rPr>
          <w:i/>
          <w:iCs/>
        </w:rPr>
        <w:t xml:space="preserve">(document source : sans isolant, sans SPEC, sans étanchéité à l’air)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Faux plafond</w:t>
      </w:r>
      <w:r>
        <w:t xml:space="preserve"> :</w:t>
      </w:r>
      <w:r>
        <w:t xml:space="preserve"> </w:t>
      </w:r>
      <w:r>
        <w:rPr>
          <w:b/>
          <w:bCs/>
        </w:rPr>
        <w:t xml:space="preserve">BA13 suspendu</w:t>
      </w:r>
      <w:r>
        <w:t xml:space="preserve"> </w:t>
      </w:r>
      <w:r>
        <w:t xml:space="preserve">+ bandes +</w:t>
      </w:r>
      <w:r>
        <w:t xml:space="preserve"> </w:t>
      </w:r>
      <w:r>
        <w:rPr>
          <w:b/>
          <w:bCs/>
        </w:rPr>
        <w:t xml:space="preserve">peinture blanche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Sanitaires</w:t>
      </w:r>
      <w:r>
        <w:t xml:space="preserve"> : fourniture/installation</w:t>
      </w:r>
      <w:r>
        <w:t xml:space="preserve"> </w:t>
      </w:r>
      <w:r>
        <w:rPr>
          <w:b/>
          <w:bCs/>
        </w:rPr>
        <w:t xml:space="preserve">baignoire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mitigeur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Réseaux</w:t>
      </w:r>
      <w:r>
        <w:t xml:space="preserve"> :</w:t>
      </w:r>
      <w:r>
        <w:t xml:space="preserve"> </w:t>
      </w:r>
      <w:r>
        <w:rPr>
          <w:b/>
          <w:bCs/>
        </w:rPr>
        <w:t xml:space="preserve">reprises</w:t>
      </w:r>
      <w:r>
        <w:t xml:space="preserve"> </w:t>
      </w:r>
      <w:r>
        <w:t xml:space="preserve">alimentations et</w:t>
      </w:r>
      <w:r>
        <w:t xml:space="preserve"> </w:t>
      </w:r>
      <w:r>
        <w:rPr>
          <w:b/>
          <w:bCs/>
        </w:rPr>
        <w:t xml:space="preserve">évacuation</w:t>
      </w:r>
      <w:r>
        <w:t xml:space="preserve">.</w:t>
      </w:r>
    </w:p>
    <w:bookmarkEnd w:id="24"/>
    <w:bookmarkStart w:id="25" w:name="wc-préparation-travaux"/>
    <w:p>
      <w:pPr>
        <w:pStyle w:val="Heading3"/>
      </w:pPr>
      <w:r>
        <w:t xml:space="preserve">WC — Préparation &amp; Travaux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PW1</w:t>
      </w:r>
      <w:r>
        <w:t xml:space="preserve"> :</w:t>
      </w:r>
      <w:r>
        <w:t xml:space="preserve"> </w:t>
      </w:r>
      <w:r>
        <w:rPr>
          <w:b/>
          <w:bCs/>
        </w:rPr>
        <w:t xml:space="preserve">dépose</w:t>
      </w:r>
      <w:r>
        <w:t xml:space="preserve"> </w:t>
      </w:r>
      <w:r>
        <w:t xml:space="preserve">plaque BA13, puis</w:t>
      </w:r>
      <w:r>
        <w:t xml:space="preserve"> </w:t>
      </w:r>
      <w:r>
        <w:rPr>
          <w:b/>
          <w:bCs/>
        </w:rPr>
        <w:t xml:space="preserve">BA13 collé</w:t>
      </w:r>
      <w:r>
        <w:t xml:space="preserve">,</w:t>
      </w:r>
      <w:r>
        <w:t xml:space="preserve"> </w:t>
      </w:r>
      <w:r>
        <w:rPr>
          <w:b/>
          <w:bCs/>
        </w:rPr>
        <w:t xml:space="preserve">bandes</w:t>
      </w:r>
      <w:r>
        <w:t xml:space="preserve">,</w:t>
      </w:r>
      <w:r>
        <w:t xml:space="preserve"> </w:t>
      </w:r>
      <w:r>
        <w:rPr>
          <w:b/>
          <w:bCs/>
        </w:rPr>
        <w:t xml:space="preserve">peinture blanche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Plafond</w:t>
      </w:r>
      <w:r>
        <w:t xml:space="preserve"> </w:t>
      </w:r>
      <w:r>
        <w:t xml:space="preserve">&amp; paroi</w:t>
      </w:r>
      <w:r>
        <w:t xml:space="preserve"> </w:t>
      </w:r>
      <w:r>
        <w:rPr>
          <w:b/>
          <w:bCs/>
        </w:rPr>
        <w:t xml:space="preserve">bâti WC</w:t>
      </w:r>
      <w:r>
        <w:t xml:space="preserve"> :</w:t>
      </w:r>
      <w:r>
        <w:t xml:space="preserve"> </w:t>
      </w:r>
      <w:r>
        <w:rPr>
          <w:b/>
          <w:bCs/>
        </w:rPr>
        <w:t xml:space="preserve">peinture blanche</w:t>
      </w:r>
      <w:r>
        <w:t xml:space="preserve">.</w:t>
      </w:r>
    </w:p>
    <w:p>
      <w:pPr>
        <w:pStyle w:val="BlockText"/>
      </w:pPr>
      <w:r>
        <w:t xml:space="preserve">Les formulations « </w:t>
      </w:r>
      <w:r>
        <w:rPr>
          <w:b/>
          <w:bCs/>
        </w:rPr>
        <w:t xml:space="preserve">sans SPEC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sans isolant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sans étanchéité à l’air</w:t>
      </w:r>
      <w:r>
        <w:t xml:space="preserve"> » sont</w:t>
      </w:r>
      <w:r>
        <w:t xml:space="preserve"> </w:t>
      </w:r>
      <w:r>
        <w:rPr>
          <w:b/>
          <w:bCs/>
        </w:rPr>
        <w:t xml:space="preserve">reprises textuellement du document de travaux</w:t>
      </w:r>
      <w:r>
        <w:t xml:space="preserve"> </w:t>
      </w:r>
      <w:r>
        <w:t xml:space="preserve">pour traçabilité.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6123517b7f82a3fc486f15067a600f79ac26454"/>
    <w:p>
      <w:pPr>
        <w:pStyle w:val="Heading2"/>
      </w:pPr>
      <w:r>
        <w:t xml:space="preserve">Points de contrôle à la réception (extraits A4)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Interfaces menuiserie</w:t>
      </w:r>
      <w:r>
        <w:t xml:space="preserve"> : butée</w:t>
      </w:r>
      <w:r>
        <w:t xml:space="preserve"> </w:t>
      </w:r>
      <w:r>
        <w:rPr>
          <w:b/>
          <w:bCs/>
        </w:rPr>
        <w:t xml:space="preserve">placo/faïence</w:t>
      </w:r>
      <w:r>
        <w:t xml:space="preserve"> </w:t>
      </w:r>
      <w:r>
        <w:t xml:space="preserve">au</w:t>
      </w:r>
      <w:r>
        <w:t xml:space="preserve"> </w:t>
      </w:r>
      <w:r>
        <w:rPr>
          <w:b/>
          <w:bCs/>
        </w:rPr>
        <w:t xml:space="preserve">dormant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joint souple</w:t>
      </w:r>
      <w:r>
        <w:t xml:space="preserve"> </w:t>
      </w:r>
      <w:r>
        <w:t xml:space="preserve">(DTU 25.41/52.2).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Alignements</w:t>
      </w:r>
      <w:r>
        <w:t xml:space="preserve"> : faïence</w:t>
      </w:r>
      <w:r>
        <w:t xml:space="preserve"> </w:t>
      </w:r>
      <w:r>
        <w:rPr>
          <w:b/>
          <w:bCs/>
        </w:rPr>
        <w:t xml:space="preserve">alignée sur la fenêtre</w:t>
      </w:r>
      <w:r>
        <w:t xml:space="preserve">, pas sur un mur non plan.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Plomberie</w:t>
      </w:r>
      <w:r>
        <w:t xml:space="preserve"> :</w:t>
      </w:r>
      <w:r>
        <w:t xml:space="preserve"> </w:t>
      </w:r>
      <w:r>
        <w:rPr>
          <w:b/>
          <w:bCs/>
        </w:rPr>
        <w:t xml:space="preserve">raccord direct</w:t>
      </w:r>
      <w:r>
        <w:t xml:space="preserve"> </w:t>
      </w:r>
      <w:r>
        <w:t xml:space="preserve">siphon→évacuation ;</w:t>
      </w:r>
      <w:r>
        <w:t xml:space="preserve"> </w:t>
      </w:r>
      <w:r>
        <w:rPr>
          <w:b/>
          <w:bCs/>
        </w:rPr>
        <w:t xml:space="preserve">pieds</w:t>
      </w:r>
      <w:r>
        <w:t xml:space="preserve"> </w:t>
      </w:r>
      <w:r>
        <w:t xml:space="preserve">de baignoire réglés +</w:t>
      </w:r>
      <w:r>
        <w:t xml:space="preserve"> </w:t>
      </w:r>
      <w:r>
        <w:rPr>
          <w:b/>
          <w:bCs/>
        </w:rPr>
        <w:t xml:space="preserve">silicone</w:t>
      </w:r>
      <w:r>
        <w:t xml:space="preserve"> </w:t>
      </w:r>
      <w:r>
        <w:t xml:space="preserve">si prescrit ;</w:t>
      </w:r>
      <w:r>
        <w:t xml:space="preserve"> </w:t>
      </w:r>
      <w:r>
        <w:rPr>
          <w:b/>
          <w:bCs/>
        </w:rPr>
        <w:t xml:space="preserve">appuis</w:t>
      </w:r>
      <w:r>
        <w:t xml:space="preserve"> </w:t>
      </w:r>
      <w:r>
        <w:t xml:space="preserve">conformes (notices fabricants).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2025-11-10T18:09:11Z</dcterms:created>
  <dcterms:modified xsi:type="dcterms:W3CDTF">2025-11-10T18:09:11Z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