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ge-de-garde"/>
    <w:p>
      <w:pPr>
        <w:pStyle w:val="Heading1"/>
      </w:pPr>
      <w:r>
        <w:t xml:space="preserve">Page de garde</w:t>
      </w:r>
    </w:p>
    <w:p>
      <w:pPr>
        <w:pStyle w:val="FirstParagraph"/>
      </w:pPr>
      <w:r>
        <w:rPr>
          <w:b/>
          <w:bCs/>
        </w:rPr>
        <w:t xml:space="preserve">Dossier Assurance – Rénovation Salle de bains &amp; WC (suite Dégât des Eaux, juillet 2024)</w:t>
      </w:r>
      <w:r>
        <w:br/>
      </w:r>
      <w:r>
        <w:rPr>
          <w:b/>
          <w:bCs/>
        </w:rPr>
        <w:t xml:space="preserve">Réf. dossier</w:t>
      </w:r>
      <w:r>
        <w:t xml:space="preserve"> : 25-001508‑RLY‑M1 /</w:t>
      </w:r>
      <w:r>
        <w:t xml:space="preserve"> </w:t>
      </w:r>
      <w:r>
        <w:rPr>
          <w:b/>
          <w:bCs/>
        </w:rPr>
        <w:t xml:space="preserve">Mission</w:t>
      </w:r>
      <w:r>
        <w:t xml:space="preserve"> GEOP : 2024‑12‑00029275</w:t>
      </w:r>
      <w:r>
        <w:br/>
      </w:r>
      <w:r>
        <w:rPr>
          <w:b/>
          <w:bCs/>
        </w:rPr>
        <w:t xml:space="preserve">Mode de prise en charge</w:t>
      </w:r>
      <w:r>
        <w:t xml:space="preserve"> : Réparation en Nature (R.E.N.)</w:t>
      </w:r>
      <w:r>
        <w:br/>
      </w:r>
      <w:r>
        <w:rPr>
          <w:b/>
          <w:bCs/>
        </w:rPr>
        <w:t xml:space="preserve">Maître d’ouvrage (payeur)</w:t>
      </w:r>
      <w:r>
        <w:t xml:space="preserve"> : MAAF Assurances</w:t>
      </w:r>
      <w:r>
        <w:br/>
      </w:r>
      <w:r>
        <w:rPr>
          <w:b/>
          <w:bCs/>
        </w:rPr>
        <w:t xml:space="preserve">Bénéficiaire</w:t>
      </w:r>
      <w:r>
        <w:t xml:space="preserve"> : l’assuré (utilisateur final)</w:t>
      </w:r>
      <w:r>
        <w:br/>
      </w:r>
      <w:r>
        <w:rPr>
          <w:b/>
          <w:bCs/>
        </w:rPr>
        <w:t xml:space="preserve">Opérateur mandaté</w:t>
      </w:r>
      <w:r>
        <w:t xml:space="preserve"> : GEOP Assistance</w:t>
      </w:r>
      <w:r>
        <w:br/>
      </w:r>
      <w:r>
        <w:rPr>
          <w:b/>
          <w:bCs/>
        </w:rPr>
        <w:t xml:space="preserve">Entreprise exécutante</w:t>
      </w:r>
      <w:r>
        <w:t xml:space="preserve"> : Rhône Bâtiment</w:t>
      </w:r>
      <w:r>
        <w:br/>
      </w:r>
      <w:r>
        <w:rPr>
          <w:b/>
          <w:bCs/>
        </w:rPr>
        <w:t xml:space="preserve">Adresse</w:t>
      </w:r>
      <w:r>
        <w:t xml:space="preserve"> : 123 rue Château Gaillard, 69100 Villeurbanne (2ᵉ étage)</w:t>
      </w:r>
      <w:r>
        <w:br/>
      </w:r>
      <w:r>
        <w:rPr>
          <w:b/>
          <w:bCs/>
        </w:rPr>
        <w:t xml:space="preserve">Surface</w:t>
      </w:r>
      <w:r>
        <w:t xml:space="preserve"> : SDB ≈ 3,25 m² • WC ≈ 1,11 m²</w:t>
      </w:r>
      <w:r>
        <w:br/>
      </w:r>
      <w:r>
        <w:rPr>
          <w:b/>
          <w:bCs/>
        </w:rPr>
        <w:t xml:space="preserve">Fin de chantier déclarée</w:t>
      </w:r>
      <w:r>
        <w:t xml:space="preserve"> : 29/08/2025</w:t>
      </w:r>
    </w:p>
    <w:p>
      <w:r>
        <w:pict>
          <v:rect style="width:0;height:1.5pt" o:hralign="center" o:hrstd="t" o:hr="t"/>
        </w:pict>
      </w:r>
    </w:p>
    <w:bookmarkEnd w:id="20"/>
    <w:bookmarkStart w:id="21" w:name="sommaire-trame-à-jour"/>
    <w:p>
      <w:pPr>
        <w:pStyle w:val="Heading1"/>
      </w:pPr>
      <w:r>
        <w:t xml:space="preserve">Sommaire (trame à jour)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Page de garde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 1 — Contexte &amp; Intervenants</w:t>
      </w:r>
    </w:p>
    <w:p>
      <w:pPr>
        <w:pStyle w:val="Compact"/>
        <w:numPr>
          <w:ilvl w:val="1"/>
          <w:numId w:val="1002"/>
        </w:numPr>
      </w:pPr>
      <w:r>
        <w:t xml:space="preserve">1.1 Objet du dossier et périmètre</w:t>
      </w:r>
    </w:p>
    <w:p>
      <w:pPr>
        <w:pStyle w:val="Compact"/>
        <w:numPr>
          <w:ilvl w:val="1"/>
          <w:numId w:val="1002"/>
        </w:numPr>
      </w:pPr>
      <w:r>
        <w:t xml:space="preserve">1.2 Parties prenantes &amp; rôles</w:t>
      </w:r>
    </w:p>
    <w:p>
      <w:pPr>
        <w:pStyle w:val="Compact"/>
        <w:numPr>
          <w:ilvl w:val="1"/>
          <w:numId w:val="1002"/>
        </w:numPr>
      </w:pPr>
      <w:r>
        <w:t xml:space="preserve">1.3 Chronologie synthétique du dossier</w:t>
      </w:r>
    </w:p>
    <w:p>
      <w:pPr>
        <w:pStyle w:val="Compact"/>
        <w:numPr>
          <w:ilvl w:val="1"/>
          <w:numId w:val="1002"/>
        </w:numPr>
      </w:pPr>
      <w:r>
        <w:t xml:space="preserve">1.4 Pièces financières &amp; administratives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 2 — Constats techniques (synthèse par zones)</w:t>
      </w:r>
    </w:p>
    <w:p>
      <w:pPr>
        <w:pStyle w:val="Compact"/>
        <w:numPr>
          <w:ilvl w:val="1"/>
          <w:numId w:val="1003"/>
        </w:numPr>
      </w:pPr>
      <w:r>
        <w:t xml:space="preserve">2.1</w:t>
      </w:r>
      <w:r>
        <w:t xml:space="preserve"> </w:t>
      </w:r>
      <w:r>
        <w:rPr>
          <w:b/>
          <w:bCs/>
        </w:rPr>
        <w:t xml:space="preserve">Zone 1 — Étanchéité / Traversées</w:t>
      </w:r>
      <w:r>
        <w:t xml:space="preserve"> </w:t>
      </w:r>
      <w:r>
        <w:t xml:space="preserve">(absence SPEC, plâtre, étanchéité à l’air)</w:t>
      </w:r>
    </w:p>
    <w:p>
      <w:pPr>
        <w:pStyle w:val="Compact"/>
        <w:numPr>
          <w:ilvl w:val="1"/>
          <w:numId w:val="1003"/>
        </w:numPr>
      </w:pPr>
      <w:r>
        <w:t xml:space="preserve">2.2</w:t>
      </w:r>
      <w:r>
        <w:t xml:space="preserve"> </w:t>
      </w:r>
      <w:r>
        <w:rPr>
          <w:b/>
          <w:bCs/>
        </w:rPr>
        <w:t xml:space="preserve">Zone 2 — Baignoire / Appuis / Évacuation</w:t>
      </w:r>
      <w:r>
        <w:t xml:space="preserve"> </w:t>
      </w:r>
      <w:r>
        <w:t xml:space="preserve">(appuis inadaptés, pieds au max, réutilisation évacuation, joints périphériques)</w:t>
      </w:r>
    </w:p>
    <w:p>
      <w:pPr>
        <w:pStyle w:val="Compact"/>
        <w:numPr>
          <w:ilvl w:val="1"/>
          <w:numId w:val="1003"/>
        </w:numPr>
      </w:pPr>
      <w:r>
        <w:t xml:space="preserve">2.3</w:t>
      </w:r>
      <w:r>
        <w:t xml:space="preserve"> </w:t>
      </w:r>
      <w:r>
        <w:rPr>
          <w:b/>
          <w:bCs/>
        </w:rPr>
        <w:t xml:space="preserve">Zone 6 — Finitions / Joints / Appareillage</w:t>
      </w:r>
      <w:r>
        <w:t xml:space="preserve"> </w:t>
      </w:r>
      <w:r>
        <w:t xml:space="preserve">(joints souples, découpes, propreté)</w:t>
      </w:r>
    </w:p>
    <w:p>
      <w:pPr>
        <w:pStyle w:val="Compact"/>
        <w:numPr>
          <w:ilvl w:val="1"/>
          <w:numId w:val="1003"/>
        </w:numPr>
      </w:pPr>
      <w:r>
        <w:t xml:space="preserve">2.4</w:t>
      </w:r>
      <w:r>
        <w:t xml:space="preserve"> </w:t>
      </w:r>
      <w:r>
        <w:rPr>
          <w:b/>
          <w:bCs/>
        </w:rPr>
        <w:t xml:space="preserve">Fenêtre / Alignements</w:t>
      </w:r>
      <w:r>
        <w:t xml:space="preserve"> </w:t>
      </w:r>
      <w:r>
        <w:t xml:space="preserve">(non-butée sur dormant, défauts d’axe)</w:t>
      </w:r>
    </w:p>
    <w:p>
      <w:pPr>
        <w:pStyle w:val="Compact"/>
        <w:numPr>
          <w:ilvl w:val="1"/>
          <w:numId w:val="1003"/>
        </w:numPr>
      </w:pPr>
      <w:r>
        <w:t xml:space="preserve">2.5</w:t>
      </w:r>
      <w:r>
        <w:t xml:space="preserve"> </w:t>
      </w:r>
      <w:r>
        <w:rPr>
          <w:b/>
          <w:bCs/>
        </w:rPr>
        <w:t xml:space="preserve">Ventilation</w:t>
      </w:r>
      <w:r>
        <w:t xml:space="preserve"> </w:t>
      </w:r>
      <w:r>
        <w:t xml:space="preserve">(traversée non habillée)</w:t>
      </w:r>
    </w:p>
    <w:p>
      <w:pPr>
        <w:pStyle w:val="Compact"/>
        <w:numPr>
          <w:ilvl w:val="1"/>
          <w:numId w:val="1003"/>
        </w:numPr>
      </w:pPr>
      <w:r>
        <w:t xml:space="preserve">2.6 Conséquences techniques &amp; sanitaires (risques)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 3 — Exigences de reprises &amp; mode opératoire</w:t>
      </w:r>
      <w:r>
        <w:t xml:space="preserve"> </w:t>
      </w:r>
      <w:r>
        <w:rPr>
          <w:i/>
          <w:iCs/>
        </w:rPr>
        <w:t xml:space="preserve">(à compléter)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 4 — Chiffrage de reprise / réserves</w:t>
      </w:r>
      <w:r>
        <w:t xml:space="preserve"> </w:t>
      </w:r>
      <w:r>
        <w:rPr>
          <w:i/>
          <w:iCs/>
        </w:rPr>
        <w:t xml:space="preserve">(à compléter)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 5 — Annexes administratives</w:t>
      </w:r>
      <w:r>
        <w:t xml:space="preserve"> </w:t>
      </w:r>
      <w:r>
        <w:rPr>
          <w:i/>
          <w:iCs/>
        </w:rPr>
        <w:t xml:space="preserve">(à compléter)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 6 — Annexes photographiques &amp; normatives</w:t>
      </w:r>
      <w:r>
        <w:t xml:space="preserve"> </w:t>
      </w:r>
      <w:r>
        <w:rPr>
          <w:i/>
          <w:iCs/>
        </w:rPr>
        <w:t xml:space="preserve">(à compléter)</w:t>
      </w:r>
    </w:p>
    <w:p>
      <w:pPr>
        <w:pStyle w:val="BlockText"/>
      </w:pPr>
      <w:r>
        <w:rPr>
          <w:i/>
          <w:iCs/>
        </w:rPr>
        <w:t xml:space="preserve">Les développements complets Zone 1 et Zone 2 ont été rédigés séparément ; cette Partie 2 en donne une synthèse claire et opposable à l’assurance et à l’opérateur.</w:t>
      </w:r>
    </w:p>
    <w:p>
      <w:r>
        <w:pict>
          <v:rect style="width:0;height:1.5pt" o:hralign="center" o:hrstd="t" o:hr="t"/>
        </w:pict>
      </w:r>
    </w:p>
    <w:bookmarkEnd w:id="21"/>
    <w:bookmarkStart w:id="26" w:name="partie-1-contexte-intervenants"/>
    <w:p>
      <w:pPr>
        <w:pStyle w:val="Heading1"/>
      </w:pPr>
      <w:r>
        <w:t xml:space="preserve">Partie 1 — Contexte &amp; Intervenants</w:t>
      </w:r>
    </w:p>
    <w:bookmarkStart w:id="22" w:name="objet-et-périmètre"/>
    <w:p>
      <w:pPr>
        <w:pStyle w:val="Heading2"/>
      </w:pPr>
      <w:r>
        <w:t xml:space="preserve">1.1 Objet et périmètre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Objet</w:t>
      </w:r>
      <w:r>
        <w:t xml:space="preserve"> : démontrer, photos et textes normatifs à l’appui, les</w:t>
      </w:r>
      <w:r>
        <w:t xml:space="preserve"> </w:t>
      </w:r>
      <w:r>
        <w:rPr>
          <w:b/>
          <w:bCs/>
        </w:rPr>
        <w:t xml:space="preserve">non-conformités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malfaçons</w:t>
      </w:r>
      <w:r>
        <w:t xml:space="preserve"> </w:t>
      </w:r>
      <w:r>
        <w:t xml:space="preserve">constatées après intervention R.E.N. (août 2025) et exiger les</w:t>
      </w:r>
      <w:r>
        <w:t xml:space="preserve"> </w:t>
      </w:r>
      <w:r>
        <w:rPr>
          <w:b/>
          <w:bCs/>
        </w:rPr>
        <w:t xml:space="preserve">reprises complètes et conformes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Périmètre</w:t>
      </w:r>
      <w:r>
        <w:t xml:space="preserve"> : salle de bains (≈3,25 m²) et WC (≈1,11 m²) – travaux de</w:t>
      </w:r>
      <w:r>
        <w:t xml:space="preserve"> </w:t>
      </w:r>
      <w:r>
        <w:rPr>
          <w:b/>
          <w:bCs/>
        </w:rPr>
        <w:t xml:space="preserve">démolition / reprise / finitions</w:t>
      </w:r>
      <w:r>
        <w:t xml:space="preserve"> </w:t>
      </w:r>
      <w:r>
        <w:t xml:space="preserve">effectués entre le</w:t>
      </w:r>
      <w:r>
        <w:t xml:space="preserve"> </w:t>
      </w:r>
      <w:r>
        <w:rPr>
          <w:b/>
          <w:bCs/>
        </w:rPr>
        <w:t xml:space="preserve">18/08/2025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29/08/2025</w:t>
      </w:r>
      <w:r>
        <w:t xml:space="preserve"> </w:t>
      </w:r>
      <w:r>
        <w:t xml:space="preserve">(5,5 jours effectifs).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Exclusion</w:t>
      </w:r>
      <w:r>
        <w:t xml:space="preserve"> : carrelage de sol</w:t>
      </w:r>
      <w:r>
        <w:t xml:space="preserve"> </w:t>
      </w:r>
      <w:r>
        <w:rPr>
          <w:b/>
          <w:bCs/>
        </w:rPr>
        <w:t xml:space="preserve">existant</w:t>
      </w:r>
      <w:r>
        <w:t xml:space="preserve"> </w:t>
      </w:r>
      <w:r>
        <w:t xml:space="preserve">(non remplacé) ; constat porté sur ouvrages neufs ou repris.</w:t>
      </w:r>
    </w:p>
    <w:bookmarkEnd w:id="22"/>
    <w:bookmarkStart w:id="23" w:name="parties-prenantes-rôles"/>
    <w:p>
      <w:pPr>
        <w:pStyle w:val="Heading2"/>
      </w:pPr>
      <w:r>
        <w:t xml:space="preserve">1.2 Parties prenantes &amp; rôles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MAAF Assurances</w:t>
      </w:r>
      <w:r>
        <w:t xml:space="preserve"> :</w:t>
      </w:r>
      <w:r>
        <w:t xml:space="preserve"> </w:t>
      </w:r>
      <w:r>
        <w:rPr>
          <w:b/>
          <w:bCs/>
        </w:rPr>
        <w:t xml:space="preserve">Maître d’ouvrage payeur</w:t>
      </w:r>
      <w:r>
        <w:t xml:space="preserve"> </w:t>
      </w:r>
      <w:r>
        <w:t xml:space="preserve">dans le cadre de la R.E.N.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GEOP Assistance</w:t>
      </w:r>
      <w:r>
        <w:t xml:space="preserve"> : opérateur</w:t>
      </w:r>
      <w:r>
        <w:t xml:space="preserve"> </w:t>
      </w:r>
      <w:r>
        <w:rPr>
          <w:b/>
          <w:bCs/>
        </w:rPr>
        <w:t xml:space="preserve">mandaté</w:t>
      </w:r>
      <w:r>
        <w:t xml:space="preserve"> </w:t>
      </w:r>
      <w:r>
        <w:t xml:space="preserve">par l’assureur (gestion, planification, bon de commande, suivi).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Rhône Bâtiment</w:t>
      </w:r>
      <w:r>
        <w:t xml:space="preserve"> :</w:t>
      </w:r>
      <w:r>
        <w:t xml:space="preserve"> </w:t>
      </w:r>
      <w:r>
        <w:rPr>
          <w:b/>
          <w:bCs/>
        </w:rPr>
        <w:t xml:space="preserve">entreprise exécutante</w:t>
      </w:r>
      <w:r>
        <w:t xml:space="preserve"> </w:t>
      </w:r>
      <w:r>
        <w:t xml:space="preserve">des travaux (août 2025).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Centre d’expertise Lyon 2</w:t>
      </w:r>
      <w:r>
        <w:t xml:space="preserve"> : expert partenaire (constat/chiffrage).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Bénéficiaire</w:t>
      </w:r>
      <w:r>
        <w:t xml:space="preserve"> : l’assuré (utilisateur final ;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maître d’ouvrage).</w:t>
      </w:r>
    </w:p>
    <w:bookmarkEnd w:id="23"/>
    <w:bookmarkStart w:id="24" w:name="chronologie-synthétique"/>
    <w:p>
      <w:pPr>
        <w:pStyle w:val="Heading2"/>
      </w:pPr>
      <w:r>
        <w:t xml:space="preserve">1.3 Chronologie synthétique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21/07/2024</w:t>
      </w:r>
      <w:r>
        <w:t xml:space="preserve"> : sinistre observé (humidité, décollements).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02/08/2024</w:t>
      </w:r>
      <w:r>
        <w:t xml:space="preserve"> : recherche de fuite : causes identifiées à l’étage supérieur.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23/01/2025</w:t>
      </w:r>
      <w:r>
        <w:t xml:space="preserve"> : visite d’expertise ;</w:t>
      </w:r>
      <w:r>
        <w:t xml:space="preserve"> </w:t>
      </w:r>
      <w:r>
        <w:rPr>
          <w:b/>
          <w:bCs/>
        </w:rPr>
        <w:t xml:space="preserve">14/02/2025</w:t>
      </w:r>
      <w:r>
        <w:t xml:space="preserve"> </w:t>
      </w:r>
      <w:r>
        <w:t xml:space="preserve">chiffrage ≈</w:t>
      </w:r>
      <w:r>
        <w:t xml:space="preserve"> </w:t>
      </w:r>
      <w:r>
        <w:rPr>
          <w:b/>
          <w:bCs/>
        </w:rPr>
        <w:t xml:space="preserve">4 287,06 € TTC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18/02/2025</w:t>
      </w:r>
      <w:r>
        <w:t xml:space="preserve"> : accord MAAF + mandats signés (R.E.N.).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26/03/2025</w:t>
      </w:r>
      <w:r>
        <w:t xml:space="preserve"> : bon de commande GEOP.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Juillet 2025</w:t>
      </w:r>
      <w:r>
        <w:t xml:space="preserve"> : reports successifs (démarrage initial 30/07 annulé la veille).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18/08/2025</w:t>
      </w:r>
      <w:r>
        <w:t xml:space="preserve"> :</w:t>
      </w:r>
      <w:r>
        <w:t xml:space="preserve"> </w:t>
      </w:r>
      <w:r>
        <w:rPr>
          <w:b/>
          <w:bCs/>
        </w:rPr>
        <w:t xml:space="preserve">début chantier</w:t>
      </w:r>
      <w:r>
        <w:t xml:space="preserve"> </w:t>
      </w:r>
      <w:r>
        <w:t xml:space="preserve">(erreur de référence baignoire constatée).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18→29/08/2025</w:t>
      </w:r>
      <w:r>
        <w:t xml:space="preserve"> :</w:t>
      </w:r>
      <w:r>
        <w:t xml:space="preserve"> </w:t>
      </w:r>
      <w:r>
        <w:rPr>
          <w:b/>
          <w:bCs/>
        </w:rPr>
        <w:t xml:space="preserve">5,5 jours effectifs</w:t>
      </w:r>
      <w:r>
        <w:t xml:space="preserve"> </w:t>
      </w:r>
      <w:r>
        <w:t xml:space="preserve">(interventions 18, 19 matin, 25, 26, 28, 29 ; pas le 27).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29/08/2025</w:t>
      </w:r>
      <w:r>
        <w:t xml:space="preserve"> :</w:t>
      </w:r>
      <w:r>
        <w:t xml:space="preserve"> </w:t>
      </w:r>
      <w:r>
        <w:rPr>
          <w:b/>
          <w:bCs/>
        </w:rPr>
        <w:t xml:space="preserve">fin déclarée</w:t>
      </w:r>
      <w:r>
        <w:t xml:space="preserve"> </w:t>
      </w:r>
      <w:r>
        <w:t xml:space="preserve">des travaux (</w:t>
      </w:r>
      <w:r>
        <w:rPr>
          <w:b/>
          <w:bCs/>
        </w:rPr>
        <w:t xml:space="preserve">aucune facture transmise au bénéficiaire à ce jour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15/09/2025</w:t>
      </w:r>
      <w:r>
        <w:t xml:space="preserve"> :</w:t>
      </w:r>
      <w:r>
        <w:t xml:space="preserve"> </w:t>
      </w:r>
      <w:r>
        <w:rPr>
          <w:b/>
          <w:bCs/>
        </w:rPr>
        <w:t xml:space="preserve">réunion de contrôle</w:t>
      </w:r>
      <w:r>
        <w:t xml:space="preserve"> : liste des reprises (baignoire, faïence, ventilations, finitions fenêtre/porte, etc.).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Toussaint 2025</w:t>
      </w:r>
      <w:r>
        <w:t xml:space="preserve"> : retouches proposées par GEOP/Rhône Bâtiment</w:t>
      </w:r>
      <w:r>
        <w:t xml:space="preserve"> </w:t>
      </w:r>
      <w:r>
        <w:rPr>
          <w:b/>
          <w:bCs/>
        </w:rPr>
        <w:t xml:space="preserve">non validées par le bénéficiaire</w:t>
      </w:r>
      <w:r>
        <w:t xml:space="preserve"> </w:t>
      </w:r>
      <w:r>
        <w:t xml:space="preserve">(rédaction du présent rapport et contestation en cours).</w:t>
      </w:r>
      <w:r>
        <w:t xml:space="preserve"> </w:t>
      </w:r>
      <w:r>
        <w:rPr>
          <w:b/>
          <w:bCs/>
        </w:rPr>
        <w:t xml:space="preserve">Aucune planification acceptée</w:t>
      </w:r>
      <w:r>
        <w:t xml:space="preserve">.</w:t>
      </w:r>
    </w:p>
    <w:bookmarkEnd w:id="24"/>
    <w:bookmarkStart w:id="25" w:name="pièces-financières-administratives"/>
    <w:p>
      <w:pPr>
        <w:pStyle w:val="Heading2"/>
      </w:pPr>
      <w:r>
        <w:t xml:space="preserve">1.4 Pièces financières &amp; administratives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Rapport d’expertise</w:t>
      </w:r>
      <w:r>
        <w:t xml:space="preserve"> </w:t>
      </w:r>
      <w:r>
        <w:t xml:space="preserve">(14/02/2025) : 4 287,06 € TTC.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Bon de commande</w:t>
      </w:r>
      <w:r>
        <w:t xml:space="preserve"> </w:t>
      </w:r>
      <w:r>
        <w:t xml:space="preserve">GEOP (26/03/2025) : réf. CH01‑CD001‑V1.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Facture</w:t>
      </w:r>
      <w:r>
        <w:t xml:space="preserve"> :</w:t>
      </w:r>
      <w:r>
        <w:t xml:space="preserve"> </w:t>
      </w:r>
      <w:r>
        <w:rPr>
          <w:b/>
          <w:bCs/>
        </w:rPr>
        <w:t xml:space="preserve">non transmise au bénéficiaire</w:t>
      </w:r>
      <w:r>
        <w:t xml:space="preserve"> </w:t>
      </w:r>
      <w:r>
        <w:t xml:space="preserve">(à confirmer par GEOP).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Budget fournitures sanitaires</w:t>
      </w:r>
      <w:r>
        <w:t xml:space="preserve"> </w:t>
      </w:r>
      <w:r>
        <w:t xml:space="preserve">(courriel 03/07/2025) : 1 078 € TTC.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Choix fournitures</w:t>
      </w:r>
      <w:r>
        <w:t xml:space="preserve"> </w:t>
      </w:r>
      <w:r>
        <w:t xml:space="preserve">transmis 05/07/2025 (respect du budget).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partie-2-constats-techniques-synthèse"/>
    <w:p>
      <w:pPr>
        <w:pStyle w:val="Heading1"/>
      </w:pPr>
      <w:r>
        <w:t xml:space="preserve">Partie 2 — Constats techniques (synthèse)</w:t>
      </w:r>
    </w:p>
    <w:bookmarkStart w:id="27" w:name="zone-1-étanchéité-traversées-mur-eb"/>
    <w:p>
      <w:pPr>
        <w:pStyle w:val="Heading2"/>
      </w:pPr>
      <w:r>
        <w:t xml:space="preserve">2.1 Zone 1 — Étanchéité / traversées (mur EB+)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Aucun SPEC</w:t>
      </w:r>
      <w:r>
        <w:t xml:space="preserve"> </w:t>
      </w:r>
      <w:r>
        <w:t xml:space="preserve">appliqué sous carrelage ;</w:t>
      </w:r>
      <w:r>
        <w:t xml:space="preserve"> </w:t>
      </w:r>
      <w:r>
        <w:rPr>
          <w:b/>
          <w:bCs/>
        </w:rPr>
        <w:t xml:space="preserve">plâtre nu</w:t>
      </w:r>
      <w:r>
        <w:t xml:space="preserve"> </w:t>
      </w:r>
      <w:r>
        <w:t xml:space="preserve">en fond ;</w:t>
      </w:r>
      <w:r>
        <w:t xml:space="preserve"> </w:t>
      </w:r>
      <w:r>
        <w:rPr>
          <w:b/>
          <w:bCs/>
        </w:rPr>
        <w:t xml:space="preserve">absence d’isolant</w:t>
      </w:r>
      <w:r>
        <w:t xml:space="preserve"> </w:t>
      </w:r>
      <w:r>
        <w:t xml:space="preserve">et d’</w:t>
      </w:r>
      <w:r>
        <w:rPr>
          <w:b/>
          <w:bCs/>
        </w:rPr>
        <w:t xml:space="preserve">étanchéité à l’air</w:t>
      </w:r>
      <w:r>
        <w:t xml:space="preserve"> </w:t>
      </w:r>
      <w:r>
        <w:t xml:space="preserve">; angles sans bandes ni membranes.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Traversées</w:t>
      </w:r>
      <w:r>
        <w:t xml:space="preserve"> </w:t>
      </w:r>
      <w:r>
        <w:t xml:space="preserve">(alimentation/évacuation, mitigeur) percées</w:t>
      </w:r>
      <w:r>
        <w:t xml:space="preserve"> </w:t>
      </w:r>
      <w:r>
        <w:rPr>
          <w:b/>
          <w:bCs/>
        </w:rPr>
        <w:t xml:space="preserve">après coup</w:t>
      </w:r>
      <w:r>
        <w:t xml:space="preserve"> </w:t>
      </w:r>
      <w:r>
        <w:t xml:space="preserve">sans platines ni manchons d’étanchéité ; rebouchages bruts.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Conséquences</w:t>
      </w:r>
      <w:r>
        <w:t xml:space="preserve"> : absence de barrière à l’eau ; risques d’infiltrations, moisissures, désaffleurement des carreaux et dégradation accélérée.</w:t>
      </w:r>
    </w:p>
    <w:bookmarkEnd w:id="27"/>
    <w:bookmarkStart w:id="28" w:name="zone-2-baignoire-appuis-évacuation"/>
    <w:p>
      <w:pPr>
        <w:pStyle w:val="Heading2"/>
      </w:pPr>
      <w:r>
        <w:t xml:space="preserve">2.2 Zone 2 — Baignoire / appuis / évacuation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Appuis latéraux inadaptés</w:t>
      </w:r>
      <w:r>
        <w:t xml:space="preserve"> : utilisation de</w:t>
      </w:r>
      <w:r>
        <w:t xml:space="preserve"> </w:t>
      </w:r>
      <w:r>
        <w:rPr>
          <w:b/>
          <w:bCs/>
        </w:rPr>
        <w:t xml:space="preserve">fourrures placo</w:t>
      </w:r>
      <w:r>
        <w:t xml:space="preserve"> </w:t>
      </w:r>
      <w:r>
        <w:t xml:space="preserve">comme supports –</w:t>
      </w:r>
      <w:r>
        <w:t xml:space="preserve"> </w:t>
      </w:r>
      <w:r>
        <w:rPr>
          <w:b/>
          <w:bCs/>
        </w:rPr>
        <w:t xml:space="preserve">non prévues</w:t>
      </w:r>
      <w:r>
        <w:t xml:space="preserve"> </w:t>
      </w:r>
      <w:r>
        <w:t xml:space="preserve">pour reprendre des charges.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Pieds réglés au maximum</w:t>
      </w:r>
      <w:r>
        <w:t xml:space="preserve">,</w:t>
      </w:r>
      <w:r>
        <w:t xml:space="preserve"> </w:t>
      </w:r>
      <w:r>
        <w:rPr>
          <w:b/>
          <w:bCs/>
        </w:rPr>
        <w:t xml:space="preserve">sans silicone</w:t>
      </w:r>
      <w:r>
        <w:t xml:space="preserve"> </w:t>
      </w:r>
      <w:r>
        <w:t xml:space="preserve">prescrit par le fabricant ; absence de plaque de répartition/rigidification.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Réutilisation</w:t>
      </w:r>
      <w:r>
        <w:t xml:space="preserve"> </w:t>
      </w:r>
      <w:r>
        <w:t xml:space="preserve">d’une</w:t>
      </w:r>
      <w:r>
        <w:t xml:space="preserve"> </w:t>
      </w:r>
      <w:r>
        <w:rPr>
          <w:b/>
          <w:bCs/>
        </w:rPr>
        <w:t xml:space="preserve">canalisation d’évacuation existante</w:t>
      </w:r>
      <w:r>
        <w:t xml:space="preserve">, imposant un cheminement</w:t>
      </w:r>
      <w:r>
        <w:t xml:space="preserve"> </w:t>
      </w:r>
      <w:r>
        <w:rPr>
          <w:b/>
          <w:bCs/>
        </w:rPr>
        <w:t xml:space="preserve">haut</w:t>
      </w:r>
      <w:r>
        <w:t xml:space="preserve"> → baignoire inutilement</w:t>
      </w:r>
      <w:r>
        <w:t xml:space="preserve"> </w:t>
      </w:r>
      <w:r>
        <w:rPr>
          <w:b/>
          <w:bCs/>
        </w:rPr>
        <w:t xml:space="preserve">surélevée</w:t>
      </w:r>
      <w:r>
        <w:t xml:space="preserve"> </w:t>
      </w:r>
      <w:r>
        <w:t xml:space="preserve">(~5 cm perdus) au lieu d’un raccord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depuis le siphon.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Joint périphérique</w:t>
      </w:r>
      <w:r>
        <w:t xml:space="preserve"> </w:t>
      </w:r>
      <w:r>
        <w:t xml:space="preserve">(mastic sanitaire)</w:t>
      </w:r>
      <w:r>
        <w:t xml:space="preserve"> </w:t>
      </w:r>
      <w:r>
        <w:rPr>
          <w:b/>
          <w:bCs/>
        </w:rPr>
        <w:t xml:space="preserve">absent/irrégulier</w:t>
      </w:r>
      <w:r>
        <w:t xml:space="preserve"> </w:t>
      </w:r>
      <w:r>
        <w:t xml:space="preserve">; vides visibles entre faïence et rebord.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Conséquences</w:t>
      </w:r>
      <w:r>
        <w:t xml:space="preserve"> : instabilité, infiltration possible,</w:t>
      </w:r>
      <w:r>
        <w:t xml:space="preserve"> </w:t>
      </w:r>
      <w:r>
        <w:rPr>
          <w:b/>
          <w:bCs/>
        </w:rPr>
        <w:t xml:space="preserve">garantie fabricant caduque</w:t>
      </w:r>
      <w:r>
        <w:t xml:space="preserve"> </w:t>
      </w:r>
      <w:r>
        <w:t xml:space="preserve">(non-respect des prescriptions), risque de chute.</w:t>
      </w:r>
    </w:p>
    <w:bookmarkEnd w:id="28"/>
    <w:bookmarkStart w:id="29" w:name="zone-6-finitions-joints-appareillage"/>
    <w:p>
      <w:pPr>
        <w:pStyle w:val="Heading2"/>
      </w:pPr>
      <w:r>
        <w:t xml:space="preserve">2.3 Zone 6 — Finitions / joints / appareillage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Joints souples</w:t>
      </w:r>
      <w:r>
        <w:t xml:space="preserve"> </w:t>
      </w:r>
      <w:r>
        <w:t xml:space="preserve">sol/mur</w:t>
      </w:r>
      <w:r>
        <w:t xml:space="preserve"> </w:t>
      </w:r>
      <w:r>
        <w:rPr>
          <w:b/>
          <w:bCs/>
        </w:rPr>
        <w:t xml:space="preserve">manquants</w:t>
      </w:r>
      <w:r>
        <w:t xml:space="preserve"> </w:t>
      </w:r>
      <w:r>
        <w:t xml:space="preserve">ou discontinus ; défauts de lissage/nettoyage.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Découpes appareillage</w:t>
      </w:r>
      <w:r>
        <w:t xml:space="preserve"> </w:t>
      </w:r>
      <w:r>
        <w:t xml:space="preserve">(interrupteurs/prises)</w:t>
      </w:r>
      <w:r>
        <w:t xml:space="preserve"> </w:t>
      </w:r>
      <w:r>
        <w:rPr>
          <w:b/>
          <w:bCs/>
        </w:rPr>
        <w:t xml:space="preserve">grossières</w:t>
      </w:r>
      <w:r>
        <w:t xml:space="preserve">, boîtiers non affleurants.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Propreté de fin de chantier</w:t>
      </w:r>
      <w:r>
        <w:t xml:space="preserve"> </w:t>
      </w:r>
      <w:r>
        <w:t xml:space="preserve">insuffisante (traces, résidus, rayures localisées).</w:t>
      </w:r>
    </w:p>
    <w:bookmarkEnd w:id="29"/>
    <w:bookmarkStart w:id="30" w:name="ouvertures-alignements-fenêtre"/>
    <w:p>
      <w:pPr>
        <w:pStyle w:val="Heading2"/>
      </w:pPr>
      <w:r>
        <w:t xml:space="preserve">2.4 Ouvertures / alignements (fenêtre)</w:t>
      </w:r>
    </w:p>
    <w:p>
      <w:pPr>
        <w:pStyle w:val="Compact"/>
        <w:numPr>
          <w:ilvl w:val="0"/>
          <w:numId w:val="1011"/>
        </w:numPr>
      </w:pPr>
      <w:r>
        <w:t xml:space="preserve">Faïence</w:t>
      </w:r>
      <w:r>
        <w:t xml:space="preserve"> </w:t>
      </w:r>
      <w:r>
        <w:rPr>
          <w:b/>
          <w:bCs/>
        </w:rPr>
        <w:t xml:space="preserve">non amenée en butée</w:t>
      </w:r>
      <w:r>
        <w:t xml:space="preserve"> </w:t>
      </w:r>
      <w:r>
        <w:t xml:space="preserve">contre le</w:t>
      </w:r>
      <w:r>
        <w:t xml:space="preserve"> </w:t>
      </w:r>
      <w:r>
        <w:rPr>
          <w:b/>
          <w:bCs/>
        </w:rPr>
        <w:t xml:space="preserve">dormant</w:t>
      </w:r>
      <w:r>
        <w:t xml:space="preserve"> ; le</w:t>
      </w:r>
      <w:r>
        <w:t xml:space="preserve"> </w:t>
      </w:r>
      <w:r>
        <w:rPr>
          <w:b/>
          <w:bCs/>
        </w:rPr>
        <w:t xml:space="preserve">placo</w:t>
      </w:r>
      <w:r>
        <w:t xml:space="preserve"> </w:t>
      </w:r>
      <w:r>
        <w:t xml:space="preserve">ne vient pas en</w:t>
      </w:r>
      <w:r>
        <w:t xml:space="preserve"> </w:t>
      </w:r>
      <w:r>
        <w:rPr>
          <w:b/>
          <w:bCs/>
        </w:rPr>
        <w:t xml:space="preserve">butée</w:t>
      </w:r>
      <w:r>
        <w:t xml:space="preserve"> </w:t>
      </w:r>
      <w:r>
        <w:t xml:space="preserve">non plus →</w:t>
      </w:r>
      <w:r>
        <w:t xml:space="preserve"> </w:t>
      </w:r>
      <w:r>
        <w:rPr>
          <w:b/>
          <w:bCs/>
        </w:rPr>
        <w:t xml:space="preserve">vide non conforme</w:t>
      </w:r>
      <w:r>
        <w:t xml:space="preserve">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Mauvais alignement</w:t>
      </w:r>
      <w:r>
        <w:t xml:space="preserve"> : alignement pris sur un</w:t>
      </w:r>
      <w:r>
        <w:t xml:space="preserve"> </w:t>
      </w:r>
      <w:r>
        <w:rPr>
          <w:b/>
          <w:bCs/>
        </w:rPr>
        <w:t xml:space="preserve">mur non droit</w:t>
      </w:r>
      <w:r>
        <w:t xml:space="preserve"> </w:t>
      </w:r>
      <w:r>
        <w:t xml:space="preserve">plutôt que sur la</w:t>
      </w:r>
      <w:r>
        <w:t xml:space="preserve"> </w:t>
      </w:r>
      <w:r>
        <w:rPr>
          <w:b/>
          <w:bCs/>
        </w:rPr>
        <w:t xml:space="preserve">fenêtre</w:t>
      </w:r>
      <w:r>
        <w:t xml:space="preserve"> →</w:t>
      </w:r>
      <w:r>
        <w:t xml:space="preserve"> </w:t>
      </w:r>
      <w:r>
        <w:rPr>
          <w:b/>
          <w:bCs/>
        </w:rPr>
        <w:t xml:space="preserve">décalage ~1 cm pour 60 cm</w:t>
      </w:r>
      <w:r>
        <w:t xml:space="preserve"> </w:t>
      </w:r>
      <w:r>
        <w:t xml:space="preserve">de longueur ; joints mal calibrés,</w:t>
      </w:r>
      <w:r>
        <w:t xml:space="preserve"> </w:t>
      </w:r>
      <w:r>
        <w:rPr>
          <w:b/>
          <w:bCs/>
        </w:rPr>
        <w:t xml:space="preserve">mauvaises découpes</w:t>
      </w:r>
      <w:r>
        <w:t xml:space="preserve">, carreaux mal nettoyés.</w:t>
      </w:r>
    </w:p>
    <w:bookmarkEnd w:id="30"/>
    <w:bookmarkStart w:id="31" w:name="ventilation"/>
    <w:p>
      <w:pPr>
        <w:pStyle w:val="Heading2"/>
      </w:pPr>
      <w:r>
        <w:t xml:space="preserve">2.5 Ventilation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Traversée non habillée</w:t>
      </w:r>
      <w:r>
        <w:t xml:space="preserve"> : rosace absente, jour périphérique non jointé.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Rappel</w:t>
      </w:r>
      <w:r>
        <w:t xml:space="preserve"> : débits réglementaires SDB/WC à respecter (extraction minimale).</w:t>
      </w:r>
    </w:p>
    <w:bookmarkEnd w:id="31"/>
    <w:bookmarkStart w:id="32" w:name="risques-et-impacts"/>
    <w:p>
      <w:pPr>
        <w:pStyle w:val="Heading2"/>
      </w:pPr>
      <w:r>
        <w:t xml:space="preserve">2.6 Risques et impacts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Techniques</w:t>
      </w:r>
      <w:r>
        <w:t xml:space="preserve"> : infiltrations, décollements, corrosion des ancrages, affaissements locaux.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Sanitaires</w:t>
      </w:r>
      <w:r>
        <w:t xml:space="preserve"> : humidité confinée, moisissures et qualité d’air dégradée.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Sécurité</w:t>
      </w:r>
      <w:r>
        <w:t xml:space="preserve"> : instabilité à l’accès baignoire, glissements/chutes.</w:t>
      </w:r>
    </w:p>
    <w:p>
      <w:pPr>
        <w:pStyle w:val="BlockText"/>
      </w:pPr>
      <w:r>
        <w:t xml:space="preserve">Les</w:t>
      </w:r>
      <w:r>
        <w:t xml:space="preserve"> </w:t>
      </w:r>
      <w:r>
        <w:rPr>
          <w:b/>
          <w:bCs/>
        </w:rPr>
        <w:t xml:space="preserve">actions correctives</w:t>
      </w:r>
      <w:r>
        <w:t xml:space="preserve"> </w:t>
      </w:r>
      <w:r>
        <w:t xml:space="preserve">détaillées (dépose/reprise protocolaire, matériaux conformes, contrôle d’étanchéité, joints MGB, nettoyage) seront précisées en</w:t>
      </w:r>
      <w:r>
        <w:t xml:space="preserve"> </w:t>
      </w:r>
      <w:r>
        <w:rPr>
          <w:b/>
          <w:bCs/>
        </w:rPr>
        <w:t xml:space="preserve">Partie 3</w:t>
      </w:r>
      <w:r>
        <w:t xml:space="preserve">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2025-11-10T18:12:11Z</dcterms:created>
  <dcterms:modified xsi:type="dcterms:W3CDTF">2025-11-10T18:12:11Z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