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color w:val="1f3864"/>
          <w:sz w:val="56"/>
          <w:szCs w:val="56"/>
          <w:rtl w:val="0"/>
        </w:rPr>
        <w:t xml:space="preserve">Dossier de Référence — Salle de Bains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sz w:val="28"/>
          <w:szCs w:val="28"/>
          <w:rtl w:val="0"/>
        </w:rPr>
        <w:t xml:space="preserve">Fusion thématique intégrée (Normes + Mise en œuvre)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Version : 1.0 (édition enrichie)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Date : 18/09/2025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Sources : 4 documents téléversés (DTU &amp; réglementations, Placo, obligations rénovation, panorama)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1f3864"/>
          <w:rtl w:val="0"/>
        </w:rPr>
        <w:t xml:space="preserve">――――――――――――――――――――――――――――――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Sommair</w:t>
      </w:r>
      <w:r w:rsidDel="00000000" w:rsidR="00000000" w:rsidRPr="00000000">
        <w:rPr>
          <w:sz w:val="32"/>
          <w:szCs w:val="3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9987481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 Classement des locaux humides (EA / EB / EB+ / EC)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 Choix des parois &amp; systèmes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 Interfaces critiques (détails &amp; contrôles)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4) Traversées &amp; percements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5) Revêtements &amp; pentes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6) Ventilation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7) Électricité — volumes NFC 15‑100 (rappel opérationnel)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8) Parois contre murs froids, pare‑vapeur &amp; doublages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9) Traçabilité des matériaux &amp; documents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10) Tableaux de correspondance (Exigence → Solution → Points de contrôle)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Calibri" w:cs="Calibri" w:eastAsia="Calibri" w:hAnsi="Calibri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12) Grilles de non‑conformités types &amp; actions correctives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Annexes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Table des matières – cliquez droit pour « Mettre à jour les champs » dans Word.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1) Classement des locaux humides (EA / EB / EB+ / EC)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i w:val="1"/>
          <w:rtl w:val="0"/>
        </w:rPr>
        <w:t xml:space="preserve">Objectif : déterminer l’exposition à l’eau et à la vapeur pour choisir les systèmes adaptés.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Exposition typique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Exemples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Conséquences sur systèmes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EA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Humidité ambiante modérée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WC, lave-mains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Peinture adaptée / carrelage ; plaques standard possibles hors zones à risque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Projections occasionnelles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Salle d’eau éloignée de la douche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Plaques H1 recommandées ; attention aux interfaces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EB+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Projections fréquentes / ruissellements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Périmètre douche/baignoire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Plaques H1 + SPEC/SEL continu + accessoires d’étanchéité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EC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Immersion/ruissellements intensifs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Douches collectives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Systèmes renforcés / proscrire matériaux non adaptés</w:t>
            </w:r>
          </w:p>
        </w:tc>
      </w:tr>
    </w:tbl>
    <w:p w:rsidR="00000000" w:rsidDel="00000000" w:rsidP="00000000" w:rsidRDefault="00000000" w:rsidRPr="00000000" w14:paraId="0000003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Décision clé : la zone douche/baignoire est au minimum EB+ ; adapter plaques, SPEC/SEL, revêtements, et interfaces en conséquence.</w:t>
      </w:r>
    </w:p>
    <w:p w:rsidR="00000000" w:rsidDel="00000000" w:rsidP="00000000" w:rsidRDefault="00000000" w:rsidRPr="00000000" w14:paraId="0000003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2) Choix des parois &amp; systèmes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Plaques et supports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Utiliser des plaques de plâtre hydrofuges (H1) ou systèmes équivalents en EB/EB+.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Prévoir renforts d’ossature aux zones de charge (pare-douche, meubles, barres).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Respecter entraxes et fixations conformes au système porteur.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Étanchéité (SPEC/SEL)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Continuité de la membrane en EB+ ; relevés aux angles, bandes, manchettes aux traversées.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Chutes, niches et joints verticaux traités avec accessoires compatibles du système.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Respecter temps de séchage et conditions climatiques de pose.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Carrelage, mortiers &amp; joints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Adhésifs et mortiers compatibles locaux humides ; suivre prescriptions fabricant.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Pentes vers l’évacuation en zones de douche ; épaisseurs maîtrisées.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Joints périphériques sanitaires (mastic élastomère) aux interfaces.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3) Interfaces critiques (détails &amp; contrôles)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 recommandée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Contrôles visuels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Sol/Mur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Continuité étanche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Relevé membrane + bande d’angle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Aucun « jour », continuité visible tout le long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Receveur/Baignoire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Étanchéité périphérique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Manchettes + joint sanitaire final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Joint intact, non cisaillé, adhérence continue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Menuiseries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Traitement points singuliers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Compribande/étanchéité périphérique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Absence d’entrée d’eau, finitions nettes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Niches murales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Protection intégrale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SPEC/SEL + accessoires adaptés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Angles traités, membrane continue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4) Traversées &amp; percements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Manchons/membranes aux sorties murales (eau chaude/froide, douche).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Pré-perçages propres ; protéger l’étanchéité lors des fixations.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Renforts d’ossature alignés avec les points d’ancrage prévus.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5) Revêtements &amp; pentes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Ind w:w="-115.0" w:type="dxa"/>
        <w:tblLayout w:type="fixed"/>
        <w:tblLook w:val="04A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Tolérances usuelles (indicatives)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Contrôles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Sol douche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Pente vers siphon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Pente régulière (ex. ~1 à 2 cm/m)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Niveau à bulle, écoulement sans stagnation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Murs carrelés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Adhérence &amp; planéité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Planéité homogène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Son creux, défauts visibles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Joints sanitaires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Continuité, propreté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Aspect régulier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Inspection visuelle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6) Ventilation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VMC ou extraction équivalente ; emplacement de bouche conforme aux bonnes pratiques.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Entrées d’air assurées (détalonnage de porte ~10–15 mm selon système).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Rejet en extérieur ou réseau prévu ; proscrire rejet dans combles non ventilés.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Entretien : filtres, vérification du débit et de la dépression.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7) Électricité — volumes NFC 15‑100 (rappel opérationnel)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Ind w:w="-108.0" w:type="dxa"/>
        <w:tblBorders>
          <w:top w:color="c0504d" w:space="0" w:sz="8" w:val="single"/>
          <w:bottom w:color="c0504d" w:space="0" w:sz="8" w:val="single"/>
        </w:tblBorders>
        <w:tblLayout w:type="fixed"/>
        <w:tblLook w:val="04A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Périmètre (rappel)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Appareils admissibles (exemples)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Interdits (exemples)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Intérieur baignoire/receveur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Équipements très basse tension adaptés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Prises, luminaires non IP adaptés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Au-dessus baignoire/receveur (jusqu’à 2,25 m)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Équipements IP/Classe conformes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Prises 230 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Autour du volume 1 (60 cm)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Appareils IP renforcés, luminaires adaptés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Prises non protégées, appareils non conformes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Protection différentielle 30 mA dédiée aux circuits de la salle d’eau.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Respect des distances et hauteurs ; consulter les schémas de volumes avant implantation.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Liaison équipotentielle selon configuration et prescriptions en vigueur.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8) Parois contre murs froids, pare‑vapeur &amp; doublages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Gestion de la vapeur d’eau côté chaud si prescrit pour éviter condensations.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Continuité d’étanchéité à l’air ; traitement des percements et boîtiers.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9) Traçabilité des matériaux &amp; documents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Conserver fiches techniques (plaques H1, SPEC/SEL, colles, joints) et Avis Techniques.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Archiver numéros de lots, factures, garanties ; associer aux photos d’étapes.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PV d’essais/mesures si réalisés (étanchéité, électricité, ventilation).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10) Tableaux de correspondance (Exigence → Solution → Points de contrôle)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Ind w:w="-108.0" w:type="dxa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 recommandée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Points de contrôle chantier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Zone EB+ protégée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SPEC/SEL complet + bandes + manchettes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Continuité, relevés aux angles, séchage respecté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Support adapté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Plaques H1 ou équivalent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Étiquetage produit, documentation fournisseur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Adhésion carrelage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Colle classée adaptée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Température/temps d’attente, peigne correct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Interfaces menuisées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Traitements périphériques adaptés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Absence de jours, finition propre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Contrôle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Sol/mur étanche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Bande d’angle + relevé SPEC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Aucun défaut visuel, membrane continue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Receveur/baignoire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Manchettes + joint sanitaire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Joint final souple, non cisaillé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Traversées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Accessoires d’étanchéité du système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Manchons présents et solidaires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Ventilation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Bouche en volume approprié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Débit nominal perçu, rejet correct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Sécurité électrique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Différentiel 30 mA + respect des volumes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Schéma électrique, repérage tableau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12) Grilles de non‑conformités types &amp; actions correctives</w:t>
      </w:r>
    </w:p>
    <w:tbl>
      <w:tblPr>
        <w:tblStyle w:val="Table7"/>
        <w:tblW w:w="9972.0" w:type="dxa"/>
        <w:jc w:val="left"/>
        <w:tblInd w:w="-108.0" w:type="dxa"/>
        <w:tblBorders>
          <w:top w:color="9bbb59" w:space="0" w:sz="8" w:val="single"/>
          <w:bottom w:color="9bbb59" w:space="0" w:sz="8" w:val="single"/>
        </w:tblBorders>
        <w:tblLayout w:type="fixed"/>
        <w:tblLook w:val="04A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Non‑conformité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 corrective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Preuve attendue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Absence de SPEC en zone douche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Infiltrations, moisissures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Poser SPEC/SEL complet + bandes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Photos étapes, facture matériaux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Plaques non H1 en zone EB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Dégradation du parement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Remplacement par plaques H1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Étiquette produit, déchets tracés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Joint sanitaire manquant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Entrées d’eau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Nettoyage, mastic sanitaire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Photo avant/après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Ventilation absente/défaillante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Condensation, odeurs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Installer/entretenir VMC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Photo bouche, doc produit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Prises/équipements en volumes non autorisés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Électrocution/incendie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Déplacement/remplacement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Photo implantation, 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Membrane discontinue aux angles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Fuite localisée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Reprise d’étanchéité + bande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Photos après reprise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r w:rsidDel="00000000" w:rsidR="00000000" w:rsidRPr="00000000">
        <w:rPr>
          <w:rtl w:val="0"/>
        </w:rPr>
        <w:t xml:space="preserve">Annexes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rtl w:val="0"/>
        </w:rPr>
        <w:t xml:space="preserve">A. Glossaire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• EB/EB+ : classes d’exposition à l’eau en locaux humides.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H1 : plaques hydrofuges adaptées aux locaux humides.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SPEC/SEL : systèmes d’étanchéité sous carrelage/liquide.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AT : Avis Technique.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rtl w:val="0"/>
        </w:rPr>
        <w:t xml:space="preserve">B. Bibliographie (rappels non exhaustifs)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Référentiels NF DTU (cloisons, doublages, carrelage).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NF C 15‑100 (volumes en salle d’eau).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CPT/Avis Techniques des systèmes SPEC/SEL.</w:t>
      </w:r>
    </w:p>
    <w:sectPr>
      <w:footerReference r:id="rId6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1f386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1f386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1f386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4f81bd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f2f8" w:val="clear"/>
    </w:tcPr>
    <w:tblStylePr w:type="band1Horz">
      <w:tcPr>
        <w:shd w:fill="dbe5f1" w:val="clear"/>
      </w:tcPr>
    </w:tblStylePr>
    <w:tblStylePr w:type="band1Vert">
      <w:tcPr>
        <w:tc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bottom w:color="ffffff" w:space="0" w:sz="12" w:val="single"/>
        </w:tcBorders>
        <w:shd w:fill="9e3a38" w:val="clear"/>
      </w:tcPr>
    </w:tblStylePr>
    <w:tblStylePr w:type="lastCol">
      <w:rPr>
        <w:b w:val="1"/>
      </w:rPr>
    </w:tblStylePr>
    <w:tblStylePr w:type="lastRow">
      <w:rPr>
        <w:b w:val="1"/>
        <w:color w:val="9e3a38"/>
      </w:rPr>
      <w:tcPr>
        <w:tcBorders>
          <w:top w:color="000000" w:space="0" w:sz="12" w:val="single"/>
        </w:tcBorders>
        <w:shd w:fill="ffffff" w:val="clear"/>
      </w:tcPr>
    </w:tblStylePr>
  </w:style>
  <w:style w:type="table" w:styleId="Table4">
    <w:basedOn w:val="TableNormal"/>
    <w:pPr>
      <w:spacing w:after="0" w:line="240" w:lineRule="auto"/>
    </w:pPr>
    <w:rPr>
      <w:color w:val="94373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efd3d3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efd3d3" w:val="clear"/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</w:rPr>
      <w:tcPr>
        <w:tcBorders>
          <w:top w:color="c0504d" w:space="0" w:sz="8" w:val="single"/>
          <w:left w:color="000000" w:space="0" w:sz="0" w:val="nil"/>
          <w:bottom w:color="c0504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c0504d" w:space="0" w:sz="8" w:val="single"/>
          <w:left w:color="000000" w:space="0" w:sz="0" w:val="nil"/>
          <w:bottom w:color="c0504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c0504d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e6eed5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e6eed5" w:val="clear"/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</w:rPr>
      <w:tcPr>
        <w:tcBorders>
          <w:top w:color="9bbb59" w:space="0" w:sz="8" w:val="single"/>
          <w:left w:color="000000" w:space="0" w:sz="0" w:val="nil"/>
          <w:bottom w:color="9bbb59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9bbb59" w:space="0" w:sz="8" w:val="single"/>
          <w:left w:color="000000" w:space="0" w:sz="0" w:val="nil"/>
          <w:bottom w:color="9bbb59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