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Inconsolata" w:cs="Inconsolata" w:eastAsia="Inconsolata" w:hAnsi="Inconsolat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Tiles should be made under the scale of 64 pixels equals 1 meter, and 16 pixels equals 1 meter of height. Afterward, place it in the corresponding area’s tileset, aligned with snap to grid in the next available space on the canvas.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Tileset definitions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 highest of the structural layers, these are above the floor level.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Floor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 middle structural layer, which the game plays 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Platform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Tiles that can be placed on hole tiles. The top of the platform is at the height of the top of the floor tiles.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Hole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 lowest of the base tile types, this represents holes, but can also feature lava, water, and other tiles below the floor level that cannot be traversed.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Other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These are decorations, positionable on any layer.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