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GARCH模型VaR预测结果分析报告</w:t>
      </w:r>
    </w:p>
    <w:p>
      <w:r>
        <w:t>生成时间: 2026-01-03 19:59:14</w:t>
      </w:r>
    </w:p>
    <w:p/>
    <w:p>
      <w:pPr>
        <w:pStyle w:val="Heading1"/>
      </w:pPr>
      <w:r>
        <w:t>一、数据基本信息</w:t>
      </w:r>
    </w:p>
    <w:p>
      <w:r>
        <w:rPr>
          <w:b/>
        </w:rPr>
        <w:t>数据时间范围: 2000-01-04 到 2018-06-27</w:t>
      </w:r>
    </w:p>
    <w:p>
      <w:r>
        <w:rPr>
          <w:b/>
        </w:rPr>
        <w:t>总样本数: 4640</w:t>
      </w:r>
    </w:p>
    <w:p>
      <w:pPr>
        <w:pStyle w:val="Heading1"/>
      </w:pPr>
      <w:r>
        <w:t>二、样本划分</w:t>
      </w:r>
    </w:p>
    <w:p>
      <w:r>
        <w:rPr>
          <w:b/>
        </w:rPr>
        <w:t>样本内数据量: 3712</w:t>
      </w:r>
      <w:r>
        <w:t xml:space="preserve"> (2000-01-04 到 2014-10-20)</w:t>
      </w:r>
    </w:p>
    <w:p>
      <w:r>
        <w:rPr>
          <w:b/>
        </w:rPr>
        <w:t>样本外数据量: 928</w:t>
      </w:r>
      <w:r>
        <w:t xml:space="preserve"> (2014-10-21 到 2018-06-27)</w:t>
      </w:r>
    </w:p>
    <w:p/>
    <w:p>
      <w:pPr>
        <w:pStyle w:val="Heading1"/>
      </w:pPr>
      <w:r>
        <w:t>三、平稳性检验</w:t>
      </w:r>
    </w:p>
    <w:p>
      <w:r>
        <w:rPr>
          <w:b/>
        </w:rPr>
        <w:t>ADF统计量: -13.336376</w:t>
      </w:r>
    </w:p>
    <w:p>
      <w:r>
        <w:rPr>
          <w:b/>
        </w:rPr>
        <w:t>p值: 0.000000</w:t>
      </w:r>
    </w:p>
    <w:p>
      <w:r>
        <w:rPr>
          <w:b/>
        </w:rPr>
        <w:t>结论: 样本内收益率序列是平稳的</w:t>
      </w:r>
    </w:p>
    <w:p/>
    <w:p>
      <w:pPr>
        <w:pStyle w:val="Heading1"/>
      </w:pPr>
      <w:r>
        <w:t>四、ARMA模型选择</w:t>
      </w:r>
    </w:p>
    <w:p>
      <w:r>
        <w:rPr>
          <w:b/>
        </w:rPr>
        <w:t>基于AIC准则选择的最优阶数: ARMA(2, 0)</w:t>
      </w:r>
    </w:p>
    <w:p>
      <w:r>
        <w:rPr>
          <w:i/>
        </w:rPr>
        <w:t>注: AIC准则倾向于选择拟合优度更高的模型，BIC准则对参数个数惩罚更大，倾向于选择更简洁的模型。</w:t>
      </w:r>
    </w:p>
    <w:p/>
    <w:p>
      <w:pPr>
        <w:pStyle w:val="Heading1"/>
      </w:pPr>
      <w:r>
        <w:t>五、GARCH(1,1)模型估计结果</w:t>
      </w:r>
    </w:p>
    <w:p>
      <w:r>
        <w:t>模型设定: GARCH(1,1) with Standard Normal Distribution</w:t>
      </w:r>
    </w:p>
    <w:p>
      <w:r>
        <w:t>均值方程: ARMA(2, 0)</w:t>
      </w:r>
    </w:p>
    <w:p>
      <w:r>
        <w:rPr>
          <w:b/>
        </w:rPr>
        <w:t>模型参数估计值:</w:t>
      </w:r>
    </w:p>
    <w:p>
      <w:r>
        <w:t xml:space="preserve">  Const: 0.006020</w:t>
      </w:r>
    </w:p>
    <w:p>
      <w:r>
        <w:t xml:space="preserve">  log_ret[1]: -0.081342</w:t>
      </w:r>
    </w:p>
    <w:p>
      <w:r>
        <w:t xml:space="preserve">  log_ret[2]: -0.061040</w:t>
      </w:r>
    </w:p>
    <w:p>
      <w:r>
        <w:t xml:space="preserve">  omega: 0.000003</w:t>
      </w:r>
    </w:p>
    <w:p>
      <w:r>
        <w:t xml:space="preserve">  alpha[1]: 0.100004</w:t>
      </w:r>
    </w:p>
    <w:p>
      <w:r>
        <w:t xml:space="preserve">  beta[1]: 0.879996</w:t>
      </w:r>
    </w:p>
    <w:p>
      <w:r>
        <w:t>对数似然值: 11164.03</w:t>
      </w:r>
    </w:p>
    <w:p>
      <w:r>
        <w:t>AIC: -22316.06</w:t>
      </w:r>
    </w:p>
    <w:p>
      <w:r>
        <w:t>BIC: -22278.75</w:t>
      </w:r>
    </w:p>
    <w:p/>
    <w:p>
      <w:pPr>
        <w:pStyle w:val="Heading1"/>
      </w:pPr>
      <w:r>
        <w:t>六、样本内VaR计算结果</w:t>
      </w:r>
    </w:p>
    <w:p>
      <w:r>
        <w:rPr>
          <w:b/>
        </w:rPr>
        <w:t>正态分布假设下的样本内VaR（最后一个观测值）:</w:t>
      </w:r>
    </w:p>
    <w:p>
      <w:r>
        <w:t xml:space="preserve">  1.0% VaR: 0.031944</w:t>
      </w:r>
    </w:p>
    <w:p>
      <w:r>
        <w:t xml:space="preserve">  5.0% VaR: 0.022586</w:t>
      </w:r>
    </w:p>
    <w:p>
      <w:r>
        <w:t xml:space="preserve">  10.0% VaR: 0.017597</w:t>
      </w:r>
    </w:p>
    <w:p/>
    <w:p>
      <w:pPr>
        <w:pStyle w:val="Heading1"/>
      </w:pPr>
      <w:r>
        <w:t>七、样本内动态分位数检验(DQ检验)</w:t>
      </w:r>
    </w:p>
    <w:p>
      <w:r>
        <w:rPr>
          <w:b/>
        </w:rPr>
        <w:t>检验水平: 5% VaR</w:t>
      </w:r>
    </w:p>
    <w:p>
      <w:r>
        <w:t>实际失败次数: 129</w:t>
      </w:r>
    </w:p>
    <w:p>
      <w:r>
        <w:t>预期失败次数: 185.6</w:t>
      </w:r>
    </w:p>
    <w:p>
      <w:r>
        <w:t>失败率: 0.0348</w:t>
      </w:r>
    </w:p>
    <w:p>
      <w:r>
        <w:t>DQ检验p值: 0.0854</w:t>
      </w:r>
    </w:p>
    <w:p>
      <w:r>
        <w:rPr>
          <w:b/>
          <w:color w:val="008000"/>
        </w:rPr>
        <w:t>DQ检验结果: 通过 (p值 &gt; 0.05，模型设定合理)</w:t>
      </w:r>
    </w:p>
    <w:p/>
    <w:p>
      <w:pPr>
        <w:pStyle w:val="Heading1"/>
      </w:pPr>
      <w:r>
        <w:t>八、样本外VaR预测评估</w:t>
      </w:r>
    </w:p>
    <w:p>
      <w:pPr>
        <w:pStyle w:val="Heading2"/>
      </w:pPr>
      <w:r>
        <w:t>1.0% VaR评估结果</w:t>
      </w:r>
    </w:p>
    <w:p>
      <w:r>
        <w:t>实际失败次数: 5</w:t>
      </w:r>
    </w:p>
    <w:p>
      <w:r>
        <w:t>预期失败次数: 9.3</w:t>
      </w:r>
    </w:p>
    <w:p>
      <w:r>
        <w:t>失败率: 0.0054</w:t>
      </w:r>
    </w:p>
    <w:p>
      <w:r>
        <w:t>Kupiec检验LR统计量: 2.3957</w:t>
      </w:r>
    </w:p>
    <w:p>
      <w:r>
        <w:t>Kupiec检验p值: 0.1217</w:t>
      </w:r>
    </w:p>
    <w:p>
      <w:r>
        <w:rPr>
          <w:b/>
          <w:color w:val="008000"/>
        </w:rPr>
        <w:t>Kupiec检验结果: 通过 (p值 &gt; 0.05，模型设定合理)</w:t>
      </w:r>
    </w:p>
    <w:p>
      <w:r>
        <w:t>样本外DQ检验p值: 0.7738</w:t>
      </w:r>
    </w:p>
    <w:p>
      <w:r>
        <w:rPr>
          <w:b/>
          <w:color w:val="008000"/>
        </w:rPr>
        <w:t>DQ检验结果: 通过 (p值 &gt; 0.05，模型设定合理)</w:t>
      </w:r>
    </w:p>
    <w:p>
      <w:r>
        <w:t>平均分位数损失: 0.573581</w:t>
      </w:r>
    </w:p>
    <w:p/>
    <w:p>
      <w:pPr>
        <w:pStyle w:val="Heading2"/>
      </w:pPr>
      <w:r>
        <w:t>5.0% VaR评估结果</w:t>
      </w:r>
    </w:p>
    <w:p>
      <w:r>
        <w:t>实际失败次数: 11</w:t>
      </w:r>
    </w:p>
    <w:p>
      <w:r>
        <w:t>预期失败次数: 46.4</w:t>
      </w:r>
    </w:p>
    <w:p>
      <w:r>
        <w:t>失败率: 0.0119</w:t>
      </w:r>
    </w:p>
    <w:p>
      <w:r>
        <w:t>Kupiec检验LR统计量: 40.5359</w:t>
      </w:r>
    </w:p>
    <w:p>
      <w:r>
        <w:t>Kupiec检验p值: 0.0000</w:t>
      </w:r>
    </w:p>
    <w:p>
      <w:r>
        <w:rPr>
          <w:b/>
          <w:color w:val="FF0000"/>
        </w:rPr>
        <w:t>Kupiec检验结果: 未通过 (p值 ≤ 0.05，模型设定可能存在问题)</w:t>
      </w:r>
    </w:p>
    <w:p>
      <w:r>
        <w:t>样本外DQ检验p值: 0.5452</w:t>
      </w:r>
    </w:p>
    <w:p>
      <w:r>
        <w:rPr>
          <w:b/>
          <w:color w:val="008000"/>
        </w:rPr>
        <w:t>DQ检验结果: 通过 (p值 &gt; 0.05，模型设定合理)</w:t>
      </w:r>
    </w:p>
    <w:p>
      <w:r>
        <w:t>平均分位数损失: 0.389070</w:t>
      </w:r>
    </w:p>
    <w:p/>
    <w:p>
      <w:pPr>
        <w:pStyle w:val="Heading2"/>
      </w:pPr>
      <w:r>
        <w:t>10.0% VaR评估结果</w:t>
      </w:r>
    </w:p>
    <w:p>
      <w:r>
        <w:t>实际失败次数: 25</w:t>
      </w:r>
    </w:p>
    <w:p>
      <w:r>
        <w:t>预期失败次数: 92.8</w:t>
      </w:r>
    </w:p>
    <w:p>
      <w:r>
        <w:t>失败率: 0.0269</w:t>
      </w:r>
    </w:p>
    <w:p>
      <w:r>
        <w:t>Kupiec检验LR统计量: 75.3822</w:t>
      </w:r>
    </w:p>
    <w:p>
      <w:r>
        <w:t>Kupiec检验p值: 0.0000</w:t>
      </w:r>
    </w:p>
    <w:p>
      <w:r>
        <w:rPr>
          <w:b/>
          <w:color w:val="FF0000"/>
        </w:rPr>
        <w:t>Kupiec检验结果: 未通过 (p值 ≤ 0.05，模型设定可能存在问题)</w:t>
      </w:r>
    </w:p>
    <w:p>
      <w:r>
        <w:t>样本外DQ检验p值: 0.1971</w:t>
      </w:r>
    </w:p>
    <w:p>
      <w:r>
        <w:rPr>
          <w:b/>
          <w:color w:val="008000"/>
        </w:rPr>
        <w:t>DQ检验结果: 通过 (p值 &gt; 0.05，模型设定合理)</w:t>
      </w:r>
    </w:p>
    <w:p>
      <w:r>
        <w:t>平均分位数损失: 0.287142</w:t>
      </w:r>
    </w:p>
    <w:p/>
    <w:p>
      <w:pPr>
        <w:pStyle w:val="Heading1"/>
      </w:pPr>
      <w:r>
        <w:t>九、可视化结果</w:t>
      </w:r>
    </w:p>
    <w:p>
      <w:r>
        <w:t>不同置信水平下VaR预测与实际收益率的比较:</w:t>
      </w:r>
    </w:p>
    <w:p>
      <w:r>
        <w:drawing>
          <wp:inline xmlns:a="http://schemas.openxmlformats.org/drawingml/2006/main" xmlns:pic="http://schemas.openxmlformats.org/drawingml/2006/picture">
            <wp:extent cx="5486400" cy="46887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ch_var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871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