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分位数回归VaR模型分析结果</w:t>
      </w:r>
    </w:p>
    <w:p>
      <w:pPr>
        <w:pStyle w:val="Heading1"/>
      </w:pPr>
      <w:r>
        <w:t>1. 模型基本信息</w:t>
      </w:r>
    </w:p>
    <w:p>
      <w:r>
        <w:t>分析时间: 2026-01-04 10:01:29.166177</w:t>
      </w:r>
    </w:p>
    <w:p>
      <w:r>
        <w:t>分析的分位数水平: ['1%', '5%', '10%']</w:t>
      </w:r>
    </w:p>
    <w:p>
      <w:pPr>
        <w:pStyle w:val="Heading1"/>
      </w:pPr>
      <w:r>
        <w:t>2. 样本划分</w:t>
      </w:r>
    </w:p>
    <w:p>
      <w:r>
        <w:t>训练样本大小: 3711</w:t>
      </w:r>
    </w:p>
    <w:p>
      <w:r>
        <w:t>测试样本大小: 928</w:t>
      </w:r>
    </w:p>
    <w:p>
      <w:r>
        <w:t>训练期间: 2000-01-05 00:00:00 到 2014-10-20 00:00:00</w:t>
      </w:r>
    </w:p>
    <w:p>
      <w:r>
        <w:t>测试期间: 2014-10-21 00:00:00 到 2018-06-27 00:00:00</w:t>
      </w:r>
    </w:p>
    <w:p>
      <w:pPr>
        <w:pStyle w:val="Heading1"/>
      </w:pPr>
      <w:r>
        <w:t>3. 样本内 vs 样本外 性能对比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分位数</w:t>
            </w:r>
          </w:p>
        </w:tc>
        <w:tc>
          <w:tcPr>
            <w:tcW w:type="dxa" w:w="1440"/>
          </w:tcPr>
          <w:p>
            <w:r>
              <w:t>样本</w:t>
            </w:r>
          </w:p>
        </w:tc>
        <w:tc>
          <w:tcPr>
            <w:tcW w:type="dxa" w:w="1440"/>
          </w:tcPr>
          <w:p>
            <w:r>
              <w:t>失败率</w:t>
            </w:r>
          </w:p>
        </w:tc>
        <w:tc>
          <w:tcPr>
            <w:tcW w:type="dxa" w:w="1440"/>
          </w:tcPr>
          <w:p>
            <w:r>
              <w:t>DQ检验</w:t>
            </w:r>
          </w:p>
        </w:tc>
        <w:tc>
          <w:tcPr>
            <w:tcW w:type="dxa" w:w="1440"/>
          </w:tcPr>
          <w:p>
            <w:r>
              <w:t>Kupiec检验</w:t>
            </w:r>
          </w:p>
        </w:tc>
        <w:tc>
          <w:tcPr>
            <w:tcW w:type="dxa" w:w="1440"/>
          </w:tcPr>
          <w:p>
            <w:r>
              <w:t>平均损失</w:t>
            </w:r>
          </w:p>
        </w:tc>
      </w:tr>
      <w:tr>
        <w:tc>
          <w:tcPr>
            <w:tcW w:type="dxa" w:w="1440"/>
          </w:tcPr>
          <w:p>
            <w:r>
              <w:t>1%</w:t>
            </w:r>
          </w:p>
        </w:tc>
        <w:tc>
          <w:tcPr>
            <w:tcW w:type="dxa" w:w="1440"/>
          </w:tcPr>
          <w:p>
            <w:r>
              <w:t>样本内</w:t>
            </w:r>
          </w:p>
        </w:tc>
        <w:tc>
          <w:tcPr>
            <w:tcW w:type="dxa" w:w="1440"/>
          </w:tcPr>
          <w:p>
            <w:r>
              <w:t>0.0102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1%</w:t>
            </w:r>
          </w:p>
        </w:tc>
        <w:tc>
          <w:tcPr>
            <w:tcW w:type="dxa" w:w="1440"/>
          </w:tcPr>
          <w:p>
            <w:r>
              <w:t>样本外</w:t>
            </w:r>
          </w:p>
        </w:tc>
        <w:tc>
          <w:tcPr>
            <w:tcW w:type="dxa" w:w="1440"/>
          </w:tcPr>
          <w:p>
            <w:r>
              <w:t>0.0108</w:t>
            </w:r>
          </w:p>
        </w:tc>
        <w:tc>
          <w:tcPr>
            <w:tcW w:type="dxa" w:w="1440"/>
          </w:tcPr>
          <w:p>
            <w:r>
              <w:t>未通过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0.000288</w:t>
            </w:r>
          </w:p>
        </w:tc>
      </w:tr>
      <w:tr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样本内</w:t>
            </w:r>
          </w:p>
        </w:tc>
        <w:tc>
          <w:tcPr>
            <w:tcW w:type="dxa" w:w="1440"/>
          </w:tcPr>
          <w:p>
            <w:r>
              <w:t>0.0499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样本外</w:t>
            </w:r>
          </w:p>
        </w:tc>
        <w:tc>
          <w:tcPr>
            <w:tcW w:type="dxa" w:w="1440"/>
          </w:tcPr>
          <w:p>
            <w:r>
              <w:t>0.0431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0.000912</w:t>
            </w:r>
          </w:p>
        </w:tc>
      </w:tr>
      <w:tr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样本内</w:t>
            </w:r>
          </w:p>
        </w:tc>
        <w:tc>
          <w:tcPr>
            <w:tcW w:type="dxa" w:w="1440"/>
          </w:tcPr>
          <w:p>
            <w:r>
              <w:t>0.1008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样本外</w:t>
            </w:r>
          </w:p>
        </w:tc>
        <w:tc>
          <w:tcPr>
            <w:tcW w:type="dxa" w:w="1440"/>
          </w:tcPr>
          <w:p>
            <w:r>
              <w:t>0.0948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  <w:tc>
          <w:tcPr>
            <w:tcW w:type="dxa" w:w="1440"/>
          </w:tcPr>
          <w:p>
            <w:r>
              <w:t>0.001464</w:t>
            </w:r>
          </w:p>
        </w:tc>
      </w:tr>
    </w:tbl>
    <w:p>
      <w:pPr>
        <w:pStyle w:val="Heading1"/>
      </w:pPr>
      <w:r>
        <w:t>4. 检验说明</w:t>
      </w:r>
    </w:p>
    <w:p>
      <w:r>
        <w:t>DQ检验（动态分位数检验）:</w:t>
      </w:r>
    </w:p>
    <w:p>
      <w:r>
        <w:t xml:space="preserve">   - 原假设：模型设定正确，能够充分捕捉数据动态</w:t>
      </w:r>
    </w:p>
    <w:p>
      <w:r>
        <w:t xml:space="preserve">   - 检验通过条件：p值 &gt; 0.05（不拒绝原假设）</w:t>
      </w:r>
    </w:p>
    <w:p>
      <w:r>
        <w:t xml:space="preserve">   - 如果被拒绝，说明模型存在设定误差</w:t>
      </w:r>
    </w:p>
    <w:p>
      <w:r>
        <w:t>Kupiec检验（失败率检验）:</w:t>
      </w:r>
    </w:p>
    <w:p>
      <w:r>
        <w:t xml:space="preserve">   - 原假设：VaR预测准确，失败率等于期望水平</w:t>
      </w:r>
    </w:p>
    <w:p>
      <w:r>
        <w:t xml:space="preserve">   - 检验通过条件：p值 &gt; 0.05（不拒绝原假设）</w:t>
      </w:r>
    </w:p>
    <w:p>
      <w:r>
        <w:t xml:space="preserve">   - 如果被拒绝，说明VaR预测不准确</w:t>
      </w:r>
    </w:p>
    <w:p>
      <w:pPr>
        <w:pStyle w:val="Heading1"/>
      </w:pPr>
      <w:r>
        <w:t>5. 最终分析总结</w:t>
      </w:r>
    </w:p>
    <w:p>
      <w:pPr>
        <w:pStyle w:val="Heading2"/>
      </w:pPr>
      <w:r>
        <w:t>1% VaR 模型总结</w:t>
      </w:r>
    </w:p>
    <w:p>
      <w:r>
        <w:t>样本内 DQ检验: ✓通过 (p值=0.1593)</w:t>
      </w:r>
    </w:p>
    <w:p>
      <w:r>
        <w:t>样本外 Kupiec检验: ✓通过 (p值=0.8145)</w:t>
      </w:r>
    </w:p>
    <w:p>
      <w:r>
        <w:t xml:space="preserve">  失败率: 0.0108 (期望: 0.0100)</w:t>
      </w:r>
    </w:p>
    <w:p>
      <w:r>
        <w:t>样本外 DQ检验: ✗未通过 (p值=0.0000)</w:t>
      </w:r>
    </w:p>
    <w:p>
      <w:r>
        <w:t>样本外平均损失: 0.000288</w:t>
      </w:r>
    </w:p>
    <w:p>
      <w:pPr>
        <w:pStyle w:val="Heading2"/>
      </w:pPr>
      <w:r>
        <w:t>5% VaR 模型总结</w:t>
      </w:r>
    </w:p>
    <w:p>
      <w:r>
        <w:t>样本内 DQ检验: ✓通过 (p值=0.5191)</w:t>
      </w:r>
    </w:p>
    <w:p>
      <w:r>
        <w:t>样本外 Kupiec检验: ✓通过 (p值=0.3240)</w:t>
      </w:r>
    </w:p>
    <w:p>
      <w:r>
        <w:t xml:space="preserve">  失败率: 0.0431 (期望: 0.0500)</w:t>
      </w:r>
    </w:p>
    <w:p>
      <w:r>
        <w:t>样本外 DQ检验: ✓通过 (p值=0.0936)</w:t>
      </w:r>
    </w:p>
    <w:p>
      <w:r>
        <w:t>样本外平均损失: 0.000912</w:t>
      </w:r>
    </w:p>
    <w:p>
      <w:pPr>
        <w:pStyle w:val="Heading2"/>
      </w:pPr>
      <w:r>
        <w:t>10% VaR 模型总结</w:t>
      </w:r>
    </w:p>
    <w:p>
      <w:r>
        <w:t>样本内 DQ检验: ✓通过 (p值=0.3384)</w:t>
      </w:r>
    </w:p>
    <w:p>
      <w:r>
        <w:t>样本外 Kupiec检验: ✓通过 (p值=0.5966)</w:t>
      </w:r>
    </w:p>
    <w:p>
      <w:r>
        <w:t xml:space="preserve">  失败率: 0.0948 (期望: 0.1000)</w:t>
      </w:r>
    </w:p>
    <w:p>
      <w:r>
        <w:t>样本外 DQ检验: ✓通过 (p值=0.3474)</w:t>
      </w:r>
    </w:p>
    <w:p>
      <w:r>
        <w:t>样本外平均损失: 0.001464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