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B1B7" w14:textId="77ACE1A6" w:rsidR="0031321F" w:rsidRPr="00D70A8E" w:rsidRDefault="0031321F" w:rsidP="00676BF0">
      <w:pPr>
        <w:spacing w:line="240" w:lineRule="auto"/>
      </w:pPr>
      <w:r w:rsidRPr="00D70A8E">
        <w:t>Tyler Berry</w:t>
      </w:r>
    </w:p>
    <w:p w14:paraId="7CD08ECD" w14:textId="0CF329C4" w:rsidR="00CA44C1" w:rsidRPr="00D70A8E" w:rsidRDefault="00CA44C1" w:rsidP="00676BF0">
      <w:pPr>
        <w:spacing w:line="240" w:lineRule="auto"/>
      </w:pPr>
      <w:r w:rsidRPr="00D70A8E">
        <w:t xml:space="preserve">Stacy Brook </w:t>
      </w:r>
      <w:r w:rsidR="00D70A8E" w:rsidRPr="00D70A8E">
        <w:t>PH. D</w:t>
      </w:r>
    </w:p>
    <w:p w14:paraId="10204424" w14:textId="314E08DB" w:rsidR="00CA44C1" w:rsidRPr="00D70A8E" w:rsidRDefault="006D69C0" w:rsidP="00676BF0">
      <w:pPr>
        <w:spacing w:line="240" w:lineRule="auto"/>
      </w:pPr>
      <w:r w:rsidRPr="00D70A8E">
        <w:t>ECP 3006</w:t>
      </w:r>
    </w:p>
    <w:p w14:paraId="0A89B584" w14:textId="7636211C" w:rsidR="006D69C0" w:rsidRPr="00D70A8E" w:rsidRDefault="00676BF0" w:rsidP="00676BF0">
      <w:pPr>
        <w:spacing w:line="240" w:lineRule="auto"/>
      </w:pPr>
      <w:r w:rsidRPr="00D70A8E">
        <w:t>25 August 2025</w:t>
      </w:r>
    </w:p>
    <w:p w14:paraId="2020F10E" w14:textId="77777777" w:rsidR="005A069F" w:rsidRDefault="005A069F" w:rsidP="00583345">
      <w:pPr>
        <w:spacing w:line="480" w:lineRule="auto"/>
        <w:rPr>
          <w:b/>
          <w:bCs/>
        </w:rPr>
      </w:pPr>
    </w:p>
    <w:p w14:paraId="5F099D7A" w14:textId="76DF03D9" w:rsidR="00643E65" w:rsidRDefault="00676BF0" w:rsidP="00851BFC">
      <w:pPr>
        <w:spacing w:line="480" w:lineRule="auto"/>
        <w:jc w:val="center"/>
        <w:rPr>
          <w:b/>
          <w:bCs/>
        </w:rPr>
      </w:pPr>
      <w:r>
        <w:rPr>
          <w:b/>
          <w:bCs/>
        </w:rPr>
        <w:t>RA1 Competitive Balanc</w:t>
      </w:r>
      <w:r w:rsidR="00851BFC">
        <w:rPr>
          <w:b/>
          <w:bCs/>
        </w:rPr>
        <w:t>e</w:t>
      </w:r>
    </w:p>
    <w:tbl>
      <w:tblPr>
        <w:tblW w:w="4400" w:type="dxa"/>
        <w:tblLook w:val="04A0" w:firstRow="1" w:lastRow="0" w:firstColumn="1" w:lastColumn="0" w:noHBand="0" w:noVBand="1"/>
      </w:tblPr>
      <w:tblGrid>
        <w:gridCol w:w="1360"/>
        <w:gridCol w:w="862"/>
        <w:gridCol w:w="222"/>
        <w:gridCol w:w="1520"/>
        <w:gridCol w:w="777"/>
      </w:tblGrid>
      <w:tr w:rsidR="00851BFC" w:rsidRPr="00851BFC" w14:paraId="0017D9E8" w14:textId="77777777" w:rsidTr="00851BFC">
        <w:trPr>
          <w:trHeight w:val="300"/>
        </w:trPr>
        <w:tc>
          <w:tcPr>
            <w:tcW w:w="1360" w:type="dxa"/>
            <w:tcBorders>
              <w:top w:val="nil"/>
              <w:left w:val="nil"/>
              <w:bottom w:val="nil"/>
              <w:right w:val="nil"/>
            </w:tcBorders>
            <w:noWrap/>
            <w:vAlign w:val="bottom"/>
            <w:hideMark/>
          </w:tcPr>
          <w:p w14:paraId="59329CC5" w14:textId="77777777" w:rsidR="00851BFC" w:rsidRPr="00851BFC" w:rsidRDefault="00851BFC" w:rsidP="00851BFC">
            <w:pPr>
              <w:spacing w:after="0" w:line="240" w:lineRule="auto"/>
              <w:rPr>
                <w:rFonts w:ascii="Aptos Narrow" w:eastAsia="Times New Roman" w:hAnsi="Aptos Narrow" w:cs="Times New Roman"/>
                <w:b/>
                <w:bCs/>
                <w:color w:val="000000"/>
                <w:kern w:val="0"/>
                <w:sz w:val="22"/>
                <w:szCs w:val="22"/>
                <w14:ligatures w14:val="none"/>
              </w:rPr>
            </w:pPr>
            <w:r w:rsidRPr="00851BFC">
              <w:rPr>
                <w:rFonts w:ascii="Aptos Narrow" w:eastAsia="Times New Roman" w:hAnsi="Aptos Narrow" w:cs="Times New Roman"/>
                <w:b/>
                <w:bCs/>
                <w:color w:val="000000"/>
                <w:kern w:val="0"/>
                <w:sz w:val="22"/>
                <w:szCs w:val="22"/>
                <w14:ligatures w14:val="none"/>
              </w:rPr>
              <w:t>First League</w:t>
            </w:r>
          </w:p>
        </w:tc>
        <w:tc>
          <w:tcPr>
            <w:tcW w:w="920" w:type="dxa"/>
            <w:gridSpan w:val="2"/>
            <w:tcBorders>
              <w:top w:val="nil"/>
              <w:left w:val="nil"/>
              <w:bottom w:val="nil"/>
              <w:right w:val="nil"/>
            </w:tcBorders>
            <w:noWrap/>
            <w:vAlign w:val="bottom"/>
            <w:hideMark/>
          </w:tcPr>
          <w:p w14:paraId="05B50D5C" w14:textId="77777777" w:rsidR="00851BFC" w:rsidRPr="00851BFC" w:rsidRDefault="00851BFC" w:rsidP="00851BFC">
            <w:pPr>
              <w:spacing w:after="0" w:line="240" w:lineRule="auto"/>
              <w:rPr>
                <w:rFonts w:ascii="Aptos Narrow" w:eastAsia="Times New Roman" w:hAnsi="Aptos Narrow" w:cs="Times New Roman"/>
                <w:b/>
                <w:bCs/>
                <w:color w:val="000000"/>
                <w:kern w:val="0"/>
                <w:sz w:val="22"/>
                <w:szCs w:val="22"/>
                <w14:ligatures w14:val="none"/>
              </w:rPr>
            </w:pPr>
            <w:r w:rsidRPr="00851BFC">
              <w:rPr>
                <w:rFonts w:ascii="Aptos Narrow" w:eastAsia="Times New Roman" w:hAnsi="Aptos Narrow" w:cs="Times New Roman"/>
                <w:b/>
                <w:bCs/>
                <w:color w:val="000000"/>
                <w:kern w:val="0"/>
                <w:sz w:val="22"/>
                <w:szCs w:val="22"/>
                <w14:ligatures w14:val="none"/>
              </w:rPr>
              <w:t>Noll-Scully</w:t>
            </w:r>
          </w:p>
        </w:tc>
        <w:tc>
          <w:tcPr>
            <w:tcW w:w="1520" w:type="dxa"/>
            <w:tcBorders>
              <w:top w:val="nil"/>
              <w:left w:val="nil"/>
              <w:bottom w:val="nil"/>
              <w:right w:val="nil"/>
            </w:tcBorders>
            <w:noWrap/>
            <w:vAlign w:val="bottom"/>
            <w:hideMark/>
          </w:tcPr>
          <w:p w14:paraId="0DCE2318" w14:textId="77777777" w:rsidR="00851BFC" w:rsidRPr="00851BFC" w:rsidRDefault="00851BFC" w:rsidP="00851BFC">
            <w:pPr>
              <w:spacing w:after="0" w:line="240" w:lineRule="auto"/>
              <w:rPr>
                <w:rFonts w:ascii="Aptos Narrow" w:eastAsia="Times New Roman" w:hAnsi="Aptos Narrow" w:cs="Times New Roman"/>
                <w:b/>
                <w:bCs/>
                <w:color w:val="000000"/>
                <w:kern w:val="0"/>
                <w:sz w:val="22"/>
                <w:szCs w:val="22"/>
                <w14:ligatures w14:val="none"/>
              </w:rPr>
            </w:pPr>
            <w:r w:rsidRPr="00851BFC">
              <w:rPr>
                <w:rFonts w:ascii="Aptos Narrow" w:eastAsia="Times New Roman" w:hAnsi="Aptos Narrow" w:cs="Times New Roman"/>
                <w:b/>
                <w:bCs/>
                <w:color w:val="000000"/>
                <w:kern w:val="0"/>
                <w:sz w:val="22"/>
                <w:szCs w:val="22"/>
                <w14:ligatures w14:val="none"/>
              </w:rPr>
              <w:t>Second League</w:t>
            </w:r>
          </w:p>
        </w:tc>
        <w:tc>
          <w:tcPr>
            <w:tcW w:w="600" w:type="dxa"/>
            <w:tcBorders>
              <w:top w:val="nil"/>
              <w:left w:val="nil"/>
              <w:bottom w:val="nil"/>
              <w:right w:val="nil"/>
            </w:tcBorders>
            <w:noWrap/>
            <w:vAlign w:val="bottom"/>
            <w:hideMark/>
          </w:tcPr>
          <w:p w14:paraId="38250AB0" w14:textId="77777777" w:rsidR="00851BFC" w:rsidRPr="00851BFC" w:rsidRDefault="00851BFC" w:rsidP="00851BFC">
            <w:pPr>
              <w:spacing w:after="0" w:line="240" w:lineRule="auto"/>
              <w:rPr>
                <w:rFonts w:ascii="Aptos Narrow" w:eastAsia="Times New Roman" w:hAnsi="Aptos Narrow" w:cs="Times New Roman"/>
                <w:b/>
                <w:bCs/>
                <w:color w:val="000000"/>
                <w:kern w:val="0"/>
                <w:sz w:val="22"/>
                <w:szCs w:val="22"/>
                <w14:ligatures w14:val="none"/>
              </w:rPr>
            </w:pPr>
            <w:r w:rsidRPr="00851BFC">
              <w:rPr>
                <w:rFonts w:ascii="Aptos Narrow" w:eastAsia="Times New Roman" w:hAnsi="Aptos Narrow" w:cs="Times New Roman"/>
                <w:b/>
                <w:bCs/>
                <w:color w:val="000000"/>
                <w:kern w:val="0"/>
                <w:sz w:val="22"/>
                <w:szCs w:val="22"/>
                <w14:ligatures w14:val="none"/>
              </w:rPr>
              <w:t>Noll-Scully</w:t>
            </w:r>
          </w:p>
        </w:tc>
      </w:tr>
      <w:tr w:rsidR="00851BFC" w:rsidRPr="00851BFC" w14:paraId="26566FB9" w14:textId="77777777" w:rsidTr="00851BFC">
        <w:trPr>
          <w:trHeight w:val="300"/>
        </w:trPr>
        <w:tc>
          <w:tcPr>
            <w:tcW w:w="1360" w:type="dxa"/>
            <w:tcBorders>
              <w:top w:val="nil"/>
              <w:left w:val="nil"/>
              <w:bottom w:val="nil"/>
              <w:right w:val="nil"/>
            </w:tcBorders>
            <w:noWrap/>
            <w:vAlign w:val="bottom"/>
            <w:hideMark/>
          </w:tcPr>
          <w:p w14:paraId="2E0F5633"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2011-2012 =</w:t>
            </w:r>
          </w:p>
        </w:tc>
        <w:tc>
          <w:tcPr>
            <w:tcW w:w="862" w:type="dxa"/>
            <w:tcBorders>
              <w:top w:val="nil"/>
              <w:left w:val="nil"/>
              <w:bottom w:val="nil"/>
              <w:right w:val="nil"/>
            </w:tcBorders>
            <w:noWrap/>
            <w:vAlign w:val="bottom"/>
            <w:hideMark/>
          </w:tcPr>
          <w:p w14:paraId="1D6AAFDB"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2.225</w:t>
            </w:r>
          </w:p>
        </w:tc>
        <w:tc>
          <w:tcPr>
            <w:tcW w:w="58" w:type="dxa"/>
            <w:tcBorders>
              <w:top w:val="nil"/>
              <w:left w:val="nil"/>
              <w:bottom w:val="nil"/>
              <w:right w:val="nil"/>
            </w:tcBorders>
            <w:noWrap/>
            <w:vAlign w:val="bottom"/>
            <w:hideMark/>
          </w:tcPr>
          <w:p w14:paraId="20E9370F"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2DF1ED67"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2011-2012 =</w:t>
            </w:r>
          </w:p>
        </w:tc>
        <w:tc>
          <w:tcPr>
            <w:tcW w:w="600" w:type="dxa"/>
            <w:tcBorders>
              <w:top w:val="nil"/>
              <w:left w:val="nil"/>
              <w:bottom w:val="nil"/>
              <w:right w:val="nil"/>
            </w:tcBorders>
            <w:noWrap/>
            <w:vAlign w:val="bottom"/>
            <w:hideMark/>
          </w:tcPr>
          <w:p w14:paraId="352D4FAD"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0.392</w:t>
            </w:r>
          </w:p>
        </w:tc>
      </w:tr>
      <w:tr w:rsidR="00851BFC" w:rsidRPr="00851BFC" w14:paraId="33D1D5A2" w14:textId="77777777" w:rsidTr="00851BFC">
        <w:trPr>
          <w:trHeight w:val="300"/>
        </w:trPr>
        <w:tc>
          <w:tcPr>
            <w:tcW w:w="1360" w:type="dxa"/>
            <w:tcBorders>
              <w:top w:val="nil"/>
              <w:left w:val="nil"/>
              <w:bottom w:val="nil"/>
              <w:right w:val="nil"/>
            </w:tcBorders>
            <w:noWrap/>
            <w:vAlign w:val="bottom"/>
            <w:hideMark/>
          </w:tcPr>
          <w:p w14:paraId="5D08D7CF"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2012-2013 =</w:t>
            </w:r>
          </w:p>
        </w:tc>
        <w:tc>
          <w:tcPr>
            <w:tcW w:w="862" w:type="dxa"/>
            <w:tcBorders>
              <w:top w:val="nil"/>
              <w:left w:val="nil"/>
              <w:bottom w:val="nil"/>
              <w:right w:val="nil"/>
            </w:tcBorders>
            <w:noWrap/>
            <w:vAlign w:val="bottom"/>
            <w:hideMark/>
          </w:tcPr>
          <w:p w14:paraId="374C049B"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2.293</w:t>
            </w:r>
          </w:p>
        </w:tc>
        <w:tc>
          <w:tcPr>
            <w:tcW w:w="58" w:type="dxa"/>
            <w:tcBorders>
              <w:top w:val="nil"/>
              <w:left w:val="nil"/>
              <w:bottom w:val="nil"/>
              <w:right w:val="nil"/>
            </w:tcBorders>
            <w:noWrap/>
            <w:vAlign w:val="bottom"/>
            <w:hideMark/>
          </w:tcPr>
          <w:p w14:paraId="7A597111"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5453934F"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2012-2013 =</w:t>
            </w:r>
          </w:p>
        </w:tc>
        <w:tc>
          <w:tcPr>
            <w:tcW w:w="600" w:type="dxa"/>
            <w:tcBorders>
              <w:top w:val="nil"/>
              <w:left w:val="nil"/>
              <w:bottom w:val="nil"/>
              <w:right w:val="nil"/>
            </w:tcBorders>
            <w:noWrap/>
            <w:vAlign w:val="bottom"/>
            <w:hideMark/>
          </w:tcPr>
          <w:p w14:paraId="25471A8A"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2.407</w:t>
            </w:r>
          </w:p>
        </w:tc>
      </w:tr>
      <w:tr w:rsidR="00851BFC" w:rsidRPr="00851BFC" w14:paraId="60C220B0" w14:textId="77777777" w:rsidTr="00851BFC">
        <w:trPr>
          <w:trHeight w:val="300"/>
        </w:trPr>
        <w:tc>
          <w:tcPr>
            <w:tcW w:w="1360" w:type="dxa"/>
            <w:tcBorders>
              <w:top w:val="nil"/>
              <w:left w:val="nil"/>
              <w:bottom w:val="nil"/>
              <w:right w:val="nil"/>
            </w:tcBorders>
            <w:noWrap/>
            <w:vAlign w:val="bottom"/>
            <w:hideMark/>
          </w:tcPr>
          <w:p w14:paraId="13FD75DB"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2013-2014 =</w:t>
            </w:r>
          </w:p>
        </w:tc>
        <w:tc>
          <w:tcPr>
            <w:tcW w:w="862" w:type="dxa"/>
            <w:tcBorders>
              <w:top w:val="nil"/>
              <w:left w:val="nil"/>
              <w:bottom w:val="nil"/>
              <w:right w:val="nil"/>
            </w:tcBorders>
            <w:noWrap/>
            <w:vAlign w:val="bottom"/>
            <w:hideMark/>
          </w:tcPr>
          <w:p w14:paraId="7D9F0967"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2.199</w:t>
            </w:r>
          </w:p>
        </w:tc>
        <w:tc>
          <w:tcPr>
            <w:tcW w:w="58" w:type="dxa"/>
            <w:tcBorders>
              <w:top w:val="nil"/>
              <w:left w:val="nil"/>
              <w:bottom w:val="nil"/>
              <w:right w:val="nil"/>
            </w:tcBorders>
            <w:noWrap/>
            <w:vAlign w:val="bottom"/>
            <w:hideMark/>
          </w:tcPr>
          <w:p w14:paraId="5938B31F"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6F3C8C18"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2013-2014 =</w:t>
            </w:r>
          </w:p>
        </w:tc>
        <w:tc>
          <w:tcPr>
            <w:tcW w:w="600" w:type="dxa"/>
            <w:tcBorders>
              <w:top w:val="nil"/>
              <w:left w:val="nil"/>
              <w:bottom w:val="nil"/>
              <w:right w:val="nil"/>
            </w:tcBorders>
            <w:noWrap/>
            <w:vAlign w:val="bottom"/>
            <w:hideMark/>
          </w:tcPr>
          <w:p w14:paraId="00D75AC6"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2.379</w:t>
            </w:r>
          </w:p>
        </w:tc>
      </w:tr>
      <w:tr w:rsidR="00851BFC" w:rsidRPr="00851BFC" w14:paraId="30E37C42" w14:textId="77777777" w:rsidTr="00851BFC">
        <w:trPr>
          <w:trHeight w:val="300"/>
        </w:trPr>
        <w:tc>
          <w:tcPr>
            <w:tcW w:w="1360" w:type="dxa"/>
            <w:tcBorders>
              <w:top w:val="nil"/>
              <w:left w:val="nil"/>
              <w:bottom w:val="nil"/>
              <w:right w:val="nil"/>
            </w:tcBorders>
            <w:noWrap/>
            <w:vAlign w:val="bottom"/>
            <w:hideMark/>
          </w:tcPr>
          <w:p w14:paraId="126CFA13"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2014-2015 =</w:t>
            </w:r>
          </w:p>
        </w:tc>
        <w:tc>
          <w:tcPr>
            <w:tcW w:w="862" w:type="dxa"/>
            <w:tcBorders>
              <w:top w:val="nil"/>
              <w:left w:val="nil"/>
              <w:bottom w:val="nil"/>
              <w:right w:val="nil"/>
            </w:tcBorders>
            <w:noWrap/>
            <w:vAlign w:val="bottom"/>
            <w:hideMark/>
          </w:tcPr>
          <w:p w14:paraId="79C26CB0"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2.335</w:t>
            </w:r>
          </w:p>
        </w:tc>
        <w:tc>
          <w:tcPr>
            <w:tcW w:w="58" w:type="dxa"/>
            <w:tcBorders>
              <w:top w:val="nil"/>
              <w:left w:val="nil"/>
              <w:bottom w:val="nil"/>
              <w:right w:val="nil"/>
            </w:tcBorders>
            <w:noWrap/>
            <w:vAlign w:val="bottom"/>
            <w:hideMark/>
          </w:tcPr>
          <w:p w14:paraId="32D08836"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0506453B"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2014-2015 =</w:t>
            </w:r>
          </w:p>
        </w:tc>
        <w:tc>
          <w:tcPr>
            <w:tcW w:w="600" w:type="dxa"/>
            <w:tcBorders>
              <w:top w:val="nil"/>
              <w:left w:val="nil"/>
              <w:bottom w:val="nil"/>
              <w:right w:val="nil"/>
            </w:tcBorders>
            <w:noWrap/>
            <w:vAlign w:val="bottom"/>
            <w:hideMark/>
          </w:tcPr>
          <w:p w14:paraId="5C9A9218"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2.413</w:t>
            </w:r>
          </w:p>
        </w:tc>
      </w:tr>
      <w:tr w:rsidR="00851BFC" w:rsidRPr="00851BFC" w14:paraId="05366199" w14:textId="77777777" w:rsidTr="00851BFC">
        <w:trPr>
          <w:trHeight w:val="300"/>
        </w:trPr>
        <w:tc>
          <w:tcPr>
            <w:tcW w:w="1360" w:type="dxa"/>
            <w:tcBorders>
              <w:top w:val="nil"/>
              <w:left w:val="nil"/>
              <w:bottom w:val="nil"/>
              <w:right w:val="nil"/>
            </w:tcBorders>
            <w:noWrap/>
            <w:vAlign w:val="bottom"/>
            <w:hideMark/>
          </w:tcPr>
          <w:p w14:paraId="2222CC24"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2015-2016 =</w:t>
            </w:r>
          </w:p>
        </w:tc>
        <w:tc>
          <w:tcPr>
            <w:tcW w:w="862" w:type="dxa"/>
            <w:tcBorders>
              <w:top w:val="nil"/>
              <w:left w:val="nil"/>
              <w:bottom w:val="nil"/>
              <w:right w:val="nil"/>
            </w:tcBorders>
            <w:noWrap/>
            <w:vAlign w:val="bottom"/>
            <w:hideMark/>
          </w:tcPr>
          <w:p w14:paraId="2BFE4497"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2.229</w:t>
            </w:r>
          </w:p>
        </w:tc>
        <w:tc>
          <w:tcPr>
            <w:tcW w:w="58" w:type="dxa"/>
            <w:tcBorders>
              <w:top w:val="nil"/>
              <w:left w:val="nil"/>
              <w:bottom w:val="nil"/>
              <w:right w:val="nil"/>
            </w:tcBorders>
            <w:noWrap/>
            <w:vAlign w:val="bottom"/>
            <w:hideMark/>
          </w:tcPr>
          <w:p w14:paraId="549A2195"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38072AF8"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2015-2016 =</w:t>
            </w:r>
          </w:p>
        </w:tc>
        <w:tc>
          <w:tcPr>
            <w:tcW w:w="600" w:type="dxa"/>
            <w:tcBorders>
              <w:top w:val="nil"/>
              <w:left w:val="nil"/>
              <w:bottom w:val="nil"/>
              <w:right w:val="nil"/>
            </w:tcBorders>
            <w:noWrap/>
            <w:vAlign w:val="bottom"/>
            <w:hideMark/>
          </w:tcPr>
          <w:p w14:paraId="06083DC5"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2.290</w:t>
            </w:r>
          </w:p>
        </w:tc>
      </w:tr>
      <w:tr w:rsidR="00851BFC" w:rsidRPr="00851BFC" w14:paraId="2F060A65" w14:textId="77777777" w:rsidTr="00851BFC">
        <w:trPr>
          <w:trHeight w:val="300"/>
        </w:trPr>
        <w:tc>
          <w:tcPr>
            <w:tcW w:w="1360" w:type="dxa"/>
            <w:tcBorders>
              <w:top w:val="nil"/>
              <w:left w:val="nil"/>
              <w:bottom w:val="nil"/>
              <w:right w:val="nil"/>
            </w:tcBorders>
            <w:noWrap/>
            <w:vAlign w:val="bottom"/>
            <w:hideMark/>
          </w:tcPr>
          <w:p w14:paraId="124AD272"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2016-2017 =</w:t>
            </w:r>
          </w:p>
        </w:tc>
        <w:tc>
          <w:tcPr>
            <w:tcW w:w="862" w:type="dxa"/>
            <w:tcBorders>
              <w:top w:val="nil"/>
              <w:left w:val="nil"/>
              <w:bottom w:val="nil"/>
              <w:right w:val="nil"/>
            </w:tcBorders>
            <w:noWrap/>
            <w:vAlign w:val="bottom"/>
            <w:hideMark/>
          </w:tcPr>
          <w:p w14:paraId="5B782B2A"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2.239</w:t>
            </w:r>
          </w:p>
        </w:tc>
        <w:tc>
          <w:tcPr>
            <w:tcW w:w="58" w:type="dxa"/>
            <w:tcBorders>
              <w:top w:val="nil"/>
              <w:left w:val="nil"/>
              <w:bottom w:val="nil"/>
              <w:right w:val="nil"/>
            </w:tcBorders>
            <w:noWrap/>
            <w:vAlign w:val="bottom"/>
            <w:hideMark/>
          </w:tcPr>
          <w:p w14:paraId="2C1CDC9A"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6A47BA76"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2016-2017 =</w:t>
            </w:r>
          </w:p>
        </w:tc>
        <w:tc>
          <w:tcPr>
            <w:tcW w:w="600" w:type="dxa"/>
            <w:tcBorders>
              <w:top w:val="nil"/>
              <w:left w:val="nil"/>
              <w:bottom w:val="nil"/>
              <w:right w:val="nil"/>
            </w:tcBorders>
            <w:noWrap/>
            <w:vAlign w:val="bottom"/>
            <w:hideMark/>
          </w:tcPr>
          <w:p w14:paraId="5CC93BC0"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2.204</w:t>
            </w:r>
          </w:p>
        </w:tc>
      </w:tr>
      <w:tr w:rsidR="00851BFC" w:rsidRPr="00851BFC" w14:paraId="2B2E1C58" w14:textId="77777777" w:rsidTr="00851BFC">
        <w:trPr>
          <w:trHeight w:val="300"/>
        </w:trPr>
        <w:tc>
          <w:tcPr>
            <w:tcW w:w="1360" w:type="dxa"/>
            <w:tcBorders>
              <w:top w:val="nil"/>
              <w:left w:val="nil"/>
              <w:bottom w:val="nil"/>
              <w:right w:val="nil"/>
            </w:tcBorders>
            <w:noWrap/>
            <w:vAlign w:val="bottom"/>
            <w:hideMark/>
          </w:tcPr>
          <w:p w14:paraId="15C98FC6"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2017-2018 =</w:t>
            </w:r>
          </w:p>
        </w:tc>
        <w:tc>
          <w:tcPr>
            <w:tcW w:w="862" w:type="dxa"/>
            <w:tcBorders>
              <w:top w:val="nil"/>
              <w:left w:val="nil"/>
              <w:bottom w:val="nil"/>
              <w:right w:val="nil"/>
            </w:tcBorders>
            <w:noWrap/>
            <w:vAlign w:val="bottom"/>
            <w:hideMark/>
          </w:tcPr>
          <w:p w14:paraId="709D528D"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2.252</w:t>
            </w:r>
          </w:p>
        </w:tc>
        <w:tc>
          <w:tcPr>
            <w:tcW w:w="58" w:type="dxa"/>
            <w:tcBorders>
              <w:top w:val="nil"/>
              <w:left w:val="nil"/>
              <w:bottom w:val="nil"/>
              <w:right w:val="nil"/>
            </w:tcBorders>
            <w:noWrap/>
            <w:vAlign w:val="bottom"/>
            <w:hideMark/>
          </w:tcPr>
          <w:p w14:paraId="5E74F131"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4755DC50"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2017-2018 =</w:t>
            </w:r>
          </w:p>
        </w:tc>
        <w:tc>
          <w:tcPr>
            <w:tcW w:w="600" w:type="dxa"/>
            <w:tcBorders>
              <w:top w:val="nil"/>
              <w:left w:val="nil"/>
              <w:bottom w:val="nil"/>
              <w:right w:val="nil"/>
            </w:tcBorders>
            <w:noWrap/>
            <w:vAlign w:val="bottom"/>
            <w:hideMark/>
          </w:tcPr>
          <w:p w14:paraId="43F1B809"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2.220</w:t>
            </w:r>
          </w:p>
        </w:tc>
      </w:tr>
      <w:tr w:rsidR="00851BFC" w:rsidRPr="00851BFC" w14:paraId="76898181" w14:textId="77777777" w:rsidTr="00851BFC">
        <w:trPr>
          <w:trHeight w:val="300"/>
        </w:trPr>
        <w:tc>
          <w:tcPr>
            <w:tcW w:w="1360" w:type="dxa"/>
            <w:tcBorders>
              <w:top w:val="nil"/>
              <w:left w:val="nil"/>
              <w:bottom w:val="nil"/>
              <w:right w:val="nil"/>
            </w:tcBorders>
            <w:noWrap/>
            <w:vAlign w:val="bottom"/>
            <w:hideMark/>
          </w:tcPr>
          <w:p w14:paraId="2302251A"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2018-2019 =</w:t>
            </w:r>
          </w:p>
        </w:tc>
        <w:tc>
          <w:tcPr>
            <w:tcW w:w="862" w:type="dxa"/>
            <w:tcBorders>
              <w:top w:val="nil"/>
              <w:left w:val="nil"/>
              <w:bottom w:val="nil"/>
              <w:right w:val="nil"/>
            </w:tcBorders>
            <w:noWrap/>
            <w:vAlign w:val="bottom"/>
            <w:hideMark/>
          </w:tcPr>
          <w:p w14:paraId="245614B6"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2.165</w:t>
            </w:r>
          </w:p>
        </w:tc>
        <w:tc>
          <w:tcPr>
            <w:tcW w:w="58" w:type="dxa"/>
            <w:tcBorders>
              <w:top w:val="nil"/>
              <w:left w:val="nil"/>
              <w:bottom w:val="nil"/>
              <w:right w:val="nil"/>
            </w:tcBorders>
            <w:noWrap/>
            <w:vAlign w:val="bottom"/>
            <w:hideMark/>
          </w:tcPr>
          <w:p w14:paraId="156561C9"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6D65236C"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2018-2019 =</w:t>
            </w:r>
          </w:p>
        </w:tc>
        <w:tc>
          <w:tcPr>
            <w:tcW w:w="600" w:type="dxa"/>
            <w:tcBorders>
              <w:top w:val="nil"/>
              <w:left w:val="nil"/>
              <w:bottom w:val="nil"/>
              <w:right w:val="nil"/>
            </w:tcBorders>
            <w:noWrap/>
            <w:vAlign w:val="bottom"/>
            <w:hideMark/>
          </w:tcPr>
          <w:p w14:paraId="5C0CEA68"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2.229</w:t>
            </w:r>
          </w:p>
        </w:tc>
      </w:tr>
      <w:tr w:rsidR="00851BFC" w:rsidRPr="00851BFC" w14:paraId="219C2042" w14:textId="77777777" w:rsidTr="00851BFC">
        <w:trPr>
          <w:trHeight w:val="300"/>
        </w:trPr>
        <w:tc>
          <w:tcPr>
            <w:tcW w:w="1360" w:type="dxa"/>
            <w:tcBorders>
              <w:top w:val="nil"/>
              <w:left w:val="nil"/>
              <w:bottom w:val="nil"/>
              <w:right w:val="nil"/>
            </w:tcBorders>
            <w:noWrap/>
            <w:vAlign w:val="bottom"/>
            <w:hideMark/>
          </w:tcPr>
          <w:p w14:paraId="143A1705"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2019-2020 =</w:t>
            </w:r>
          </w:p>
        </w:tc>
        <w:tc>
          <w:tcPr>
            <w:tcW w:w="862" w:type="dxa"/>
            <w:tcBorders>
              <w:top w:val="nil"/>
              <w:left w:val="nil"/>
              <w:bottom w:val="nil"/>
              <w:right w:val="nil"/>
            </w:tcBorders>
            <w:noWrap/>
            <w:vAlign w:val="bottom"/>
            <w:hideMark/>
          </w:tcPr>
          <w:p w14:paraId="1391D6B0"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2.186</w:t>
            </w:r>
          </w:p>
        </w:tc>
        <w:tc>
          <w:tcPr>
            <w:tcW w:w="58" w:type="dxa"/>
            <w:tcBorders>
              <w:top w:val="nil"/>
              <w:left w:val="nil"/>
              <w:bottom w:val="nil"/>
              <w:right w:val="nil"/>
            </w:tcBorders>
            <w:noWrap/>
            <w:vAlign w:val="bottom"/>
            <w:hideMark/>
          </w:tcPr>
          <w:p w14:paraId="5CE5D66F"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78603883"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2019-2020 =</w:t>
            </w:r>
          </w:p>
        </w:tc>
        <w:tc>
          <w:tcPr>
            <w:tcW w:w="600" w:type="dxa"/>
            <w:tcBorders>
              <w:top w:val="nil"/>
              <w:left w:val="nil"/>
              <w:bottom w:val="nil"/>
              <w:right w:val="nil"/>
            </w:tcBorders>
            <w:noWrap/>
            <w:vAlign w:val="bottom"/>
            <w:hideMark/>
          </w:tcPr>
          <w:p w14:paraId="1E64F1C7"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2.289</w:t>
            </w:r>
          </w:p>
        </w:tc>
      </w:tr>
      <w:tr w:rsidR="00851BFC" w:rsidRPr="00851BFC" w14:paraId="0D8D597E" w14:textId="77777777" w:rsidTr="00851BFC">
        <w:trPr>
          <w:trHeight w:val="300"/>
        </w:trPr>
        <w:tc>
          <w:tcPr>
            <w:tcW w:w="1360" w:type="dxa"/>
            <w:tcBorders>
              <w:top w:val="nil"/>
              <w:left w:val="nil"/>
              <w:bottom w:val="nil"/>
              <w:right w:val="nil"/>
            </w:tcBorders>
            <w:noWrap/>
            <w:vAlign w:val="bottom"/>
            <w:hideMark/>
          </w:tcPr>
          <w:p w14:paraId="7D8E49F5"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2020-2021 =</w:t>
            </w:r>
          </w:p>
        </w:tc>
        <w:tc>
          <w:tcPr>
            <w:tcW w:w="862" w:type="dxa"/>
            <w:tcBorders>
              <w:top w:val="nil"/>
              <w:left w:val="nil"/>
              <w:bottom w:val="nil"/>
              <w:right w:val="nil"/>
            </w:tcBorders>
            <w:noWrap/>
            <w:vAlign w:val="bottom"/>
            <w:hideMark/>
          </w:tcPr>
          <w:p w14:paraId="56B82EDE"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2.019</w:t>
            </w:r>
          </w:p>
        </w:tc>
        <w:tc>
          <w:tcPr>
            <w:tcW w:w="58" w:type="dxa"/>
            <w:tcBorders>
              <w:top w:val="nil"/>
              <w:left w:val="nil"/>
              <w:bottom w:val="nil"/>
              <w:right w:val="nil"/>
            </w:tcBorders>
            <w:noWrap/>
            <w:vAlign w:val="bottom"/>
            <w:hideMark/>
          </w:tcPr>
          <w:p w14:paraId="72EAE605"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388732D2"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2020-2021 =</w:t>
            </w:r>
          </w:p>
        </w:tc>
        <w:tc>
          <w:tcPr>
            <w:tcW w:w="600" w:type="dxa"/>
            <w:tcBorders>
              <w:top w:val="nil"/>
              <w:left w:val="nil"/>
              <w:bottom w:val="nil"/>
              <w:right w:val="nil"/>
            </w:tcBorders>
            <w:noWrap/>
            <w:vAlign w:val="bottom"/>
            <w:hideMark/>
          </w:tcPr>
          <w:p w14:paraId="35B5766F"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2.037</w:t>
            </w:r>
          </w:p>
        </w:tc>
      </w:tr>
      <w:tr w:rsidR="00851BFC" w:rsidRPr="00851BFC" w14:paraId="04A2C024" w14:textId="77777777" w:rsidTr="00851BFC">
        <w:trPr>
          <w:trHeight w:val="300"/>
        </w:trPr>
        <w:tc>
          <w:tcPr>
            <w:tcW w:w="1360" w:type="dxa"/>
            <w:tcBorders>
              <w:top w:val="nil"/>
              <w:left w:val="nil"/>
              <w:bottom w:val="nil"/>
              <w:right w:val="nil"/>
            </w:tcBorders>
            <w:noWrap/>
            <w:vAlign w:val="bottom"/>
            <w:hideMark/>
          </w:tcPr>
          <w:p w14:paraId="02AEF019"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2021-2022 =</w:t>
            </w:r>
          </w:p>
        </w:tc>
        <w:tc>
          <w:tcPr>
            <w:tcW w:w="862" w:type="dxa"/>
            <w:tcBorders>
              <w:top w:val="nil"/>
              <w:left w:val="nil"/>
              <w:bottom w:val="nil"/>
              <w:right w:val="nil"/>
            </w:tcBorders>
            <w:noWrap/>
            <w:vAlign w:val="bottom"/>
            <w:hideMark/>
          </w:tcPr>
          <w:p w14:paraId="0C3DA0D7"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2.225</w:t>
            </w:r>
          </w:p>
        </w:tc>
        <w:tc>
          <w:tcPr>
            <w:tcW w:w="58" w:type="dxa"/>
            <w:tcBorders>
              <w:top w:val="nil"/>
              <w:left w:val="nil"/>
              <w:bottom w:val="nil"/>
              <w:right w:val="nil"/>
            </w:tcBorders>
            <w:noWrap/>
            <w:vAlign w:val="bottom"/>
            <w:hideMark/>
          </w:tcPr>
          <w:p w14:paraId="334FFC99"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1E9A55A9"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2021-2022 =</w:t>
            </w:r>
          </w:p>
        </w:tc>
        <w:tc>
          <w:tcPr>
            <w:tcW w:w="600" w:type="dxa"/>
            <w:tcBorders>
              <w:top w:val="nil"/>
              <w:left w:val="nil"/>
              <w:bottom w:val="nil"/>
              <w:right w:val="nil"/>
            </w:tcBorders>
            <w:noWrap/>
            <w:vAlign w:val="bottom"/>
            <w:hideMark/>
          </w:tcPr>
          <w:p w14:paraId="21D5080E"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2.322</w:t>
            </w:r>
          </w:p>
        </w:tc>
      </w:tr>
      <w:tr w:rsidR="00851BFC" w:rsidRPr="00851BFC" w14:paraId="6AE7CA45" w14:textId="77777777" w:rsidTr="00851BFC">
        <w:trPr>
          <w:trHeight w:val="300"/>
        </w:trPr>
        <w:tc>
          <w:tcPr>
            <w:tcW w:w="1360" w:type="dxa"/>
            <w:tcBorders>
              <w:top w:val="nil"/>
              <w:left w:val="nil"/>
              <w:bottom w:val="nil"/>
              <w:right w:val="nil"/>
            </w:tcBorders>
            <w:noWrap/>
            <w:vAlign w:val="bottom"/>
            <w:hideMark/>
          </w:tcPr>
          <w:p w14:paraId="72B1E600"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2022-2023 =</w:t>
            </w:r>
          </w:p>
        </w:tc>
        <w:tc>
          <w:tcPr>
            <w:tcW w:w="862" w:type="dxa"/>
            <w:tcBorders>
              <w:top w:val="nil"/>
              <w:left w:val="nil"/>
              <w:bottom w:val="nil"/>
              <w:right w:val="nil"/>
            </w:tcBorders>
            <w:noWrap/>
            <w:vAlign w:val="bottom"/>
            <w:hideMark/>
          </w:tcPr>
          <w:p w14:paraId="2DD18A0C"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2.176</w:t>
            </w:r>
          </w:p>
        </w:tc>
        <w:tc>
          <w:tcPr>
            <w:tcW w:w="58" w:type="dxa"/>
            <w:tcBorders>
              <w:top w:val="nil"/>
              <w:left w:val="nil"/>
              <w:bottom w:val="nil"/>
              <w:right w:val="nil"/>
            </w:tcBorders>
            <w:noWrap/>
            <w:vAlign w:val="bottom"/>
            <w:hideMark/>
          </w:tcPr>
          <w:p w14:paraId="5AA9A9C7"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39E312B5"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2022-2023 =</w:t>
            </w:r>
          </w:p>
        </w:tc>
        <w:tc>
          <w:tcPr>
            <w:tcW w:w="600" w:type="dxa"/>
            <w:tcBorders>
              <w:top w:val="nil"/>
              <w:left w:val="nil"/>
              <w:bottom w:val="nil"/>
              <w:right w:val="nil"/>
            </w:tcBorders>
            <w:noWrap/>
            <w:vAlign w:val="bottom"/>
            <w:hideMark/>
          </w:tcPr>
          <w:p w14:paraId="5751744E"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2.160</w:t>
            </w:r>
          </w:p>
        </w:tc>
      </w:tr>
      <w:tr w:rsidR="00851BFC" w:rsidRPr="00851BFC" w14:paraId="0561CBCE" w14:textId="77777777" w:rsidTr="00851BFC">
        <w:trPr>
          <w:trHeight w:val="300"/>
        </w:trPr>
        <w:tc>
          <w:tcPr>
            <w:tcW w:w="1360" w:type="dxa"/>
            <w:tcBorders>
              <w:top w:val="nil"/>
              <w:left w:val="nil"/>
              <w:bottom w:val="nil"/>
              <w:right w:val="nil"/>
            </w:tcBorders>
            <w:noWrap/>
            <w:vAlign w:val="bottom"/>
            <w:hideMark/>
          </w:tcPr>
          <w:p w14:paraId="5947B585"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2023-2024 =</w:t>
            </w:r>
          </w:p>
        </w:tc>
        <w:tc>
          <w:tcPr>
            <w:tcW w:w="862" w:type="dxa"/>
            <w:tcBorders>
              <w:top w:val="nil"/>
              <w:left w:val="nil"/>
              <w:bottom w:val="nil"/>
              <w:right w:val="nil"/>
            </w:tcBorders>
            <w:noWrap/>
            <w:vAlign w:val="bottom"/>
            <w:hideMark/>
          </w:tcPr>
          <w:p w14:paraId="2F0BA448"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2.270</w:t>
            </w:r>
          </w:p>
        </w:tc>
        <w:tc>
          <w:tcPr>
            <w:tcW w:w="58" w:type="dxa"/>
            <w:tcBorders>
              <w:top w:val="nil"/>
              <w:left w:val="nil"/>
              <w:bottom w:val="nil"/>
              <w:right w:val="nil"/>
            </w:tcBorders>
            <w:noWrap/>
            <w:vAlign w:val="bottom"/>
            <w:hideMark/>
          </w:tcPr>
          <w:p w14:paraId="6CAA2662"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568F81B3"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2023-2024 =</w:t>
            </w:r>
          </w:p>
        </w:tc>
        <w:tc>
          <w:tcPr>
            <w:tcW w:w="600" w:type="dxa"/>
            <w:tcBorders>
              <w:top w:val="nil"/>
              <w:left w:val="nil"/>
              <w:bottom w:val="nil"/>
              <w:right w:val="nil"/>
            </w:tcBorders>
            <w:noWrap/>
            <w:vAlign w:val="bottom"/>
            <w:hideMark/>
          </w:tcPr>
          <w:p w14:paraId="5A6F92DB"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2.253</w:t>
            </w:r>
          </w:p>
        </w:tc>
      </w:tr>
      <w:tr w:rsidR="00851BFC" w:rsidRPr="00851BFC" w14:paraId="5D00CD22" w14:textId="77777777" w:rsidTr="00851BFC">
        <w:trPr>
          <w:trHeight w:val="300"/>
        </w:trPr>
        <w:tc>
          <w:tcPr>
            <w:tcW w:w="1360" w:type="dxa"/>
            <w:tcBorders>
              <w:top w:val="nil"/>
              <w:left w:val="nil"/>
              <w:bottom w:val="nil"/>
              <w:right w:val="nil"/>
            </w:tcBorders>
            <w:noWrap/>
            <w:vAlign w:val="bottom"/>
            <w:hideMark/>
          </w:tcPr>
          <w:p w14:paraId="13D45510"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2024-2025 =</w:t>
            </w:r>
          </w:p>
        </w:tc>
        <w:tc>
          <w:tcPr>
            <w:tcW w:w="862" w:type="dxa"/>
            <w:tcBorders>
              <w:top w:val="nil"/>
              <w:left w:val="nil"/>
              <w:bottom w:val="nil"/>
              <w:right w:val="nil"/>
            </w:tcBorders>
            <w:noWrap/>
            <w:vAlign w:val="bottom"/>
            <w:hideMark/>
          </w:tcPr>
          <w:p w14:paraId="53CFF544"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2.114</w:t>
            </w:r>
          </w:p>
        </w:tc>
        <w:tc>
          <w:tcPr>
            <w:tcW w:w="58" w:type="dxa"/>
            <w:tcBorders>
              <w:top w:val="nil"/>
              <w:left w:val="nil"/>
              <w:bottom w:val="nil"/>
              <w:right w:val="nil"/>
            </w:tcBorders>
            <w:noWrap/>
            <w:vAlign w:val="bottom"/>
            <w:hideMark/>
          </w:tcPr>
          <w:p w14:paraId="6C012338"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02B0FC4E"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2024-2025 =</w:t>
            </w:r>
          </w:p>
        </w:tc>
        <w:tc>
          <w:tcPr>
            <w:tcW w:w="600" w:type="dxa"/>
            <w:tcBorders>
              <w:top w:val="nil"/>
              <w:left w:val="nil"/>
              <w:bottom w:val="nil"/>
              <w:right w:val="nil"/>
            </w:tcBorders>
            <w:noWrap/>
            <w:vAlign w:val="bottom"/>
            <w:hideMark/>
          </w:tcPr>
          <w:p w14:paraId="5ACBF19C"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2.382</w:t>
            </w:r>
          </w:p>
        </w:tc>
      </w:tr>
      <w:tr w:rsidR="00851BFC" w:rsidRPr="00851BFC" w14:paraId="0E377856" w14:textId="77777777" w:rsidTr="00851BFC">
        <w:trPr>
          <w:trHeight w:val="300"/>
        </w:trPr>
        <w:tc>
          <w:tcPr>
            <w:tcW w:w="1360" w:type="dxa"/>
            <w:tcBorders>
              <w:top w:val="nil"/>
              <w:left w:val="nil"/>
              <w:bottom w:val="nil"/>
              <w:right w:val="nil"/>
            </w:tcBorders>
            <w:noWrap/>
            <w:vAlign w:val="bottom"/>
            <w:hideMark/>
          </w:tcPr>
          <w:p w14:paraId="02CA6B92"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862" w:type="dxa"/>
            <w:tcBorders>
              <w:top w:val="nil"/>
              <w:left w:val="nil"/>
              <w:bottom w:val="nil"/>
              <w:right w:val="nil"/>
            </w:tcBorders>
            <w:noWrap/>
            <w:vAlign w:val="bottom"/>
            <w:hideMark/>
          </w:tcPr>
          <w:p w14:paraId="2A8D67D4" w14:textId="77777777" w:rsidR="00851BFC" w:rsidRPr="00851BFC" w:rsidRDefault="00851BFC" w:rsidP="00851BFC">
            <w:pPr>
              <w:spacing w:after="0" w:line="240" w:lineRule="auto"/>
              <w:jc w:val="right"/>
              <w:rPr>
                <w:rFonts w:ascii="Times New Roman" w:eastAsia="Times New Roman" w:hAnsi="Times New Roman" w:cs="Times New Roman"/>
                <w:kern w:val="0"/>
                <w:sz w:val="20"/>
                <w:szCs w:val="20"/>
                <w14:ligatures w14:val="none"/>
              </w:rPr>
            </w:pPr>
          </w:p>
        </w:tc>
        <w:tc>
          <w:tcPr>
            <w:tcW w:w="58" w:type="dxa"/>
            <w:tcBorders>
              <w:top w:val="nil"/>
              <w:left w:val="nil"/>
              <w:bottom w:val="nil"/>
              <w:right w:val="nil"/>
            </w:tcBorders>
            <w:noWrap/>
            <w:vAlign w:val="bottom"/>
            <w:hideMark/>
          </w:tcPr>
          <w:p w14:paraId="0DD4F4CE" w14:textId="77777777" w:rsidR="00851BFC" w:rsidRPr="00851BFC" w:rsidRDefault="00851BFC" w:rsidP="00851BFC">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noWrap/>
            <w:vAlign w:val="bottom"/>
            <w:hideMark/>
          </w:tcPr>
          <w:p w14:paraId="3DC04393" w14:textId="77777777" w:rsidR="00851BFC" w:rsidRPr="00851BFC" w:rsidRDefault="00851BFC" w:rsidP="00851BFC">
            <w:pPr>
              <w:spacing w:after="0" w:line="240" w:lineRule="auto"/>
              <w:rPr>
                <w:rFonts w:ascii="Times New Roman" w:eastAsia="Times New Roman" w:hAnsi="Times New Roman" w:cs="Times New Roman"/>
                <w:kern w:val="0"/>
                <w:sz w:val="20"/>
                <w:szCs w:val="20"/>
                <w14:ligatures w14:val="none"/>
              </w:rPr>
            </w:pPr>
          </w:p>
        </w:tc>
        <w:tc>
          <w:tcPr>
            <w:tcW w:w="600" w:type="dxa"/>
            <w:tcBorders>
              <w:top w:val="nil"/>
              <w:left w:val="nil"/>
              <w:bottom w:val="nil"/>
              <w:right w:val="nil"/>
            </w:tcBorders>
            <w:noWrap/>
            <w:vAlign w:val="bottom"/>
            <w:hideMark/>
          </w:tcPr>
          <w:p w14:paraId="13ED35D9" w14:textId="77777777" w:rsidR="00851BFC" w:rsidRPr="00851BFC" w:rsidRDefault="00851BFC" w:rsidP="00851BFC">
            <w:pPr>
              <w:spacing w:after="0" w:line="240" w:lineRule="auto"/>
              <w:rPr>
                <w:rFonts w:ascii="Times New Roman" w:eastAsia="Times New Roman" w:hAnsi="Times New Roman" w:cs="Times New Roman"/>
                <w:kern w:val="0"/>
                <w:sz w:val="20"/>
                <w:szCs w:val="20"/>
                <w14:ligatures w14:val="none"/>
              </w:rPr>
            </w:pPr>
          </w:p>
        </w:tc>
      </w:tr>
      <w:tr w:rsidR="00851BFC" w:rsidRPr="00851BFC" w14:paraId="43E3782B" w14:textId="77777777" w:rsidTr="00851BFC">
        <w:trPr>
          <w:trHeight w:val="300"/>
        </w:trPr>
        <w:tc>
          <w:tcPr>
            <w:tcW w:w="1360" w:type="dxa"/>
            <w:tcBorders>
              <w:top w:val="nil"/>
              <w:left w:val="nil"/>
              <w:bottom w:val="nil"/>
              <w:right w:val="nil"/>
            </w:tcBorders>
            <w:noWrap/>
            <w:vAlign w:val="bottom"/>
            <w:hideMark/>
          </w:tcPr>
          <w:p w14:paraId="01103F0E" w14:textId="77777777" w:rsidR="00851BFC" w:rsidRPr="00851BFC" w:rsidRDefault="00851BFC" w:rsidP="00851BFC">
            <w:pPr>
              <w:spacing w:after="0" w:line="240" w:lineRule="auto"/>
              <w:rPr>
                <w:rFonts w:ascii="Aptos Narrow" w:eastAsia="Times New Roman" w:hAnsi="Aptos Narrow" w:cs="Times New Roman"/>
                <w:b/>
                <w:bCs/>
                <w:color w:val="000000"/>
                <w:kern w:val="0"/>
                <w:sz w:val="22"/>
                <w:szCs w:val="22"/>
                <w14:ligatures w14:val="none"/>
              </w:rPr>
            </w:pPr>
            <w:r w:rsidRPr="00851BFC">
              <w:rPr>
                <w:rFonts w:ascii="Aptos Narrow" w:eastAsia="Times New Roman" w:hAnsi="Aptos Narrow" w:cs="Times New Roman"/>
                <w:b/>
                <w:bCs/>
                <w:color w:val="000000"/>
                <w:kern w:val="0"/>
                <w:sz w:val="22"/>
                <w:szCs w:val="22"/>
                <w14:ligatures w14:val="none"/>
              </w:rPr>
              <w:t>Average =</w:t>
            </w:r>
          </w:p>
        </w:tc>
        <w:tc>
          <w:tcPr>
            <w:tcW w:w="862" w:type="dxa"/>
            <w:tcBorders>
              <w:top w:val="nil"/>
              <w:left w:val="nil"/>
              <w:bottom w:val="nil"/>
              <w:right w:val="nil"/>
            </w:tcBorders>
            <w:noWrap/>
            <w:vAlign w:val="bottom"/>
            <w:hideMark/>
          </w:tcPr>
          <w:p w14:paraId="674FBE52"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2.209</w:t>
            </w:r>
          </w:p>
        </w:tc>
        <w:tc>
          <w:tcPr>
            <w:tcW w:w="58" w:type="dxa"/>
            <w:tcBorders>
              <w:top w:val="nil"/>
              <w:left w:val="nil"/>
              <w:bottom w:val="nil"/>
              <w:right w:val="nil"/>
            </w:tcBorders>
            <w:noWrap/>
            <w:vAlign w:val="bottom"/>
            <w:hideMark/>
          </w:tcPr>
          <w:p w14:paraId="79453F81"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p>
        </w:tc>
        <w:tc>
          <w:tcPr>
            <w:tcW w:w="1520" w:type="dxa"/>
            <w:tcBorders>
              <w:top w:val="nil"/>
              <w:left w:val="nil"/>
              <w:bottom w:val="nil"/>
              <w:right w:val="nil"/>
            </w:tcBorders>
            <w:noWrap/>
            <w:vAlign w:val="bottom"/>
            <w:hideMark/>
          </w:tcPr>
          <w:p w14:paraId="70A23CDC" w14:textId="77777777" w:rsidR="00851BFC" w:rsidRPr="00851BFC" w:rsidRDefault="00851BFC" w:rsidP="00851BFC">
            <w:pPr>
              <w:spacing w:after="0" w:line="240" w:lineRule="auto"/>
              <w:rPr>
                <w:rFonts w:ascii="Aptos Narrow" w:eastAsia="Times New Roman" w:hAnsi="Aptos Narrow" w:cs="Times New Roman"/>
                <w:b/>
                <w:bCs/>
                <w:color w:val="000000"/>
                <w:kern w:val="0"/>
                <w:sz w:val="22"/>
                <w:szCs w:val="22"/>
                <w14:ligatures w14:val="none"/>
              </w:rPr>
            </w:pPr>
            <w:r w:rsidRPr="00851BFC">
              <w:rPr>
                <w:rFonts w:ascii="Aptos Narrow" w:eastAsia="Times New Roman" w:hAnsi="Aptos Narrow" w:cs="Times New Roman"/>
                <w:b/>
                <w:bCs/>
                <w:color w:val="000000"/>
                <w:kern w:val="0"/>
                <w:sz w:val="22"/>
                <w:szCs w:val="22"/>
                <w14:ligatures w14:val="none"/>
              </w:rPr>
              <w:t>Average =</w:t>
            </w:r>
          </w:p>
        </w:tc>
        <w:tc>
          <w:tcPr>
            <w:tcW w:w="600" w:type="dxa"/>
            <w:tcBorders>
              <w:top w:val="nil"/>
              <w:left w:val="nil"/>
              <w:bottom w:val="nil"/>
              <w:right w:val="nil"/>
            </w:tcBorders>
            <w:noWrap/>
            <w:vAlign w:val="bottom"/>
            <w:hideMark/>
          </w:tcPr>
          <w:p w14:paraId="1B05ADA6" w14:textId="77777777" w:rsidR="00851BFC" w:rsidRPr="00851BFC" w:rsidRDefault="00851BFC" w:rsidP="00851BFC">
            <w:pPr>
              <w:spacing w:after="0" w:line="240" w:lineRule="auto"/>
              <w:jc w:val="right"/>
              <w:rPr>
                <w:rFonts w:ascii="Aptos Narrow" w:eastAsia="Times New Roman" w:hAnsi="Aptos Narrow" w:cs="Times New Roman"/>
                <w:color w:val="000000"/>
                <w:kern w:val="0"/>
                <w:sz w:val="22"/>
                <w:szCs w:val="22"/>
                <w14:ligatures w14:val="none"/>
              </w:rPr>
            </w:pPr>
            <w:r w:rsidRPr="00851BFC">
              <w:rPr>
                <w:rFonts w:ascii="Aptos Narrow" w:eastAsia="Times New Roman" w:hAnsi="Aptos Narrow" w:cs="Times New Roman"/>
                <w:color w:val="000000"/>
                <w:kern w:val="0"/>
                <w:sz w:val="22"/>
                <w:szCs w:val="22"/>
                <w14:ligatures w14:val="none"/>
              </w:rPr>
              <w:t>2.141</w:t>
            </w:r>
          </w:p>
        </w:tc>
      </w:tr>
    </w:tbl>
    <w:p w14:paraId="7258EDBB" w14:textId="77777777" w:rsidR="00643E65" w:rsidRDefault="00643E65" w:rsidP="00676BF0">
      <w:pPr>
        <w:spacing w:line="480" w:lineRule="auto"/>
        <w:jc w:val="center"/>
        <w:rPr>
          <w:b/>
          <w:bCs/>
        </w:rPr>
      </w:pPr>
    </w:p>
    <w:p w14:paraId="20894275" w14:textId="77777777" w:rsidR="00643E65" w:rsidRDefault="00643E65" w:rsidP="00851BFC">
      <w:pPr>
        <w:spacing w:line="480" w:lineRule="auto"/>
        <w:rPr>
          <w:b/>
          <w:bCs/>
        </w:rPr>
      </w:pPr>
    </w:p>
    <w:p w14:paraId="083D869A" w14:textId="77777777" w:rsidR="00454A18" w:rsidRPr="00454A18" w:rsidRDefault="00454A18" w:rsidP="00454A18">
      <w:pPr>
        <w:spacing w:line="480" w:lineRule="auto"/>
        <w:rPr>
          <w:bCs/>
        </w:rPr>
      </w:pPr>
      <w:r w:rsidRPr="00454A18">
        <w:rPr>
          <w:b/>
        </w:rPr>
        <w:t>2a. Average Noll-Scully Calculation:</w:t>
      </w:r>
      <w:r w:rsidRPr="00454A18">
        <w:rPr>
          <w:bCs/>
        </w:rPr>
        <w:t xml:space="preserve"> The average Noll-Scully over the seasons in the first league (D1) was 2.2090072 and the average in the second league (D3) was 2.14124151. There is one statistical outlier in the second league in the 2011-2012 season that is weighing down the average of D3. </w:t>
      </w:r>
    </w:p>
    <w:p w14:paraId="3B6172B9" w14:textId="77777777" w:rsidR="00454A18" w:rsidRPr="00454A18" w:rsidRDefault="00454A18" w:rsidP="00454A18">
      <w:pPr>
        <w:spacing w:line="480" w:lineRule="auto"/>
        <w:rPr>
          <w:bCs/>
        </w:rPr>
      </w:pPr>
      <w:r w:rsidRPr="00454A18">
        <w:rPr>
          <w:b/>
        </w:rPr>
        <w:lastRenderedPageBreak/>
        <w:t>2b. Noll-Scully Competitively Balanced League:</w:t>
      </w:r>
      <w:r w:rsidRPr="00454A18">
        <w:rPr>
          <w:bCs/>
        </w:rPr>
        <w:t xml:space="preserve"> If the league were perfectly competitively balanced, the Noll-Scully would be 1.000. </w:t>
      </w:r>
    </w:p>
    <w:p w14:paraId="247B0690" w14:textId="77777777" w:rsidR="00454A18" w:rsidRPr="00454A18" w:rsidRDefault="00454A18" w:rsidP="00454A18">
      <w:pPr>
        <w:spacing w:line="480" w:lineRule="auto"/>
        <w:rPr>
          <w:bCs/>
        </w:rPr>
      </w:pPr>
      <w:r w:rsidRPr="00454A18">
        <w:rPr>
          <w:b/>
        </w:rPr>
        <w:t>2c. Berri et al. Hypothesis:</w:t>
      </w:r>
      <w:r w:rsidRPr="00454A18">
        <w:rPr>
          <w:bCs/>
        </w:rPr>
        <w:t xml:space="preserve"> Berri et al.’s hypothesis regarding why leagues tend to have similar Noll-Scully scores is that there is a difference in the talent needed for each sport, meaning that similar sports have similar talent resulting scores. when viewed through the NBA (National Basketball Association), there is scarcity in the amount of talent in the sports regardless of the different rules. For example, there is a small amount of the population who can play basketball compared to baseball due to physiological reasons. </w:t>
      </w:r>
    </w:p>
    <w:p w14:paraId="1EB7969C" w14:textId="30A46FDC" w:rsidR="00454A18" w:rsidRPr="00454A18" w:rsidRDefault="00454A18" w:rsidP="00454A18">
      <w:pPr>
        <w:spacing w:line="480" w:lineRule="auto"/>
        <w:rPr>
          <w:bCs/>
        </w:rPr>
      </w:pPr>
      <w:r w:rsidRPr="00454A18">
        <w:rPr>
          <w:b/>
        </w:rPr>
        <w:t>2d. Competitive Balance (Noll-Scully) Hypothesis of Your Leagues:</w:t>
      </w:r>
      <w:r>
        <w:rPr>
          <w:bCs/>
        </w:rPr>
        <w:t xml:space="preserve"> </w:t>
      </w:r>
      <w:r w:rsidRPr="00454A18">
        <w:rPr>
          <w:bCs/>
        </w:rPr>
        <w:t xml:space="preserve">My hypothesis for why the leagues I examined are so competitively imbalanced is because of two main Factors. First is the structure of collegiate athletics. The top-ranked programs typically benefit from financial resources that smaller schools in conferences not as popular do not have, allowing them to attract athletes and participate in highly profitable conferences; Compare this to the last team, which in almost every case hails from a conference that is primarily small private institutions and is unbelievably large. The second is because of talent recruiting, which borrows from my last point with the fact that these large, primarily power 5 schools consistently secure the best and most promising athletes, further widening the competitive gap. When we observe this through the Leagues D1 and D3 women’s volleyball, we can see a trend where the best schools in the conferences, especially D1 come from very popular conferences like the “Big Ten,” the “Big 12,” and the “ACC.” with this we can see a clear competitive disadvantage with athletes more inclined </w:t>
      </w:r>
      <w:r w:rsidRPr="00454A18">
        <w:rPr>
          <w:bCs/>
        </w:rPr>
        <w:lastRenderedPageBreak/>
        <w:t xml:space="preserve">to go to these bigger schools, unlike in major leagues, where no matter what team you go to you have a more realistic chance of being a well-known and played player. </w:t>
      </w:r>
    </w:p>
    <w:p w14:paraId="04199F6A" w14:textId="77777777" w:rsidR="00454A18" w:rsidRPr="00454A18" w:rsidRDefault="00454A18" w:rsidP="00454A18">
      <w:pPr>
        <w:spacing w:line="480" w:lineRule="auto"/>
        <w:rPr>
          <w:bCs/>
        </w:rPr>
      </w:pPr>
      <w:r w:rsidRPr="00454A18">
        <w:rPr>
          <w:b/>
        </w:rPr>
        <w:t>2e. Noll-Scully Conclusion:</w:t>
      </w:r>
      <w:r w:rsidRPr="00454A18">
        <w:rPr>
          <w:bCs/>
        </w:rPr>
        <w:t xml:space="preserve"> Not only do I agree with Berri et al.’s hypothesis, but I believe collegiate athletics exasperate the disparities in competitive balance; this is because of talent recruitment practices. Talent recruitment, especially in D1 college athletics, is a practice that allows only the top teams to get the top talent, unlike professional leagues, where anybody can go to any team. This means in essence that even though there are enough players to fill over 700 teams across both the leagues, only the top 20 teams will be truly competitive, now we see a situation similar to the NBA when examined by Berri et al., with there being only a small amount of the population who can play volleyball, a sport that requires impeccable hand-eye coordination and the ability to run and jump-in essence, basketball. There are just not enough players in the world to make a truly competitive league of volleyball, especially when you have 300 teams in the league. Thus, the top 20 teams leave with a WPT of over .800 and the bottom teams are left with .000. In this we find incredibly high Noll-Scully scores across both D1 and D3. In conclusion, I agree with Berri et al.’s hypothesis because the practice of talent recruitment exasperates the imbalance in the leagues leaving the best and most physically capable players at the top of the league.</w:t>
      </w:r>
    </w:p>
    <w:p w14:paraId="1071CFA2" w14:textId="77777777" w:rsidR="00D3234C" w:rsidRDefault="00D3234C"/>
    <w:p w14:paraId="310D3547" w14:textId="626A0B8D" w:rsidR="003373AF" w:rsidRDefault="003373AF"/>
    <w:sectPr w:rsidR="003373A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E1825" w14:textId="77777777" w:rsidR="003A0D09" w:rsidRDefault="003A0D09" w:rsidP="008E4DCA">
      <w:pPr>
        <w:spacing w:after="0" w:line="240" w:lineRule="auto"/>
      </w:pPr>
      <w:r>
        <w:separator/>
      </w:r>
    </w:p>
  </w:endnote>
  <w:endnote w:type="continuationSeparator" w:id="0">
    <w:p w14:paraId="47E72A16" w14:textId="77777777" w:rsidR="003A0D09" w:rsidRDefault="003A0D09" w:rsidP="008E4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8A344" w14:textId="77777777" w:rsidR="003A0D09" w:rsidRDefault="003A0D09" w:rsidP="008E4DCA">
      <w:pPr>
        <w:spacing w:after="0" w:line="240" w:lineRule="auto"/>
      </w:pPr>
      <w:r>
        <w:separator/>
      </w:r>
    </w:p>
  </w:footnote>
  <w:footnote w:type="continuationSeparator" w:id="0">
    <w:p w14:paraId="58599C5E" w14:textId="77777777" w:rsidR="003A0D09" w:rsidRDefault="003A0D09" w:rsidP="008E4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BAA3" w14:textId="208B8B7B" w:rsidR="008E4DCA" w:rsidRDefault="008E4DCA">
    <w:pPr>
      <w:pStyle w:val="Header"/>
    </w:pPr>
    <w:r>
      <w:t xml:space="preserve">Competitive Balance RA1 Written Report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DCA"/>
    <w:rsid w:val="0000389B"/>
    <w:rsid w:val="000239F6"/>
    <w:rsid w:val="00042794"/>
    <w:rsid w:val="000516A9"/>
    <w:rsid w:val="00051B0A"/>
    <w:rsid w:val="0006065D"/>
    <w:rsid w:val="00082B7B"/>
    <w:rsid w:val="00093DEB"/>
    <w:rsid w:val="000C699E"/>
    <w:rsid w:val="000E27D0"/>
    <w:rsid w:val="001263A3"/>
    <w:rsid w:val="00130889"/>
    <w:rsid w:val="001313E0"/>
    <w:rsid w:val="00131A60"/>
    <w:rsid w:val="00141F9F"/>
    <w:rsid w:val="00153554"/>
    <w:rsid w:val="00196714"/>
    <w:rsid w:val="001B6784"/>
    <w:rsid w:val="001D5ED7"/>
    <w:rsid w:val="001E1A5D"/>
    <w:rsid w:val="0020472A"/>
    <w:rsid w:val="00217532"/>
    <w:rsid w:val="00226015"/>
    <w:rsid w:val="002473F3"/>
    <w:rsid w:val="002A295F"/>
    <w:rsid w:val="002B4D4D"/>
    <w:rsid w:val="002B7023"/>
    <w:rsid w:val="002B727E"/>
    <w:rsid w:val="002D5F59"/>
    <w:rsid w:val="002E44A2"/>
    <w:rsid w:val="002F523A"/>
    <w:rsid w:val="00304C48"/>
    <w:rsid w:val="00307914"/>
    <w:rsid w:val="0031321F"/>
    <w:rsid w:val="00335E34"/>
    <w:rsid w:val="003373AF"/>
    <w:rsid w:val="003573C4"/>
    <w:rsid w:val="00357A30"/>
    <w:rsid w:val="003738D7"/>
    <w:rsid w:val="0038032D"/>
    <w:rsid w:val="00391ECC"/>
    <w:rsid w:val="00393F82"/>
    <w:rsid w:val="00395F62"/>
    <w:rsid w:val="0039726C"/>
    <w:rsid w:val="003A0D09"/>
    <w:rsid w:val="003A16E3"/>
    <w:rsid w:val="003D69E1"/>
    <w:rsid w:val="00400720"/>
    <w:rsid w:val="00406B7E"/>
    <w:rsid w:val="00413536"/>
    <w:rsid w:val="00417B2C"/>
    <w:rsid w:val="0043050F"/>
    <w:rsid w:val="00454A18"/>
    <w:rsid w:val="00454B15"/>
    <w:rsid w:val="00457678"/>
    <w:rsid w:val="00470848"/>
    <w:rsid w:val="00473059"/>
    <w:rsid w:val="00474B82"/>
    <w:rsid w:val="004820D5"/>
    <w:rsid w:val="004A5F44"/>
    <w:rsid w:val="004A63EA"/>
    <w:rsid w:val="004C7FE8"/>
    <w:rsid w:val="004D0176"/>
    <w:rsid w:val="004D0F10"/>
    <w:rsid w:val="004F679B"/>
    <w:rsid w:val="00551CFF"/>
    <w:rsid w:val="00556ADB"/>
    <w:rsid w:val="00572B77"/>
    <w:rsid w:val="00583345"/>
    <w:rsid w:val="00593924"/>
    <w:rsid w:val="00597032"/>
    <w:rsid w:val="005A069F"/>
    <w:rsid w:val="005A76C9"/>
    <w:rsid w:val="005B0949"/>
    <w:rsid w:val="005C123A"/>
    <w:rsid w:val="005F12AC"/>
    <w:rsid w:val="005F287A"/>
    <w:rsid w:val="005F6900"/>
    <w:rsid w:val="00612301"/>
    <w:rsid w:val="00612D0B"/>
    <w:rsid w:val="006277DB"/>
    <w:rsid w:val="00632EA0"/>
    <w:rsid w:val="00643E65"/>
    <w:rsid w:val="0064718D"/>
    <w:rsid w:val="0066057F"/>
    <w:rsid w:val="006613F6"/>
    <w:rsid w:val="00665DEB"/>
    <w:rsid w:val="006711D4"/>
    <w:rsid w:val="00676BF0"/>
    <w:rsid w:val="006A4B28"/>
    <w:rsid w:val="006A4BE1"/>
    <w:rsid w:val="006B736C"/>
    <w:rsid w:val="006D69C0"/>
    <w:rsid w:val="00702A69"/>
    <w:rsid w:val="0071020B"/>
    <w:rsid w:val="00725424"/>
    <w:rsid w:val="00742EA9"/>
    <w:rsid w:val="00762D36"/>
    <w:rsid w:val="00770B5B"/>
    <w:rsid w:val="00776146"/>
    <w:rsid w:val="00781DF9"/>
    <w:rsid w:val="007A01A6"/>
    <w:rsid w:val="007A6C38"/>
    <w:rsid w:val="007A6D0C"/>
    <w:rsid w:val="007B09A2"/>
    <w:rsid w:val="007C0075"/>
    <w:rsid w:val="007D1122"/>
    <w:rsid w:val="007D2ED4"/>
    <w:rsid w:val="007E6FD5"/>
    <w:rsid w:val="00805FA2"/>
    <w:rsid w:val="008451FD"/>
    <w:rsid w:val="00851BFC"/>
    <w:rsid w:val="00890023"/>
    <w:rsid w:val="008C38B6"/>
    <w:rsid w:val="008E0BF8"/>
    <w:rsid w:val="008E4DCA"/>
    <w:rsid w:val="008E66A7"/>
    <w:rsid w:val="008F163A"/>
    <w:rsid w:val="00905BD9"/>
    <w:rsid w:val="0093071B"/>
    <w:rsid w:val="00956895"/>
    <w:rsid w:val="00973680"/>
    <w:rsid w:val="009A152A"/>
    <w:rsid w:val="009A537F"/>
    <w:rsid w:val="009D7935"/>
    <w:rsid w:val="009E4216"/>
    <w:rsid w:val="00A040A5"/>
    <w:rsid w:val="00A122D4"/>
    <w:rsid w:val="00A25D35"/>
    <w:rsid w:val="00A75688"/>
    <w:rsid w:val="00A914A5"/>
    <w:rsid w:val="00A9594F"/>
    <w:rsid w:val="00A9718C"/>
    <w:rsid w:val="00AB3217"/>
    <w:rsid w:val="00AC1501"/>
    <w:rsid w:val="00AC1BD0"/>
    <w:rsid w:val="00AC41CD"/>
    <w:rsid w:val="00AD30E5"/>
    <w:rsid w:val="00AE44CA"/>
    <w:rsid w:val="00B12AC3"/>
    <w:rsid w:val="00B2111E"/>
    <w:rsid w:val="00B27474"/>
    <w:rsid w:val="00B45F31"/>
    <w:rsid w:val="00B46D8B"/>
    <w:rsid w:val="00B61409"/>
    <w:rsid w:val="00B634DE"/>
    <w:rsid w:val="00B77ACF"/>
    <w:rsid w:val="00B8076A"/>
    <w:rsid w:val="00B92675"/>
    <w:rsid w:val="00B9741A"/>
    <w:rsid w:val="00BB1FD9"/>
    <w:rsid w:val="00BC4FD4"/>
    <w:rsid w:val="00BD4EFC"/>
    <w:rsid w:val="00BD5A14"/>
    <w:rsid w:val="00BF709D"/>
    <w:rsid w:val="00C15898"/>
    <w:rsid w:val="00C2439C"/>
    <w:rsid w:val="00C25428"/>
    <w:rsid w:val="00C43086"/>
    <w:rsid w:val="00C50064"/>
    <w:rsid w:val="00C5485D"/>
    <w:rsid w:val="00C549B1"/>
    <w:rsid w:val="00C7326D"/>
    <w:rsid w:val="00C81163"/>
    <w:rsid w:val="00C834D9"/>
    <w:rsid w:val="00CA44C1"/>
    <w:rsid w:val="00CB48A1"/>
    <w:rsid w:val="00CD017A"/>
    <w:rsid w:val="00CD73F0"/>
    <w:rsid w:val="00CF5F17"/>
    <w:rsid w:val="00CF7800"/>
    <w:rsid w:val="00D05E5A"/>
    <w:rsid w:val="00D122FF"/>
    <w:rsid w:val="00D31DF0"/>
    <w:rsid w:val="00D3234C"/>
    <w:rsid w:val="00D40870"/>
    <w:rsid w:val="00D70A8E"/>
    <w:rsid w:val="00D839B9"/>
    <w:rsid w:val="00D96C93"/>
    <w:rsid w:val="00DA7F2B"/>
    <w:rsid w:val="00DB26D6"/>
    <w:rsid w:val="00DD7AAD"/>
    <w:rsid w:val="00E07354"/>
    <w:rsid w:val="00E23044"/>
    <w:rsid w:val="00E33226"/>
    <w:rsid w:val="00E34F7C"/>
    <w:rsid w:val="00E41A80"/>
    <w:rsid w:val="00E42FFB"/>
    <w:rsid w:val="00E56A89"/>
    <w:rsid w:val="00E84ACF"/>
    <w:rsid w:val="00E9030F"/>
    <w:rsid w:val="00EA01E3"/>
    <w:rsid w:val="00EA2408"/>
    <w:rsid w:val="00EC7A6A"/>
    <w:rsid w:val="00ED4843"/>
    <w:rsid w:val="00ED62C5"/>
    <w:rsid w:val="00EE0AEA"/>
    <w:rsid w:val="00EE3D2A"/>
    <w:rsid w:val="00F02E59"/>
    <w:rsid w:val="00F1746A"/>
    <w:rsid w:val="00F348A5"/>
    <w:rsid w:val="00F3773B"/>
    <w:rsid w:val="00F67204"/>
    <w:rsid w:val="00F7449C"/>
    <w:rsid w:val="00F961B1"/>
    <w:rsid w:val="00FB6830"/>
    <w:rsid w:val="00FC01D3"/>
    <w:rsid w:val="00FC4C27"/>
    <w:rsid w:val="00FD5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AC1F"/>
  <w15:chartTrackingRefBased/>
  <w15:docId w15:val="{003669DF-23D5-48DE-A9EA-1DE33E415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DCA"/>
    <w:rPr>
      <w:rFonts w:eastAsiaTheme="majorEastAsia" w:cstheme="majorBidi"/>
      <w:color w:val="272727" w:themeColor="text1" w:themeTint="D8"/>
    </w:rPr>
  </w:style>
  <w:style w:type="paragraph" w:styleId="Title">
    <w:name w:val="Title"/>
    <w:basedOn w:val="Normal"/>
    <w:next w:val="Normal"/>
    <w:link w:val="TitleChar"/>
    <w:uiPriority w:val="10"/>
    <w:qFormat/>
    <w:rsid w:val="008E4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DCA"/>
    <w:pPr>
      <w:spacing w:before="160"/>
      <w:jc w:val="center"/>
    </w:pPr>
    <w:rPr>
      <w:i/>
      <w:iCs/>
      <w:color w:val="404040" w:themeColor="text1" w:themeTint="BF"/>
    </w:rPr>
  </w:style>
  <w:style w:type="character" w:customStyle="1" w:styleId="QuoteChar">
    <w:name w:val="Quote Char"/>
    <w:basedOn w:val="DefaultParagraphFont"/>
    <w:link w:val="Quote"/>
    <w:uiPriority w:val="29"/>
    <w:rsid w:val="008E4DCA"/>
    <w:rPr>
      <w:i/>
      <w:iCs/>
      <w:color w:val="404040" w:themeColor="text1" w:themeTint="BF"/>
    </w:rPr>
  </w:style>
  <w:style w:type="paragraph" w:styleId="ListParagraph">
    <w:name w:val="List Paragraph"/>
    <w:basedOn w:val="Normal"/>
    <w:uiPriority w:val="34"/>
    <w:qFormat/>
    <w:rsid w:val="008E4DCA"/>
    <w:pPr>
      <w:ind w:left="720"/>
      <w:contextualSpacing/>
    </w:pPr>
  </w:style>
  <w:style w:type="character" w:styleId="IntenseEmphasis">
    <w:name w:val="Intense Emphasis"/>
    <w:basedOn w:val="DefaultParagraphFont"/>
    <w:uiPriority w:val="21"/>
    <w:qFormat/>
    <w:rsid w:val="008E4DCA"/>
    <w:rPr>
      <w:i/>
      <w:iCs/>
      <w:color w:val="0F4761" w:themeColor="accent1" w:themeShade="BF"/>
    </w:rPr>
  </w:style>
  <w:style w:type="paragraph" w:styleId="IntenseQuote">
    <w:name w:val="Intense Quote"/>
    <w:basedOn w:val="Normal"/>
    <w:next w:val="Normal"/>
    <w:link w:val="IntenseQuoteChar"/>
    <w:uiPriority w:val="30"/>
    <w:qFormat/>
    <w:rsid w:val="008E4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DCA"/>
    <w:rPr>
      <w:i/>
      <w:iCs/>
      <w:color w:val="0F4761" w:themeColor="accent1" w:themeShade="BF"/>
    </w:rPr>
  </w:style>
  <w:style w:type="character" w:styleId="IntenseReference">
    <w:name w:val="Intense Reference"/>
    <w:basedOn w:val="DefaultParagraphFont"/>
    <w:uiPriority w:val="32"/>
    <w:qFormat/>
    <w:rsid w:val="008E4DCA"/>
    <w:rPr>
      <w:b/>
      <w:bCs/>
      <w:smallCaps/>
      <w:color w:val="0F4761" w:themeColor="accent1" w:themeShade="BF"/>
      <w:spacing w:val="5"/>
    </w:rPr>
  </w:style>
  <w:style w:type="paragraph" w:styleId="Header">
    <w:name w:val="header"/>
    <w:basedOn w:val="Normal"/>
    <w:link w:val="HeaderChar"/>
    <w:uiPriority w:val="99"/>
    <w:unhideWhenUsed/>
    <w:rsid w:val="008E4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DCA"/>
  </w:style>
  <w:style w:type="paragraph" w:styleId="Footer">
    <w:name w:val="footer"/>
    <w:basedOn w:val="Normal"/>
    <w:link w:val="FooterChar"/>
    <w:uiPriority w:val="99"/>
    <w:unhideWhenUsed/>
    <w:rsid w:val="008E4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DCA"/>
  </w:style>
  <w:style w:type="table" w:styleId="TableGrid">
    <w:name w:val="Table Grid"/>
    <w:basedOn w:val="TableNormal"/>
    <w:uiPriority w:val="39"/>
    <w:rsid w:val="008E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F13861EAEA824B994D97C4F8928080" ma:contentTypeVersion="8" ma:contentTypeDescription="Create a new document." ma:contentTypeScope="" ma:versionID="8ceb593bd4f1d32dd7085e5d5ad67c20">
  <xsd:schema xmlns:xsd="http://www.w3.org/2001/XMLSchema" xmlns:xs="http://www.w3.org/2001/XMLSchema" xmlns:p="http://schemas.microsoft.com/office/2006/metadata/properties" xmlns:ns3="ee788ed7-08cc-47f7-87da-72fc33005182" targetNamespace="http://schemas.microsoft.com/office/2006/metadata/properties" ma:root="true" ma:fieldsID="e9f842e4a4167463676d49f7b293c9da" ns3:_="">
    <xsd:import namespace="ee788ed7-08cc-47f7-87da-72fc330051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88ed7-08cc-47f7-87da-72fc330051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E5EE55-05A1-440C-AA50-3B51C8A92D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67AB60-C818-44A6-B86D-F053FDB5B159}">
  <ds:schemaRefs>
    <ds:schemaRef ds:uri="http://schemas.microsoft.com/sharepoint/v3/contenttype/forms"/>
  </ds:schemaRefs>
</ds:datastoreItem>
</file>

<file path=customXml/itemProps3.xml><?xml version="1.0" encoding="utf-8"?>
<ds:datastoreItem xmlns:ds="http://schemas.openxmlformats.org/officeDocument/2006/customXml" ds:itemID="{E839E1AB-7E1B-420A-B630-5CD37F031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788ed7-08cc-47f7-87da-72fc330051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699</Words>
  <Characters>3587</Characters>
  <Application>Microsoft Office Word</Application>
  <DocSecurity>0</DocSecurity>
  <Lines>138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Berry</dc:creator>
  <cp:keywords/>
  <dc:description/>
  <cp:lastModifiedBy>Tyler Berry</cp:lastModifiedBy>
  <cp:revision>3</cp:revision>
  <dcterms:created xsi:type="dcterms:W3CDTF">2025-09-24T18:16:00Z</dcterms:created>
  <dcterms:modified xsi:type="dcterms:W3CDTF">2026-03-10T22:50:00Z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0x01010002F13861EAEA824B994D97C4F8928080</vt:lpwstr>
  </property>
</Properties>
</file>