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/>
    <w:p/>
    <w:p/>
    <w:p/>
    <w:p/>
    <w:p/>
    <w:p/>
    <w:p>
      <w:pPr>
        <w:jc w:val="center"/>
      </w:pPr>
      <w:r>
        <w:rPr>
          <w:sz w:val="26"/>
          <w:szCs w:val="26"/>
        </w:rPr>
        <w:t xml:space="preserve">Ingeniería en Sistemas Informáticos</w:t>
      </w:r>
    </w:p>
    <w:p>
      <w:pPr>
        <w:jc w:val="center"/>
      </w:pPr>
      <w:r>
        <w:rPr>
          <w:sz w:val="26"/>
          <w:szCs w:val="26"/>
        </w:rPr>
        <w:t xml:space="preserve">Bases de Datos Aplicada</w:t>
      </w:r>
    </w:p>
    <w:p/>
    <w:p/>
    <w:p>
      <w:pPr>
        <w:jc w:val="center"/>
      </w:pPr>
      <w:r>
        <w:rPr>
          <w:b/>
          <w:color w:val="1F3F86"/>
          <w:sz w:val="52"/>
          <w:szCs w:val="52"/>
        </w:rPr>
        <w:t xml:space="preserve">Tablero de Control de Tickets de Soporte</w:t>
      </w:r>
    </w:p>
    <w:p>
      <w:pPr>
        <w:jc w:val="center"/>
      </w:pPr>
      <w:r>
        <w:rPr>
          <w:color w:val="5E6778"/>
          <w:sz w:val="30"/>
          <w:szCs w:val="30"/>
        </w:rPr>
        <w:t xml:space="preserve">Trabajo Cuatrimestral · Primera entrega</w:t>
      </w:r>
    </w:p>
    <w:p/>
    <w:p/>
    <w:p/>
    <w:p/>
    <w:p/>
    <w:p/>
    <w:p/>
    <w:p/>
    <w:p/>
    <w:p>
      <w:pPr>
        <w:jc w:val="center"/>
      </w:pPr>
      <w:r>
        <w:rPr>
          <w:b/>
        </w:rPr>
        <w:t xml:space="preserve">Integrante: </w:t>
      </w:r>
      <w:r>
        <w:rPr/>
        <w:t xml:space="preserve">Tobías Caprile</w:t>
      </w:r>
    </w:p>
    <w:p>
      <w:pPr>
        <w:jc w:val="center"/>
      </w:pPr>
      <w:r>
        <w:rPr>
          <w:b/>
        </w:rPr>
        <w:t xml:space="preserve">Grupo N°: </w:t>
      </w:r>
    </w:p>
    <w:p>
      <w:pPr>
        <w:pStyle w:val="Heading1"/>
        <w:pageBreakBefore/>
      </w:pPr>
      <w:r>
        <w:rPr/>
        <w:t xml:space="preserve">1. Descripción del proyecto</w:t>
      </w:r>
    </w:p>
    <w:p>
      <w:pPr/>
      <w:r>
        <w:rPr/>
        <w:t xml:space="preserve">El proyecto es un tablero de control (dashboard) para la </w:t>
      </w:r>
      <w:r>
        <w:rPr>
          <w:b/>
        </w:rPr>
        <w:t xml:space="preserve">mesa de ayuda</w:t>
      </w:r>
      <w:r>
        <w:rPr/>
        <w:t xml:space="preserve"> de una empresa. Cada vez que un empleado tiene un problema informático (una PC que no enciende, un usuario bloqueado, falta de internet, etc.) se registra un </w:t>
      </w:r>
      <w:r>
        <w:rPr>
          <w:b/>
        </w:rPr>
        <w:t xml:space="preserve">ticket</w:t>
      </w:r>
      <w:r>
        <w:rPr/>
        <w:t xml:space="preserve">. El tablero muestra esos tickets agrupados y resumidos para que el responsable de soporte pueda ver rápidamente </w:t>
      </w:r>
      <w:r>
        <w:rPr>
          <w:b/>
        </w:rPr>
        <w:t xml:space="preserve">dónde se concentran los problemas, cuánto se tarda en resolverlos y si se cumplen los plazos acordados</w:t>
      </w:r>
      <w:r>
        <w:rPr/>
        <w:t xml:space="preserve">.</w:t>
      </w:r>
    </w:p>
    <w:p>
      <w:pPr>
        <w:pStyle w:val="Heading2"/>
      </w:pPr>
      <w:r>
        <w:rPr/>
        <w:t xml:space="preserve">Temática</w:t>
      </w:r>
    </w:p>
    <w:p>
      <w:pPr/>
      <w:r>
        <w:rPr/>
        <w:t xml:space="preserve">Gestión de incidencias (tickets de problemas) del área de soporte técnico de una empresa.</w:t>
      </w:r>
    </w:p>
    <w:p>
      <w:pPr>
        <w:pStyle w:val="Heading2"/>
      </w:pPr>
      <w:r>
        <w:rPr/>
        <w:t xml:space="preserve">Objetivo del tablero</w:t>
      </w:r>
    </w:p>
    <w:p>
      <w:pPr/>
      <w:r>
        <w:rPr/>
        <w:t xml:space="preserve">Ayudar al jefe de soporte a tomar decisiones: qué departamento genera más problemas, qué tipo de problemas son más frecuentes, qué técnicos están sobrecargados y qué tickets están por vencer o ya vencieron su plazo de resolución (SLA, Service Level Agreement: tiempo máximo de resolución según la prioridad).</w:t>
      </w:r>
    </w:p>
    <w:p>
      <w:pPr>
        <w:pStyle w:val="Heading2"/>
      </w:pPr>
      <w:r>
        <w:rPr/>
        <w:t xml:space="preserve">Usuario del tablero</w:t>
      </w:r>
    </w:p>
    <w:p>
      <w:pPr/>
      <w:r>
        <w:rPr/>
        <w:t xml:space="preserve">El responsable o coordinador del área de soporte técnico, y la gerencia que quiera controlar la calidad del servicio.</w:t>
      </w:r>
    </w:p>
    <w:p>
      <w:pPr>
        <w:pStyle w:val="Heading1"/>
      </w:pPr>
      <w:r>
        <w:rPr/>
        <w:t xml:space="preserve">2. Tecnologías</w:t>
      </w:r>
    </w:p>
    <w:tbl>
      <w:tblPr>
        <w:tblW w:w="9026" w:type="dxa"/>
        <w:tblLayout w:type="fixed"/>
        <w:tblBorders>
          <w:top w:val="single" w:sz="4" w:space="0" w:color="BFC6D1"/>
          <w:left w:val="single" w:sz="4" w:space="0" w:color="BFC6D1"/>
          <w:bottom w:val="single" w:sz="4" w:space="0" w:color="BFC6D1"/>
          <w:right w:val="single" w:sz="4" w:space="0" w:color="BFC6D1"/>
          <w:insideH w:val="single" w:sz="4" w:space="0" w:color="BFC6D1"/>
          <w:insideV w:val="single" w:sz="4" w:space="0" w:color="BFC6D1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w="2200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Parte</w:t>
            </w:r>
          </w:p>
        </w:tc>
        <w:tc>
          <w:tcPr>
            <w:tcW w:w="2600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Tecnología</w:t>
            </w:r>
          </w:p>
        </w:tc>
        <w:tc>
          <w:tcPr>
            <w:tcW w:w="4226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Motor de base de datos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PostgreSQL, alojado en Supabase</w:t>
            </w:r>
          </w:p>
        </w:tc>
        <w:tc>
          <w:tcPr>
            <w:tcW w:w="42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 relacional con SQL estándar, gratuita y accesible desde la web sin instalar un servidor propio.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Interfaz (frontend)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HTML, CSS y JavaScript</w:t>
            </w:r>
          </w:p>
        </w:tc>
        <w:tc>
          <w:tcPr>
            <w:tcW w:w="42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requiere instalar nada: se abre en el navegador. Es fácil de explicar y de mantener.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Conexión a la base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Librería supabase-js</w:t>
            </w:r>
          </w:p>
        </w:tc>
        <w:tc>
          <w:tcPr>
            <w:tcW w:w="42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Permite ejecutar consultas y funciones SQL de la base desde JavaScript.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Seguridad de contraseñas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Extensión pgcrypto (bcrypt)</w:t>
            </w:r>
          </w:p>
        </w:tc>
        <w:tc>
          <w:tcPr>
            <w:tcW w:w="42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 contraseñas se guardan encriptadas (hash), nunca en texto plano.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Repositorio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w="42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Para alojar el código, como pide la cátedra.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/>
        <w:t xml:space="preserve">3. Entidades representadas</w:t>
      </w:r>
    </w:p>
    <w:tbl>
      <w:tblPr>
        <w:tblW w:w="9026" w:type="dxa"/>
        <w:tblLayout w:type="fixed"/>
        <w:tblBorders>
          <w:top w:val="single" w:sz="4" w:space="0" w:color="BFC6D1"/>
          <w:left w:val="single" w:sz="4" w:space="0" w:color="BFC6D1"/>
          <w:bottom w:val="single" w:sz="4" w:space="0" w:color="BFC6D1"/>
          <w:right w:val="single" w:sz="4" w:space="0" w:color="BFC6D1"/>
          <w:insideH w:val="single" w:sz="4" w:space="0" w:color="BFC6D1"/>
          <w:insideV w:val="single" w:sz="4" w:space="0" w:color="BFC6D1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w="1800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Entidad</w:t>
            </w:r>
          </w:p>
        </w:tc>
        <w:tc>
          <w:tcPr>
            <w:tcW w:w="3400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Qué representa</w:t>
            </w:r>
          </w:p>
        </w:tc>
        <w:tc>
          <w:tcPr>
            <w:tcW w:w="3826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Por qué es relevante para el usuario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Tickets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Cada problema reportado: título, estado, prioridad, fechas de creación y resolución.</w:t>
            </w:r>
          </w:p>
        </w:tc>
        <w:tc>
          <w:tcPr>
            <w:tcW w:w="38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 la entidad central: de ella salen todos los indicadores (cantidad, tiempos, cumplimiento del SLA).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Departamentos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Áreas de la empresa que reportan problemas (Ventas, Logística, etc.).</w:t>
            </w:r>
          </w:p>
        </w:tc>
        <w:tc>
          <w:tcPr>
            <w:tcW w:w="38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Permite ver qué áreas generan más incidencias y cuáles reciben peor servicio.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Categorías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Tipo de problema (Hardware, Software, Redes, Accesos, Correo).</w:t>
            </w:r>
          </w:p>
        </w:tc>
        <w:tc>
          <w:tcPr>
            <w:tcW w:w="38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Muestra qué tipo de problema es más frecuente y dónde conviene invertir (equipos nuevos, capacitación).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Técnicos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Personal de soporte que resuelve los tickets.</w:t>
            </w:r>
          </w:p>
        </w:tc>
        <w:tc>
          <w:tcPr>
            <w:tcW w:w="38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Permite controlar la carga de trabajo y el desempeño de cada técnico.</w:t>
            </w:r>
          </w:p>
        </w:tc>
      </w:tr>
    </w:tbl>
    <w:p>
      <w:pPr>
        <w:spacing w:after="0"/>
      </w:pPr>
    </w:p>
    <w:p>
      <w:pPr/>
      <w:r>
        <w:rPr/>
        <w:t xml:space="preserve">Tablas de apoyo: </w:t>
      </w:r>
      <w:r>
        <w:rPr>
          <w:b/>
        </w:rPr>
        <w:t xml:space="preserve">Prioridades</w:t>
      </w:r>
      <w:r>
        <w:rPr/>
        <w:t xml:space="preserve"> (define el SLA en horas de cada prioridad) y </w:t>
      </w:r>
      <w:r>
        <w:rPr>
          <w:b/>
        </w:rPr>
        <w:t xml:space="preserve">Usuarios</w:t>
      </w:r>
      <w:r>
        <w:rPr/>
        <w:t xml:space="preserve"> (personas que pueden entrar al tablero).</w:t>
      </w:r>
    </w:p>
    <w:p>
      <w:pPr>
        <w:pStyle w:val="Heading1"/>
        <w:pageBreakBefore/>
      </w:pPr>
      <w:r>
        <w:rPr/>
        <w:t xml:space="preserve">4. Modelo canónico de la base de datos</w:t>
      </w:r>
    </w:p>
    <w:p>
      <w:pPr>
        <w:keepNext/>
        <w:jc w:val="center"/>
      </w:pPr>
      <w:r>
        <w:drawing>
          <wp:inline distT="0" distB="0" distL="0" distR="0">
            <wp:extent cx="5040000" cy="5064585"/>
            <wp:docPr id="1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n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64585"/>
                    </a:xfrm>
                    <a:prstGeom prst="rect">
                      <a:avLst/>
                    </a:prstGeom>
                    <a:ln w="6350">
                      <a:solidFill>
                        <a:srgbClr val="BFC6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Figura 1. Modelo canónico: tablas, claves primarias (PK), claves foráneas (FK), claves únicas (UK) y relaciones.</w:t>
      </w:r>
    </w:p>
    <w:p>
      <w:pPr>
        <w:pStyle w:val="Heading2"/>
      </w:pPr>
      <w:r>
        <w:rPr/>
        <w:t xml:space="preserve">Relaciones</w:t>
      </w:r>
    </w:p>
    <w:p>
      <w:pPr>
        <w:pStyle w:val="ListBullet"/>
      </w:pPr>
      <w:r>
        <w:rPr/>
        <w:t xml:space="preserve">Un departamento reporta muchos tickets; cada ticket pertenece a un solo departamento (1 a N).</w:t>
      </w:r>
    </w:p>
    <w:p>
      <w:pPr>
        <w:pStyle w:val="ListBullet"/>
      </w:pPr>
      <w:r>
        <w:rPr/>
        <w:t xml:space="preserve">Una categoría clasifica muchos tickets; cada ticket tiene una sola categoría (1 a N).</w:t>
      </w:r>
    </w:p>
    <w:p>
      <w:pPr>
        <w:pStyle w:val="ListBullet"/>
      </w:pPr>
      <w:r>
        <w:rPr/>
        <w:t xml:space="preserve">Una prioridad se aplica a muchos tickets y define su plazo máximo de resolución (SLA) (1 a N).</w:t>
      </w:r>
    </w:p>
    <w:p>
      <w:pPr>
        <w:pStyle w:val="ListBullet"/>
      </w:pPr>
      <w:r>
        <w:rPr/>
        <w:t xml:space="preserve">Un técnico resuelve muchos tickets; un ticket puede no tener técnico asignado todavía (0..1 a N).</w:t>
      </w:r>
    </w:p>
    <w:p>
      <w:pPr>
        <w:pStyle w:val="ListBullet"/>
      </w:pPr>
      <w:r>
        <w:rPr/>
        <w:t xml:space="preserve">Cada técnico tiene una categoría como especialidad (1 a N).</w:t>
      </w:r>
    </w:p>
    <w:p>
      <w:pPr>
        <w:pStyle w:val="ListBullet"/>
      </w:pPr>
      <w:r>
        <w:rPr/>
        <w:t xml:space="preserve">Usuarios es independiente: solo se usa para el inicio de sesión.</w:t>
      </w:r>
    </w:p>
    <w:p>
      <w:pPr>
        <w:pStyle w:val="Heading1"/>
      </w:pPr>
      <w:r>
        <w:rPr/>
        <w:t xml:space="preserve">5. Navegación entre niveles (Drill Down / Drill Up)</w:t>
      </w:r>
    </w:p>
    <w:tbl>
      <w:tblPr>
        <w:tblW w:w="9026" w:type="dxa"/>
        <w:tblLayout w:type="fixed"/>
        <w:tblBorders>
          <w:top w:val="single" w:sz="4" w:space="0" w:color="BFC6D1"/>
          <w:left w:val="single" w:sz="4" w:space="0" w:color="BFC6D1"/>
          <w:bottom w:val="single" w:sz="4" w:space="0" w:color="BFC6D1"/>
          <w:right w:val="single" w:sz="4" w:space="0" w:color="BFC6D1"/>
          <w:insideH w:val="single" w:sz="4" w:space="0" w:color="BFC6D1"/>
          <w:insideV w:val="single" w:sz="4" w:space="0" w:color="BFC6D1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0"/>
        <w:gridCol w:w="4000"/>
        <w:gridCol w:w="3126"/>
      </w:tblGrid>
      <w:tr>
        <w:trPr>
          <w:tblHeader/>
        </w:trPr>
        <w:tc>
          <w:tcPr>
            <w:tcW w:w="1900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Nivel</w:t>
            </w:r>
          </w:p>
        </w:tc>
        <w:tc>
          <w:tcPr>
            <w:tcW w:w="4000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Qué muestra</w:t>
            </w:r>
          </w:p>
        </w:tc>
        <w:tc>
          <w:tcPr>
            <w:tcW w:w="3126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Cómo se navega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 Departamentos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Cantidad de tickets, abiertos y % de cumplimiento del SLA de cada departamento.</w:t>
            </w:r>
          </w:p>
        </w:tc>
        <w:tc>
          <w:tcPr>
            <w:tcW w:w="31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Clic en un departamento: baja al nivel 2.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 Categorías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Dentro del departamento elegido: tickets por tipo de problema y tiempo promedio de resolución.</w:t>
            </w:r>
          </w:p>
        </w:tc>
        <w:tc>
          <w:tcPr>
            <w:tcW w:w="31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Clic en una categoría: baja al nivel 3. Botón Volver o ruta de navegación: sube al nivel 1.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 Detalle de tickets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Listado de tickets de esa categoría y departamento: prioridad, técnico, estado, horas usadas y semáforo.</w:t>
            </w:r>
          </w:p>
        </w:tc>
        <w:tc>
          <w:tcPr>
            <w:tcW w:w="31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Botón Volver: sube al nivel 2.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6. Semaforización</w:t>
      </w:r>
    </w:p>
    <w:p>
      <w:pPr/>
      <w:r>
        <w:rPr/>
        <w:t xml:space="preserve">Indicador: </w:t>
      </w:r>
      <w:r>
        <w:rPr>
          <w:b/>
        </w:rPr>
        <w:t xml:space="preserve">porcentaje de tickets resueltos dentro del SLA</w:t>
      </w:r>
      <w:r>
        <w:rPr/>
        <w:t xml:space="preserve"> (por departamento, categoría y técnico).</w:t>
      </w:r>
    </w:p>
    <w:tbl>
      <w:tblPr>
        <w:tblW w:w="9026" w:type="dxa"/>
        <w:tblLayout w:type="fixed"/>
        <w:tblBorders>
          <w:top w:val="single" w:sz="4" w:space="0" w:color="BFC6D1"/>
          <w:left w:val="single" w:sz="4" w:space="0" w:color="BFC6D1"/>
          <w:bottom w:val="single" w:sz="4" w:space="0" w:color="BFC6D1"/>
          <w:right w:val="single" w:sz="4" w:space="0" w:color="BFC6D1"/>
          <w:insideH w:val="single" w:sz="4" w:space="0" w:color="BFC6D1"/>
          <w:insideV w:val="single" w:sz="4" w:space="0" w:color="BFC6D1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w="1800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Color</w:t>
            </w:r>
          </w:p>
        </w:tc>
        <w:tc>
          <w:tcPr>
            <w:tcW w:w="2600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Condición</w:t>
            </w:r>
          </w:p>
        </w:tc>
        <w:tc>
          <w:tcPr>
            <w:tcW w:w="4626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w="1800" w:type="dxa"/>
            <w:shd w:val="clear" w:color="auto" w:fill="1F9D55"/>
          </w:tcPr>
          <w:p>
            <w:pPr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Verde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90% o más</w:t>
            </w:r>
          </w:p>
        </w:tc>
        <w:tc>
          <w:tcPr>
            <w:tcW w:w="46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Servicio normal o favorable.</w:t>
            </w:r>
          </w:p>
        </w:tc>
      </w:tr>
      <w:tr>
        <w:tc>
          <w:tcPr>
            <w:tcW w:w="1800" w:type="dxa"/>
            <w:shd w:val="clear" w:color="auto" w:fill="E0A100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Amarillo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Entre 75% y 89%</w:t>
            </w:r>
          </w:p>
        </w:tc>
        <w:tc>
          <w:tcPr>
            <w:tcW w:w="46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Advertencia: se están demorando tickets.</w:t>
            </w:r>
          </w:p>
        </w:tc>
      </w:tr>
      <w:tr>
        <w:tc>
          <w:tcPr>
            <w:tcW w:w="1800" w:type="dxa"/>
            <w:shd w:val="clear" w:color="auto" w:fill="D63C3C"/>
          </w:tcPr>
          <w:p>
            <w:pPr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Rojo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Menos de 75%</w:t>
            </w:r>
          </w:p>
        </w:tc>
        <w:tc>
          <w:tcPr>
            <w:tcW w:w="46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Situación crítica: hay que reforzar o reorganizar el soporte.</w:t>
            </w:r>
          </w:p>
        </w:tc>
      </w:tr>
    </w:tbl>
    <w:p>
      <w:pPr>
        <w:spacing w:after="0"/>
      </w:pPr>
    </w:p>
    <w:p>
      <w:pPr/>
      <w:r>
        <w:rPr/>
        <w:t xml:space="preserve">En el nivel de detalle, cada ticket también tiene su propio semáforo: verde si usó menos del 75% del plazo, amarillo si usó entre el 75% y el 100%, y rojo si el plazo ya venció.</w:t>
      </w:r>
    </w:p>
    <w:p>
      <w:pPr/>
      <w:r>
        <w:rPr/>
        <w:t xml:space="preserve">Plazos (SLA) por prioridad: Crítica 4 h · Alta 8 h · Media 24 h · Baja 72 h.</w:t>
      </w:r>
    </w:p>
    <w:p>
      <w:pPr>
        <w:pStyle w:val="Heading1"/>
      </w:pPr>
      <w:r>
        <w:rPr/>
        <w:t xml:space="preserve">7. Inicio de sesión</w:t>
      </w:r>
    </w:p>
    <w:p>
      <w:pPr>
        <w:pStyle w:val="ListBullet"/>
      </w:pPr>
      <w:r>
        <w:rPr/>
        <w:t xml:space="preserve">Las credenciales se verifican contra la tabla usuarios de la base de datos.</w:t>
      </w:r>
    </w:p>
    <w:p>
      <w:pPr>
        <w:pStyle w:val="ListBullet"/>
      </w:pPr>
      <w:r>
        <w:rPr/>
        <w:t xml:space="preserve">La contraseña se guarda como hash bcrypt (función crypt() de la extensión pgcrypto), nunca en texto plano.</w:t>
      </w:r>
    </w:p>
    <w:p>
      <w:pPr>
        <w:pStyle w:val="ListBullet"/>
      </w:pPr>
      <w:r>
        <w:rPr/>
        <w:t xml:space="preserve">La página llama a la función SQL login(usuario, contraseña), que devuelve el usuario solo si la contraseña coincide con el hash guardado.</w:t>
      </w:r>
    </w:p>
    <w:p>
      <w:pPr>
        <w:pStyle w:val="ListBullet"/>
      </w:pPr>
      <w:r>
        <w:rPr/>
        <w:t xml:space="preserve">La tabla usuarios está protegida con Row Level Security: no se puede leer directamente desde la web, solo a través de la función login().</w:t>
      </w:r>
    </w:p>
    <w:p>
      <w:pPr>
        <w:pStyle w:val="ListBullet"/>
      </w:pPr>
      <w:r>
        <w:rPr/>
        <w:t xml:space="preserve">Si las credenciales son correctas, se redirige automáticamente al tablero. Si son incorrectas, se muestra un mensaje de error y no se permite el acceso.</w:t>
      </w:r>
    </w:p>
    <w:p>
      <w:pPr>
        <w:pStyle w:val="ListBullet"/>
      </w:pPr>
      <w:r>
        <w:rPr/>
        <w:t xml:space="preserve">Si alguien intenta abrir el tablero sin haber iniciado sesión, es enviado de vuelta a la pantalla de login.</w:t>
      </w:r>
    </w:p>
    <w:p>
      <w:pPr>
        <w:pStyle w:val="Heading1"/>
        <w:pageBreakBefore/>
      </w:pPr>
      <w:r>
        <w:rPr/>
        <w:t xml:space="preserve">8. Prototipo de interfaces</w:t>
      </w:r>
    </w:p>
    <w:p>
      <w:pPr/>
      <w:r>
        <w:rPr/>
        <w:t xml:space="preserve">A continuación se muestran las pantallas del sistema. El login ya funciona contra la base de datos. El tablero es un prototipo navegable: muestra la organización visual definitiva con números de ejemplo, que en la segunda entrega serán reemplazados por los resultados de consultas SQL.</w:t>
      </w:r>
    </w:p>
    <w:p>
      <w:pPr>
        <w:pStyle w:val="Heading2"/>
      </w:pPr>
      <w:r>
        <w:rPr/>
        <w:t xml:space="preserve">8.1 Inicio de sesión</w:t>
      </w:r>
    </w:p>
    <w:p>
      <w:pPr/>
      <w:r>
        <w:rPr/>
        <w:t xml:space="preserve">Pantalla de acceso al sistema. El usuario ingresa su nombre de usuario y contraseña, que se validan contra la tabla usuarios.</w:t>
      </w:r>
    </w:p>
    <w:p>
      <w:pPr>
        <w:keepNext/>
        <w:jc w:val="center"/>
      </w:pPr>
      <w:r>
        <w:drawing>
          <wp:inline distT="0" distB="0" distL="0" distR="0">
            <wp:extent cx="2268000" cy="2311615"/>
            <wp:docPr id="2" name="Imagen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n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311615"/>
                    </a:xfrm>
                    <a:prstGeom prst="rect">
                      <a:avLst/>
                    </a:prstGeom>
                    <a:ln w="6350">
                      <a:solidFill>
                        <a:srgbClr val="BFC6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Figura 2. Pantalla de inicio de sesión.</w:t>
      </w:r>
    </w:p>
    <w:p>
      <w:pPr/>
      <w:r>
        <w:rPr/>
        <w:t xml:space="preserve">Si el usuario o la contraseña no corresponden a un usuario registrado, se muestra un mensaje de error y no se permite el acceso al tablero.</w:t>
      </w:r>
    </w:p>
    <w:p>
      <w:pPr>
        <w:keepNext/>
        <w:jc w:val="center"/>
      </w:pPr>
      <w:r>
        <w:drawing>
          <wp:inline distT="0" distB="0" distL="0" distR="0">
            <wp:extent cx="2268000" cy="2311615"/>
            <wp:docPr id="3" name="Imagen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n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311615"/>
                    </a:xfrm>
                    <a:prstGeom prst="rect">
                      <a:avLst/>
                    </a:prstGeom>
                    <a:ln w="6350">
                      <a:solidFill>
                        <a:srgbClr val="BFC6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Figura 3. Intento de acceso con credenciales incorrectas.</w:t>
      </w:r>
    </w:p>
    <w:p>
      <w:pPr>
        <w:pStyle w:val="Heading2"/>
      </w:pPr>
      <w:r>
        <w:rPr/>
        <w:t xml:space="preserve">8.2 Nivel 1: Resumen general por departamento</w:t>
      </w:r>
    </w:p>
    <w:p>
      <w:pPr/>
      <w:r>
        <w:rPr/>
        <w:t xml:space="preserve">Pantalla principal del tablero. Arriba se muestran los indicadores generales (total de tickets, tickets abiertos, porcentaje resuelto dentro del SLA con su semáforo y tiempo promedio de resolución). Abajo, un gráfico de barras con la cantidad de tickets por departamento y una tabla con el cumplimiento del SLA de cada uno. Al hacer clic en un departamento se baja al nivel 2.</w:t>
      </w:r>
    </w:p>
    <w:p>
      <w:pPr>
        <w:keepNext/>
        <w:jc w:val="center"/>
      </w:pPr>
      <w:r>
        <w:drawing>
          <wp:inline distT="0" distB="0" distL="0" distR="0">
            <wp:extent cx="5724000" cy="3398625"/>
            <wp:docPr id="4" name="Imagen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n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98625"/>
                    </a:xfrm>
                    <a:prstGeom prst="rect">
                      <a:avLst/>
                    </a:prstGeom>
                    <a:ln w="6350">
                      <a:solidFill>
                        <a:srgbClr val="BFC6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Figura 4. Nivel 1: resumen general con semáforo por departamento.</w:t>
      </w:r>
    </w:p>
    <w:p>
      <w:pPr>
        <w:pStyle w:val="Heading2"/>
      </w:pPr>
      <w:r>
        <w:rPr/>
        <w:t xml:space="preserve">8.3 Nivel 2: Categorías dentro de un departamento</w:t>
      </w:r>
    </w:p>
    <w:p>
      <w:pPr/>
      <w:r>
        <w:rPr/>
        <w:t xml:space="preserve">Muestra los indicadores del departamento elegido y cómo se distribuyen sus tickets por tipo de problema, con el tiempo promedio de resolución y el semáforo de cada categoría. La ruta de navegación y el botón Volver permiten regresar al nivel 1 (Drill Up). Al hacer clic en una categoría se baja al nivel 3.</w:t>
      </w:r>
    </w:p>
    <w:p>
      <w:pPr>
        <w:keepNext/>
        <w:jc w:val="center"/>
      </w:pPr>
      <w:r>
        <w:drawing>
          <wp:inline distT="0" distB="0" distL="0" distR="0">
            <wp:extent cx="5724000" cy="3398625"/>
            <wp:docPr id="5" name="Imag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n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98625"/>
                    </a:xfrm>
                    <a:prstGeom prst="rect">
                      <a:avLst/>
                    </a:prstGeom>
                    <a:ln w="6350">
                      <a:solidFill>
                        <a:srgbClr val="BFC6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Figura 5. Nivel 2: categorías del departamento Logística.</w:t>
      </w:r>
    </w:p>
    <w:p>
      <w:pPr>
        <w:pStyle w:val="Heading2"/>
      </w:pPr>
      <w:r>
        <w:rPr/>
        <w:t xml:space="preserve">8.4 Nivel 3: Detalle de tickets</w:t>
      </w:r>
    </w:p>
    <w:p>
      <w:pPr/>
      <w:r>
        <w:rPr/>
        <w:t xml:space="preserve">Listado de los tickets de la categoría y departamento elegidos: prioridad, técnico asignado, estado, horas transcurridas frente al plazo (SLA) y semáforo individual de cada ticket. El botón Volver regresa al nivel 2.</w:t>
      </w:r>
    </w:p>
    <w:p>
      <w:pPr>
        <w:keepNext/>
        <w:jc w:val="center"/>
      </w:pPr>
      <w:r>
        <w:drawing>
          <wp:inline distT="0" distB="0" distL="0" distR="0">
            <wp:extent cx="5724000" cy="3398625"/>
            <wp:docPr id="6" name="Imagen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n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98625"/>
                    </a:xfrm>
                    <a:prstGeom prst="rect">
                      <a:avLst/>
                    </a:prstGeom>
                    <a:ln w="6350">
                      <a:solidFill>
                        <a:srgbClr val="BFC6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Figura 6. Nivel 3: tickets de la categoría Redes en Logística.</w:t>
      </w:r>
    </w:p>
    <w:p>
      <w:pPr>
        <w:pStyle w:val="Heading2"/>
      </w:pPr>
      <w:r>
        <w:rPr/>
        <w:t xml:space="preserve">8.5 Técnicos</w:t>
      </w:r>
    </w:p>
    <w:p>
      <w:pPr/>
      <w:r>
        <w:rPr/>
        <w:t xml:space="preserve">Vista complementaria con la carga de trabajo de cada técnico (tickets asignados y abiertos) y su porcentaje de cumplimiento del SLA, para detectar sobrecargas.</w:t>
      </w:r>
    </w:p>
    <w:p>
      <w:pPr>
        <w:keepNext/>
        <w:jc w:val="center"/>
      </w:pPr>
      <w:r>
        <w:drawing>
          <wp:inline distT="0" distB="0" distL="0" distR="0">
            <wp:extent cx="5724000" cy="3398625"/>
            <wp:docPr id="7" name="Imagen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n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98625"/>
                    </a:xfrm>
                    <a:prstGeom prst="rect">
                      <a:avLst/>
                    </a:prstGeom>
                    <a:ln w="6350">
                      <a:solidFill>
                        <a:srgbClr val="BFC6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Figura 7. Carga de trabajo y cumplimiento por técnico.</w:t>
      </w:r>
    </w:p>
    <w:p>
      <w:pPr>
        <w:pStyle w:val="Heading1"/>
        <w:pageBreakBefore/>
      </w:pPr>
      <w:r>
        <w:rPr/>
        <w:t xml:space="preserve">9. Repositorio</w:t>
      </w:r>
    </w:p>
    <w:p>
      <w:pPr/>
      <w:r>
        <w:rPr>
          <w:b/>
        </w:rPr>
        <w:t xml:space="preserve">Link al repositorio en GitHub: </w:t>
      </w:r>
      <w:r>
        <w:rPr>
          <w:color w:val="2457C5"/>
        </w:rPr>
        <w:t xml:space="preserve">https://github.com/Tcapri-05/TP-BDA-Tickets</w:t>
      </w:r>
    </w:p>
    <w:p>
      <w:pPr/>
      <w:r>
        <w:rPr/>
        <w:t xml:space="preserve">El repositorio contiene todo el código del proyecto y los scripts SQL para recrear la base de datos desde cero. Su estructura es la siguiente:</w:t>
      </w:r>
    </w:p>
    <w:tbl>
      <w:tblPr>
        <w:tblW w:w="9026" w:type="dxa"/>
        <w:tblLayout w:type="fixed"/>
        <w:tblBorders>
          <w:top w:val="single" w:sz="4" w:space="0" w:color="BFC6D1"/>
          <w:left w:val="single" w:sz="4" w:space="0" w:color="BFC6D1"/>
          <w:bottom w:val="single" w:sz="4" w:space="0" w:color="BFC6D1"/>
          <w:right w:val="single" w:sz="4" w:space="0" w:color="BFC6D1"/>
          <w:insideH w:val="single" w:sz="4" w:space="0" w:color="BFC6D1"/>
          <w:insideV w:val="single" w:sz="4" w:space="0" w:color="BFC6D1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426"/>
      </w:tblGrid>
      <w:tr>
        <w:trPr>
          <w:tblHeader/>
        </w:trPr>
        <w:tc>
          <w:tcPr>
            <w:tcW w:w="2600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Archivo o carpeta</w:t>
            </w:r>
          </w:p>
        </w:tc>
        <w:tc>
          <w:tcPr>
            <w:tcW w:w="6426" w:type="dxa"/>
            <w:shd w:val="clear" w:color="auto" w:fill="E9F0F9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w="64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Pantalla de inicio de sesión.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dashboard.html</w:t>
            </w:r>
          </w:p>
        </w:tc>
        <w:tc>
          <w:tcPr>
            <w:tcW w:w="64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Tablero (prototipo navegable con los tres niveles y la vista de técnicos).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css/estilos.css</w:t>
            </w:r>
          </w:p>
        </w:tc>
        <w:tc>
          <w:tcPr>
            <w:tcW w:w="64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Estilos visuales de todas las pantallas.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js/config.js</w:t>
            </w:r>
          </w:p>
        </w:tc>
        <w:tc>
          <w:tcPr>
            <w:tcW w:w="64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Conexión a Supabase (URL y clave pública).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js/login.js</w:t>
            </w:r>
          </w:p>
        </w:tc>
        <w:tc>
          <w:tcPr>
            <w:tcW w:w="64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Validación del login llamando a la función SQL login().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js/sesion.js</w:t>
            </w:r>
          </w:p>
        </w:tc>
        <w:tc>
          <w:tcPr>
            <w:tcW w:w="64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Manejo de la sesión y protección del tablero.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js/prototipo.js</w:t>
            </w:r>
          </w:p>
        </w:tc>
        <w:tc>
          <w:tcPr>
            <w:tcW w:w="64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Lógica de navegación (Drill Down / Drill Up) y semaforización.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sql/01_esquema.sql</w:t>
            </w:r>
          </w:p>
        </w:tc>
        <w:tc>
          <w:tcPr>
            <w:tcW w:w="64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Creación de tablas, relaciones, restricciones, índices y seguridad (RLS).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sql/02_login.sql</w:t>
            </w:r>
          </w:p>
        </w:tc>
        <w:tc>
          <w:tcPr>
            <w:tcW w:w="64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Función login() con contraseñas encriptadas con bcrypt.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sql/03_datos.sql</w:t>
            </w:r>
          </w:p>
        </w:tc>
        <w:tc>
          <w:tcPr>
            <w:tcW w:w="64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Carga de datos iniciales con INSERT: departamentos, categorías, prioridades, técnicos, usuario de prueba y 200 tickets.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docs/</w:t>
            </w:r>
          </w:p>
        </w:tc>
        <w:tc>
          <w:tcPr>
            <w:tcW w:w="64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Documentación de la entrega e imágenes.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README.md</w:t>
            </w:r>
          </w:p>
        </w:tc>
        <w:tc>
          <w:tcPr>
            <w:tcW w:w="6426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Instrucciones para abrir y ejecutar el proyecto.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Cómo ejecutar el proyecto</w:t>
      </w:r>
    </w:p>
    <w:p>
      <w:pPr>
        <w:pStyle w:val="ListBullet"/>
      </w:pPr>
      <w:r>
        <w:rPr/>
        <w:t xml:space="preserve">Base de datos: ejecutar en el SQL Editor de Supabase los scripts sql/01_esquema.sql, sql/02_login.sql y sql/03_datos.sql, en ese orden.</w:t>
      </w:r>
    </w:p>
    <w:p>
      <w:pPr>
        <w:pStyle w:val="ListBullet"/>
      </w:pPr>
      <w:r>
        <w:rPr/>
        <w:t xml:space="preserve">Conexión: completar la URL y la clave pública del proyecto de Supabase en js/config.js.</w:t>
      </w:r>
    </w:p>
    <w:p>
      <w:pPr>
        <w:pStyle w:val="ListBullet"/>
      </w:pPr>
      <w:r>
        <w:rPr/>
        <w:t xml:space="preserve">Aplicación: abrir index.html en el navegador (no requiere instalar nada).</w:t>
      </w:r>
    </w:p>
    <w:sectPr>
      <w:footerReference w:type="default" r:id="rIdFooter"/>
      <w:pgSz w:w="11906" w:h="16838"/>
      <w:pgMar w:top="1440" w:right="1440" w:bottom="1440" w:left="1440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rPr>
        <w:color w:val="5E6778"/>
        <w:sz w:val="18"/>
      </w:rPr>
      <w:t xml:space="preserve">Tablero de Tickets de Soporte · Página </w:t>
    </w:r>
    <w:r>
      <w:rPr>
        <w:color w:val="5E6778"/>
        <w:sz w:val="18"/>
      </w:rPr>
      <w:fldChar w:fldCharType="begin"/>
    </w:r>
    <w:r>
      <w:rPr>
        <w:color w:val="5E6778"/>
        <w:sz w:val="18"/>
      </w:rPr>
      <w:instrText xml:space="preserve"> PAGE </w:instrText>
    </w:r>
    <w:r>
      <w:rPr>
        <w:color w:val="5E6778"/>
        <w:sz w:val="18"/>
      </w:rPr>
      <w:fldChar w:fldCharType="separate"/>
    </w:r>
    <w:r>
      <w:rPr>
        <w:color w:val="5E6778"/>
        <w:sz w:val="18"/>
      </w:rPr>
      <w:t>2</w:t>
    </w:r>
    <w:r>
      <w:rPr>
        <w:color w:val="5E6778"/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A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  <w:pBdr>
        <w:bottom w:val="single" w:sz="8" w:space="2" w:color="2457C5"/>
      </w:pBdr>
      <w:outlineLvl w:val="0"/>
    </w:pPr>
    <w:rPr>
      <w:b/>
      <w:color w:val="1F3F8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457C5"/>
      <w:sz w:val="26"/>
      <w:szCs w:val="26"/>
    </w:rPr>
  </w:style>
  <w:style w:type="paragraph" w:styleId="Caption">
    <w:name w:val="caption"/>
    <w:basedOn w:val="Normal"/>
    <w:next w:val="Normal"/>
    <w:qFormat/>
    <w:pPr>
      <w:spacing w:before="60" w:after="240"/>
    </w:pPr>
    <w:rPr>
      <w:i/>
      <w:color w:val="5E6778"/>
      <w:sz w:val="18"/>
      <w:szCs w:val="18"/>
    </w:rPr>
  </w:style>
  <w:style w:type="paragraph" w:styleId="ListBullet">
    <w:name w:val="List Bullet"/>
    <w:basedOn w:val="Normal"/>
    <w:pPr>
      <w:numPr>
        <w:ilvl w:val="0"/>
        <w:numId w:val="1"/>
      </w:numPr>
      <w:spacing w:after="60"/>
    </w:pPr>
  </w:style>
  <w:style w:type="paragraph" w:styleId="Footer">
    <w:name w:val="footer"/>
    <w:basedOn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Relationship Id="rIdImg1" Type="http://schemas.openxmlformats.org/officeDocument/2006/relationships/image" Target="media/imagen1.png"/><Relationship Id="rIdImg2" Type="http://schemas.openxmlformats.org/officeDocument/2006/relationships/image" Target="media/imagen2.png"/><Relationship Id="rIdImg3" Type="http://schemas.openxmlformats.org/officeDocument/2006/relationships/image" Target="media/imagen3.png"/><Relationship Id="rIdImg4" Type="http://schemas.openxmlformats.org/officeDocument/2006/relationships/image" Target="media/imagen4.png"/><Relationship Id="rIdImg5" Type="http://schemas.openxmlformats.org/officeDocument/2006/relationships/image" Target="media/imagen5.png"/><Relationship Id="rIdImg6" Type="http://schemas.openxmlformats.org/officeDocument/2006/relationships/image" Target="media/imagen6.png"/><Relationship Id="rIdImg7" Type="http://schemas.openxmlformats.org/officeDocument/2006/relationships/image" Target="media/imagen7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Tablero de Control de Tickets de Soporte - Primera entrega</dc:title>
  <dc:creator>Tobías Caprile</dc:creator>
</cp:coreProperties>
</file>