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D0B565" w14:textId="49F29E96" w:rsidR="00186899" w:rsidRPr="00D606CD" w:rsidRDefault="00D606CD" w:rsidP="00F46788">
      <w:pPr>
        <w:spacing w:after="18" w:line="240" w:lineRule="auto"/>
        <w:jc w:val="center"/>
        <w:rPr>
          <w:b/>
          <w:bCs/>
          <w:lang w:val="en-AU"/>
        </w:rPr>
      </w:pPr>
      <w:r w:rsidRPr="00D606CD">
        <w:rPr>
          <w:b/>
          <w:bCs/>
          <w:lang w:val="en-AU"/>
        </w:rPr>
        <w:t>Reducing regiment confusion in aged care medication administration</w:t>
      </w:r>
    </w:p>
    <w:p w14:paraId="466B5677" w14:textId="5CC49D08" w:rsidR="00D606CD" w:rsidRPr="00D606CD" w:rsidRDefault="00D606CD" w:rsidP="00F46788">
      <w:pPr>
        <w:spacing w:after="18" w:line="240" w:lineRule="auto"/>
        <w:rPr>
          <w:b/>
          <w:bCs/>
          <w:color w:val="0070C0"/>
          <w:lang w:val="en-AU"/>
        </w:rPr>
      </w:pPr>
      <w:r w:rsidRPr="00D606CD">
        <w:rPr>
          <w:b/>
          <w:bCs/>
          <w:color w:val="0070C0"/>
          <w:lang w:val="en-AU"/>
        </w:rPr>
        <w:t>Problem Definition &amp; Context</w:t>
      </w:r>
    </w:p>
    <w:p w14:paraId="77552795" w14:textId="6276A647" w:rsidR="001E3DB0" w:rsidRDefault="00D606CD" w:rsidP="00F46788">
      <w:pPr>
        <w:spacing w:after="18" w:line="240" w:lineRule="auto"/>
        <w:rPr>
          <w:lang w:val="en-AU"/>
        </w:rPr>
      </w:pPr>
      <w:r>
        <w:rPr>
          <w:lang w:val="en-AU"/>
        </w:rPr>
        <w:t>Nearly half of adults aged 65+ are affected by polypharmacy (which is defined as taking 5 or more medications regularly)</w:t>
      </w:r>
      <w:r w:rsidR="00217033">
        <w:rPr>
          <w:lang w:val="en-AU"/>
        </w:rPr>
        <w:t xml:space="preserve">, with complex regimens involving </w:t>
      </w:r>
      <w:r w:rsidR="001E3DB0">
        <w:rPr>
          <w:lang w:val="en-AU"/>
        </w:rPr>
        <w:t xml:space="preserve">varied dosing </w:t>
      </w:r>
      <w:r w:rsidR="00217033">
        <w:rPr>
          <w:lang w:val="en-AU"/>
        </w:rPr>
        <w:t>tim</w:t>
      </w:r>
      <w:r w:rsidR="001E3DB0">
        <w:rPr>
          <w:lang w:val="en-AU"/>
        </w:rPr>
        <w:t>es</w:t>
      </w:r>
      <w:r w:rsidR="00217033">
        <w:rPr>
          <w:lang w:val="en-AU"/>
        </w:rPr>
        <w:t xml:space="preserve">, </w:t>
      </w:r>
      <w:r w:rsidR="001E3DB0">
        <w:rPr>
          <w:lang w:val="en-AU"/>
        </w:rPr>
        <w:t xml:space="preserve">differing </w:t>
      </w:r>
      <w:r w:rsidR="00217033">
        <w:rPr>
          <w:lang w:val="en-AU"/>
        </w:rPr>
        <w:t xml:space="preserve">frequencies, and </w:t>
      </w:r>
      <w:r w:rsidR="001E3DB0">
        <w:rPr>
          <w:lang w:val="en-AU"/>
        </w:rPr>
        <w:t xml:space="preserve">conflicting </w:t>
      </w:r>
      <w:r w:rsidR="00217033">
        <w:rPr>
          <w:lang w:val="en-AU"/>
        </w:rPr>
        <w:t>food requirements</w:t>
      </w:r>
      <w:r w:rsidR="001E3DB0">
        <w:rPr>
          <w:lang w:val="en-AU"/>
        </w:rPr>
        <w:t>, creating</w:t>
      </w:r>
      <w:r w:rsidR="00217033">
        <w:rPr>
          <w:lang w:val="en-AU"/>
        </w:rPr>
        <w:t xml:space="preserve"> </w:t>
      </w:r>
      <w:r w:rsidR="001E3DB0">
        <w:rPr>
          <w:lang w:val="en-AU"/>
        </w:rPr>
        <w:t xml:space="preserve">a major source of confusion. This confusion-driven mismanagement is a distinct and significant cause of medication non-adherence, which is different to simply forgetting to take a dose. In residential aged care facilities, regiment complexity burdens both cognitively impaired residents as well as the nursing staff who manually sort, dispense and chart doses for dozens of individuals per shift. Inappropriate medication use contributes significantly to preventable hospital admissions among older adults, while manual charting remains a time-consuming and error-prone process that strains already stretched facility teams. A solution is therefore needed that simplifies regiment complexity at the point of care and eases administration workload without disrupting existing workflows. </w:t>
      </w:r>
    </w:p>
    <w:p w14:paraId="4D71B5D4" w14:textId="32CA4AAE" w:rsidR="00AC026D" w:rsidRPr="00AC026D" w:rsidRDefault="00AC026D" w:rsidP="00F46788">
      <w:pPr>
        <w:spacing w:after="18" w:line="240" w:lineRule="auto"/>
        <w:rPr>
          <w:b/>
          <w:bCs/>
          <w:color w:val="0070C0"/>
          <w:lang w:val="en-AU"/>
        </w:rPr>
      </w:pPr>
      <w:r w:rsidRPr="00AC026D">
        <w:rPr>
          <w:b/>
          <w:bCs/>
          <w:color w:val="0070C0"/>
          <w:lang w:val="en-AU"/>
        </w:rPr>
        <w:t>Goals &amp; Strategic Approach</w:t>
      </w:r>
    </w:p>
    <w:p w14:paraId="2C2DB60C" w14:textId="5E24321B" w:rsidR="00AC026D" w:rsidRDefault="00AC026D" w:rsidP="00F46788">
      <w:pPr>
        <w:spacing w:after="18" w:line="240" w:lineRule="auto"/>
        <w:rPr>
          <w:lang w:val="en-AU"/>
        </w:rPr>
      </w:pPr>
      <w:r>
        <w:rPr>
          <w:lang w:val="en-AU"/>
        </w:rPr>
        <w:t>This proposal aims to reduce medication confusion for aged care residents on complex regimens and reduce the administration/charting burden on nursing staff. Key objectives: reduce a resident’s daily regimen to a single decision point per dose, confirm intake within seconds of consumption, and integrate dose records directly into the facility’s existing electronic medication administration record (</w:t>
      </w:r>
      <w:proofErr w:type="spellStart"/>
      <w:r>
        <w:rPr>
          <w:lang w:val="en-AU"/>
        </w:rPr>
        <w:t>eMAR</w:t>
      </w:r>
      <w:proofErr w:type="spellEnd"/>
      <w:r>
        <w:rPr>
          <w:lang w:val="en-AU"/>
        </w:rPr>
        <w:t xml:space="preserve">) system. The strategy combines automated dose pre-sorting with sensor-based confirmation and direct clinical software integration, rather than a standalone consumer app. </w:t>
      </w:r>
    </w:p>
    <w:p w14:paraId="41C84195" w14:textId="053DABC9" w:rsidR="00AC026D" w:rsidRPr="00AC026D" w:rsidRDefault="00AC026D" w:rsidP="00F46788">
      <w:pPr>
        <w:spacing w:after="18" w:line="240" w:lineRule="auto"/>
        <w:rPr>
          <w:b/>
          <w:bCs/>
          <w:color w:val="0070C0"/>
          <w:lang w:val="en-AU"/>
        </w:rPr>
      </w:pPr>
      <w:r w:rsidRPr="00AC026D">
        <w:rPr>
          <w:b/>
          <w:bCs/>
          <w:color w:val="0070C0"/>
          <w:lang w:val="en-AU"/>
        </w:rPr>
        <w:t>Innovation &amp; System Integration</w:t>
      </w:r>
    </w:p>
    <w:p w14:paraId="0BEC64B0" w14:textId="0D70F933" w:rsidR="00AC026D" w:rsidRDefault="00AC026D" w:rsidP="00F46788">
      <w:pPr>
        <w:spacing w:after="18" w:line="240" w:lineRule="auto"/>
        <w:rPr>
          <w:lang w:val="en-AU"/>
        </w:rPr>
      </w:pPr>
      <w:r>
        <w:rPr>
          <w:lang w:val="en-AU"/>
        </w:rPr>
        <w:t xml:space="preserve">The proposed solution is a smart delivery cup. Nursing staff or a pharmacist loads a rotating pill carousel weekly, pre-sorted by each medication’s dosing rule. At each scheduled time, the cup prompts the resident; a release gate drops only that dose’s tablets into the spout, carried down with water and swallowed as normal, without crushing or dissolving, preserving coated and extended-release formulations. A sip-triggered sensor confirms intake and logs it directly to the facility’s existing </w:t>
      </w:r>
      <w:proofErr w:type="spellStart"/>
      <w:r>
        <w:rPr>
          <w:lang w:val="en-AU"/>
        </w:rPr>
        <w:t>eMAR</w:t>
      </w:r>
      <w:proofErr w:type="spellEnd"/>
      <w:r>
        <w:rPr>
          <w:lang w:val="en-AU"/>
        </w:rPr>
        <w:t xml:space="preserve"> system, replacing a manual charting step, rather than a separate caregiver app as used by home dispensers, such as </w:t>
      </w:r>
      <w:proofErr w:type="spellStart"/>
      <w:r>
        <w:rPr>
          <w:lang w:val="en-AU"/>
        </w:rPr>
        <w:t>MedMinder</w:t>
      </w:r>
      <w:proofErr w:type="spellEnd"/>
      <w:r>
        <w:rPr>
          <w:lang w:val="en-AU"/>
        </w:rPr>
        <w:t>. This targets facility-scale workflow integration, a gap unaddressed by current consumer focused dispensers. Additionally, this cup also has a friendly, non-institutional design, which will reduce the stigma some residents associate with clinical aids.</w:t>
      </w:r>
    </w:p>
    <w:p w14:paraId="33CA085F" w14:textId="0519982A" w:rsidR="00AC026D" w:rsidRPr="00AC026D" w:rsidRDefault="00AC026D" w:rsidP="00F46788">
      <w:pPr>
        <w:spacing w:after="18" w:line="240" w:lineRule="auto"/>
        <w:rPr>
          <w:b/>
          <w:bCs/>
          <w:color w:val="0070C0"/>
          <w:lang w:val="en-AU"/>
        </w:rPr>
      </w:pPr>
      <w:r w:rsidRPr="00AC026D">
        <w:rPr>
          <w:b/>
          <w:bCs/>
          <w:color w:val="0070C0"/>
          <w:lang w:val="en-AU"/>
        </w:rPr>
        <w:t>Feasibility &amp; Execution Plan</w:t>
      </w:r>
    </w:p>
    <w:tbl>
      <w:tblPr>
        <w:tblStyle w:val="TableGrid"/>
        <w:tblW w:w="0" w:type="auto"/>
        <w:tblLook w:val="04A0" w:firstRow="1" w:lastRow="0" w:firstColumn="1" w:lastColumn="0" w:noHBand="0" w:noVBand="1"/>
      </w:tblPr>
      <w:tblGrid>
        <w:gridCol w:w="2972"/>
        <w:gridCol w:w="1559"/>
        <w:gridCol w:w="5925"/>
      </w:tblGrid>
      <w:tr w:rsidR="00AC026D" w14:paraId="248B9D35" w14:textId="77777777" w:rsidTr="00F46788">
        <w:tc>
          <w:tcPr>
            <w:tcW w:w="2972" w:type="dxa"/>
            <w:shd w:val="clear" w:color="auto" w:fill="FAE2D5" w:themeFill="accent2" w:themeFillTint="33"/>
          </w:tcPr>
          <w:p w14:paraId="270148D0" w14:textId="7960477C" w:rsidR="00AC026D" w:rsidRPr="00AC026D" w:rsidRDefault="00AC026D" w:rsidP="00F46788">
            <w:pPr>
              <w:spacing w:after="18"/>
              <w:rPr>
                <w:b/>
                <w:bCs/>
                <w:lang w:val="en-AU"/>
              </w:rPr>
            </w:pPr>
            <w:r w:rsidRPr="00AC026D">
              <w:rPr>
                <w:b/>
                <w:bCs/>
                <w:lang w:val="en-AU"/>
              </w:rPr>
              <w:t>Phase</w:t>
            </w:r>
          </w:p>
        </w:tc>
        <w:tc>
          <w:tcPr>
            <w:tcW w:w="1559" w:type="dxa"/>
            <w:shd w:val="clear" w:color="auto" w:fill="FAE2D5" w:themeFill="accent2" w:themeFillTint="33"/>
          </w:tcPr>
          <w:p w14:paraId="77532010" w14:textId="1A40447B" w:rsidR="00AC026D" w:rsidRPr="00AC026D" w:rsidRDefault="00AC026D" w:rsidP="00F46788">
            <w:pPr>
              <w:spacing w:after="18"/>
              <w:rPr>
                <w:b/>
                <w:bCs/>
                <w:lang w:val="en-AU"/>
              </w:rPr>
            </w:pPr>
            <w:r w:rsidRPr="00AC026D">
              <w:rPr>
                <w:b/>
                <w:bCs/>
                <w:lang w:val="en-AU"/>
              </w:rPr>
              <w:t>Timeframe</w:t>
            </w:r>
          </w:p>
        </w:tc>
        <w:tc>
          <w:tcPr>
            <w:tcW w:w="5925" w:type="dxa"/>
            <w:shd w:val="clear" w:color="auto" w:fill="FAE2D5" w:themeFill="accent2" w:themeFillTint="33"/>
          </w:tcPr>
          <w:p w14:paraId="4B01F11C" w14:textId="621873F9" w:rsidR="00AC026D" w:rsidRPr="00AC026D" w:rsidRDefault="00AC026D" w:rsidP="00F46788">
            <w:pPr>
              <w:spacing w:after="18"/>
              <w:rPr>
                <w:b/>
                <w:bCs/>
                <w:lang w:val="en-AU"/>
              </w:rPr>
            </w:pPr>
            <w:r w:rsidRPr="00AC026D">
              <w:rPr>
                <w:b/>
                <w:bCs/>
                <w:lang w:val="en-AU"/>
              </w:rPr>
              <w:t>Key Activities</w:t>
            </w:r>
          </w:p>
        </w:tc>
      </w:tr>
      <w:tr w:rsidR="00AC026D" w14:paraId="7DEB8BCF" w14:textId="77777777" w:rsidTr="00F46788">
        <w:tc>
          <w:tcPr>
            <w:tcW w:w="2972" w:type="dxa"/>
          </w:tcPr>
          <w:p w14:paraId="1B1AD286" w14:textId="225354CE" w:rsidR="00AC026D" w:rsidRPr="00F46788" w:rsidRDefault="00F46788" w:rsidP="00F46788">
            <w:pPr>
              <w:spacing w:after="18"/>
              <w:rPr>
                <w:lang w:val="en-AU"/>
              </w:rPr>
            </w:pPr>
            <w:r>
              <w:rPr>
                <w:lang w:val="en-AU"/>
              </w:rPr>
              <w:t xml:space="preserve">1: </w:t>
            </w:r>
            <w:r w:rsidR="00AC026D" w:rsidRPr="00F46788">
              <w:rPr>
                <w:lang w:val="en-AU"/>
              </w:rPr>
              <w:t>Setup &amp; planning</w:t>
            </w:r>
          </w:p>
        </w:tc>
        <w:tc>
          <w:tcPr>
            <w:tcW w:w="1559" w:type="dxa"/>
          </w:tcPr>
          <w:p w14:paraId="6F0B111B" w14:textId="7F0FAA0D" w:rsidR="00AC026D" w:rsidRDefault="00AC026D" w:rsidP="00F46788">
            <w:pPr>
              <w:spacing w:after="18"/>
              <w:rPr>
                <w:lang w:val="en-AU"/>
              </w:rPr>
            </w:pPr>
            <w:r>
              <w:rPr>
                <w:lang w:val="en-AU"/>
              </w:rPr>
              <w:t>Months 1-3</w:t>
            </w:r>
          </w:p>
        </w:tc>
        <w:tc>
          <w:tcPr>
            <w:tcW w:w="5925" w:type="dxa"/>
          </w:tcPr>
          <w:p w14:paraId="169C1C04" w14:textId="30131612" w:rsidR="00AC026D" w:rsidRDefault="00AC026D" w:rsidP="00F46788">
            <w:pPr>
              <w:spacing w:after="18"/>
              <w:rPr>
                <w:lang w:val="en-AU"/>
              </w:rPr>
            </w:pPr>
            <w:r>
              <w:rPr>
                <w:lang w:val="en-AU"/>
              </w:rPr>
              <w:t xml:space="preserve">Device engineering, </w:t>
            </w:r>
            <w:proofErr w:type="spellStart"/>
            <w:r>
              <w:rPr>
                <w:lang w:val="en-AU"/>
              </w:rPr>
              <w:t>eMAR</w:t>
            </w:r>
            <w:proofErr w:type="spellEnd"/>
            <w:r>
              <w:rPr>
                <w:lang w:val="en-AU"/>
              </w:rPr>
              <w:t xml:space="preserve"> integration API, facility stakeholder onboarding</w:t>
            </w:r>
          </w:p>
        </w:tc>
      </w:tr>
      <w:tr w:rsidR="00AC026D" w14:paraId="164DCBFE" w14:textId="77777777" w:rsidTr="00F46788">
        <w:tc>
          <w:tcPr>
            <w:tcW w:w="2972" w:type="dxa"/>
          </w:tcPr>
          <w:p w14:paraId="505F738B" w14:textId="5FDEFE09" w:rsidR="00AC026D" w:rsidRPr="00F46788" w:rsidRDefault="00F46788" w:rsidP="00F46788">
            <w:pPr>
              <w:spacing w:after="18"/>
              <w:rPr>
                <w:lang w:val="en-AU"/>
              </w:rPr>
            </w:pPr>
            <w:r>
              <w:rPr>
                <w:lang w:val="en-AU"/>
              </w:rPr>
              <w:t xml:space="preserve">2: </w:t>
            </w:r>
            <w:r w:rsidR="00AC026D" w:rsidRPr="00F46788">
              <w:rPr>
                <w:lang w:val="en-AU"/>
              </w:rPr>
              <w:t>Pilot deployment</w:t>
            </w:r>
          </w:p>
        </w:tc>
        <w:tc>
          <w:tcPr>
            <w:tcW w:w="1559" w:type="dxa"/>
          </w:tcPr>
          <w:p w14:paraId="78E0722F" w14:textId="46F4A3B1" w:rsidR="00AC026D" w:rsidRDefault="00AC026D" w:rsidP="00F46788">
            <w:pPr>
              <w:spacing w:after="18"/>
              <w:rPr>
                <w:lang w:val="en-AU"/>
              </w:rPr>
            </w:pPr>
            <w:r>
              <w:rPr>
                <w:lang w:val="en-AU"/>
              </w:rPr>
              <w:t>Months 4-8</w:t>
            </w:r>
          </w:p>
        </w:tc>
        <w:tc>
          <w:tcPr>
            <w:tcW w:w="5925" w:type="dxa"/>
          </w:tcPr>
          <w:p w14:paraId="55897B58" w14:textId="03FA124E" w:rsidR="00AC026D" w:rsidRDefault="00AC026D" w:rsidP="00F46788">
            <w:pPr>
              <w:spacing w:after="18"/>
              <w:rPr>
                <w:lang w:val="en-AU"/>
              </w:rPr>
            </w:pPr>
            <w:r>
              <w:rPr>
                <w:lang w:val="en-AU"/>
              </w:rPr>
              <w:t>Deployment to 100 residents across partner facilities, staff training, system testing</w:t>
            </w:r>
          </w:p>
        </w:tc>
      </w:tr>
      <w:tr w:rsidR="00AC026D" w14:paraId="638D9F4F" w14:textId="77777777" w:rsidTr="00F46788">
        <w:tc>
          <w:tcPr>
            <w:tcW w:w="2972" w:type="dxa"/>
          </w:tcPr>
          <w:p w14:paraId="55E3CACD" w14:textId="1AF79437" w:rsidR="00AC026D" w:rsidRPr="00F46788" w:rsidRDefault="00F46788" w:rsidP="00F46788">
            <w:pPr>
              <w:spacing w:after="18"/>
              <w:rPr>
                <w:lang w:val="en-AU"/>
              </w:rPr>
            </w:pPr>
            <w:r>
              <w:rPr>
                <w:lang w:val="en-AU"/>
              </w:rPr>
              <w:t xml:space="preserve">3: </w:t>
            </w:r>
            <w:r w:rsidR="00AC026D" w:rsidRPr="00F46788">
              <w:rPr>
                <w:lang w:val="en-AU"/>
              </w:rPr>
              <w:t>Monitoring &amp; evaluation</w:t>
            </w:r>
          </w:p>
        </w:tc>
        <w:tc>
          <w:tcPr>
            <w:tcW w:w="1559" w:type="dxa"/>
          </w:tcPr>
          <w:p w14:paraId="1EE80E9D" w14:textId="6C70E537" w:rsidR="00AC026D" w:rsidRDefault="00AC026D" w:rsidP="00F46788">
            <w:pPr>
              <w:spacing w:after="18"/>
              <w:rPr>
                <w:lang w:val="en-AU"/>
              </w:rPr>
            </w:pPr>
            <w:r>
              <w:rPr>
                <w:lang w:val="en-AU"/>
              </w:rPr>
              <w:t>Months 9-12</w:t>
            </w:r>
          </w:p>
        </w:tc>
        <w:tc>
          <w:tcPr>
            <w:tcW w:w="5925" w:type="dxa"/>
          </w:tcPr>
          <w:p w14:paraId="47856557" w14:textId="6BB01E33" w:rsidR="00AC026D" w:rsidRDefault="00AC026D" w:rsidP="00F46788">
            <w:pPr>
              <w:spacing w:after="18"/>
              <w:rPr>
                <w:lang w:val="en-AU"/>
              </w:rPr>
            </w:pPr>
            <w:r>
              <w:rPr>
                <w:lang w:val="en-AU"/>
              </w:rPr>
              <w:t>Performance monitoring and refinement, impact assessment, scale-up planning</w:t>
            </w:r>
          </w:p>
        </w:tc>
      </w:tr>
    </w:tbl>
    <w:p w14:paraId="2A8441D2" w14:textId="286A32B8" w:rsidR="00D606CD" w:rsidRPr="00F46788" w:rsidRDefault="00AC026D" w:rsidP="00F46788">
      <w:pPr>
        <w:spacing w:after="18" w:line="240" w:lineRule="auto"/>
        <w:rPr>
          <w:b/>
          <w:bCs/>
          <w:color w:val="0070C0"/>
          <w:lang w:val="en-AU"/>
        </w:rPr>
      </w:pPr>
      <w:r w:rsidRPr="00F46788">
        <w:rPr>
          <w:b/>
          <w:bCs/>
          <w:color w:val="0070C0"/>
          <w:lang w:val="en-AU"/>
        </w:rPr>
        <w:t>Impact &amp; Expected Outcomes</w:t>
      </w:r>
    </w:p>
    <w:p w14:paraId="7319766F" w14:textId="36B56276" w:rsidR="00AC026D" w:rsidRDefault="00AC026D" w:rsidP="00F46788">
      <w:pPr>
        <w:spacing w:after="18" w:line="240" w:lineRule="auto"/>
        <w:rPr>
          <w:lang w:val="en-AU"/>
        </w:rPr>
      </w:pPr>
      <w:r>
        <w:rPr>
          <w:lang w:val="en-AU"/>
        </w:rPr>
        <w:t>The pilot is expected to cut nursing staff time on manual dose charting by 40-50%, reduce confusion-related missed or incorrect doses among residents on 5+ medications by an estimated 20%</w:t>
      </w:r>
      <w:r w:rsidR="00F46788">
        <w:rPr>
          <w:lang w:val="en-AU"/>
        </w:rPr>
        <w:t>, and improve dose-confirmation accuracy in facility records. Residents gain greate</w:t>
      </w:r>
      <w:r w:rsidR="00E40DFB">
        <w:rPr>
          <w:lang w:val="en-AU"/>
        </w:rPr>
        <w:t>r</w:t>
      </w:r>
      <w:r w:rsidR="00F46788">
        <w:rPr>
          <w:lang w:val="en-AU"/>
        </w:rPr>
        <w:t xml:space="preserve"> independence in dosing, while nursing staff and prescribers gain accurate, real-time adherence data within their existing clinical workflow. </w:t>
      </w:r>
    </w:p>
    <w:p w14:paraId="687FF0E0" w14:textId="06CA6228" w:rsidR="00F46788" w:rsidRPr="00F46788" w:rsidRDefault="00F46788" w:rsidP="00F46788">
      <w:pPr>
        <w:spacing w:after="18" w:line="240" w:lineRule="auto"/>
        <w:rPr>
          <w:b/>
          <w:bCs/>
          <w:color w:val="0070C0"/>
          <w:lang w:val="en-AU"/>
        </w:rPr>
      </w:pPr>
      <w:r w:rsidRPr="00F46788">
        <w:rPr>
          <w:b/>
          <w:bCs/>
          <w:color w:val="0070C0"/>
          <w:lang w:val="en-AU"/>
        </w:rPr>
        <w:t>Budget &amp; Resource overview</w:t>
      </w:r>
    </w:p>
    <w:tbl>
      <w:tblPr>
        <w:tblStyle w:val="TableGrid"/>
        <w:tblW w:w="0" w:type="auto"/>
        <w:tblLook w:val="04A0" w:firstRow="1" w:lastRow="0" w:firstColumn="1" w:lastColumn="0" w:noHBand="0" w:noVBand="1"/>
      </w:tblPr>
      <w:tblGrid>
        <w:gridCol w:w="5228"/>
        <w:gridCol w:w="1288"/>
      </w:tblGrid>
      <w:tr w:rsidR="00F46788" w14:paraId="17459876" w14:textId="77777777" w:rsidTr="00F46788">
        <w:tc>
          <w:tcPr>
            <w:tcW w:w="5228" w:type="dxa"/>
            <w:shd w:val="clear" w:color="auto" w:fill="FAE2D5" w:themeFill="accent2" w:themeFillTint="33"/>
          </w:tcPr>
          <w:p w14:paraId="632109EC" w14:textId="7A668C60" w:rsidR="00F46788" w:rsidRPr="00F46788" w:rsidRDefault="00F46788" w:rsidP="00F46788">
            <w:pPr>
              <w:spacing w:after="18"/>
              <w:rPr>
                <w:b/>
                <w:bCs/>
                <w:lang w:val="en-AU"/>
              </w:rPr>
            </w:pPr>
            <w:r w:rsidRPr="00F46788">
              <w:rPr>
                <w:b/>
                <w:bCs/>
                <w:lang w:val="en-AU"/>
              </w:rPr>
              <w:t>Category</w:t>
            </w:r>
          </w:p>
        </w:tc>
        <w:tc>
          <w:tcPr>
            <w:tcW w:w="1288" w:type="dxa"/>
            <w:shd w:val="clear" w:color="auto" w:fill="FAE2D5" w:themeFill="accent2" w:themeFillTint="33"/>
          </w:tcPr>
          <w:p w14:paraId="0586966D" w14:textId="44C26208" w:rsidR="00F46788" w:rsidRPr="00F46788" w:rsidRDefault="00F46788" w:rsidP="00F46788">
            <w:pPr>
              <w:spacing w:after="18"/>
              <w:rPr>
                <w:b/>
                <w:bCs/>
                <w:lang w:val="en-AU"/>
              </w:rPr>
            </w:pPr>
            <w:r w:rsidRPr="00F46788">
              <w:rPr>
                <w:b/>
                <w:bCs/>
                <w:lang w:val="en-AU"/>
              </w:rPr>
              <w:t>USD</w:t>
            </w:r>
          </w:p>
        </w:tc>
      </w:tr>
      <w:tr w:rsidR="00F46788" w14:paraId="51E16603" w14:textId="77777777" w:rsidTr="00F46788">
        <w:tc>
          <w:tcPr>
            <w:tcW w:w="5228" w:type="dxa"/>
          </w:tcPr>
          <w:p w14:paraId="63F69792" w14:textId="0A9AE5EB" w:rsidR="00F46788" w:rsidRDefault="00F46788" w:rsidP="00F46788">
            <w:pPr>
              <w:spacing w:after="18"/>
              <w:rPr>
                <w:lang w:val="en-AU"/>
              </w:rPr>
            </w:pPr>
            <w:r>
              <w:rPr>
                <w:lang w:val="en-AU"/>
              </w:rPr>
              <w:t>Cup devices (100 units)</w:t>
            </w:r>
          </w:p>
        </w:tc>
        <w:tc>
          <w:tcPr>
            <w:tcW w:w="1288" w:type="dxa"/>
          </w:tcPr>
          <w:p w14:paraId="0621986E" w14:textId="4C14350C" w:rsidR="00F46788" w:rsidRDefault="00F46788" w:rsidP="00F46788">
            <w:pPr>
              <w:spacing w:after="18"/>
              <w:rPr>
                <w:lang w:val="en-AU"/>
              </w:rPr>
            </w:pPr>
            <w:r>
              <w:rPr>
                <w:lang w:val="en-AU"/>
              </w:rPr>
              <w:t>40,000</w:t>
            </w:r>
          </w:p>
        </w:tc>
      </w:tr>
      <w:tr w:rsidR="00F46788" w14:paraId="4B09CCEF" w14:textId="77777777" w:rsidTr="00F46788">
        <w:tc>
          <w:tcPr>
            <w:tcW w:w="5228" w:type="dxa"/>
          </w:tcPr>
          <w:p w14:paraId="4F1367D1" w14:textId="0B924054" w:rsidR="00F46788" w:rsidRDefault="00F46788" w:rsidP="00F46788">
            <w:pPr>
              <w:spacing w:after="18"/>
              <w:rPr>
                <w:lang w:val="en-AU"/>
              </w:rPr>
            </w:pPr>
            <w:r>
              <w:rPr>
                <w:lang w:val="en-AU"/>
              </w:rPr>
              <w:t xml:space="preserve">Software development &amp; </w:t>
            </w:r>
            <w:proofErr w:type="spellStart"/>
            <w:r>
              <w:rPr>
                <w:lang w:val="en-AU"/>
              </w:rPr>
              <w:t>eMAR</w:t>
            </w:r>
            <w:proofErr w:type="spellEnd"/>
            <w:r>
              <w:rPr>
                <w:lang w:val="en-AU"/>
              </w:rPr>
              <w:t xml:space="preserve"> integration </w:t>
            </w:r>
          </w:p>
        </w:tc>
        <w:tc>
          <w:tcPr>
            <w:tcW w:w="1288" w:type="dxa"/>
          </w:tcPr>
          <w:p w14:paraId="368297E4" w14:textId="55578515" w:rsidR="00F46788" w:rsidRDefault="00F46788" w:rsidP="00F46788">
            <w:pPr>
              <w:spacing w:after="18"/>
              <w:rPr>
                <w:lang w:val="en-AU"/>
              </w:rPr>
            </w:pPr>
            <w:r>
              <w:rPr>
                <w:lang w:val="en-AU"/>
              </w:rPr>
              <w:t>45,000</w:t>
            </w:r>
          </w:p>
        </w:tc>
      </w:tr>
      <w:tr w:rsidR="00F46788" w14:paraId="2986DF40" w14:textId="77777777" w:rsidTr="00F46788">
        <w:tc>
          <w:tcPr>
            <w:tcW w:w="5228" w:type="dxa"/>
          </w:tcPr>
          <w:p w14:paraId="5207D520" w14:textId="74995560" w:rsidR="00F46788" w:rsidRDefault="00F46788" w:rsidP="00F46788">
            <w:pPr>
              <w:spacing w:after="18"/>
              <w:rPr>
                <w:lang w:val="en-AU"/>
              </w:rPr>
            </w:pPr>
            <w:r>
              <w:rPr>
                <w:lang w:val="en-AU"/>
              </w:rPr>
              <w:t>Cloud &amp; data services</w:t>
            </w:r>
          </w:p>
        </w:tc>
        <w:tc>
          <w:tcPr>
            <w:tcW w:w="1288" w:type="dxa"/>
          </w:tcPr>
          <w:p w14:paraId="11880079" w14:textId="2480F0D9" w:rsidR="00F46788" w:rsidRDefault="00F46788" w:rsidP="00F46788">
            <w:pPr>
              <w:spacing w:after="18"/>
              <w:rPr>
                <w:lang w:val="en-AU"/>
              </w:rPr>
            </w:pPr>
            <w:r>
              <w:rPr>
                <w:lang w:val="en-AU"/>
              </w:rPr>
              <w:t>10,000</w:t>
            </w:r>
          </w:p>
        </w:tc>
      </w:tr>
      <w:tr w:rsidR="00F46788" w14:paraId="4B182955" w14:textId="77777777" w:rsidTr="00F46788">
        <w:tc>
          <w:tcPr>
            <w:tcW w:w="5228" w:type="dxa"/>
          </w:tcPr>
          <w:p w14:paraId="362F640E" w14:textId="6F216E4F" w:rsidR="00F46788" w:rsidRDefault="00F46788" w:rsidP="00F46788">
            <w:pPr>
              <w:spacing w:after="18"/>
              <w:rPr>
                <w:lang w:val="en-AU"/>
              </w:rPr>
            </w:pPr>
            <w:r>
              <w:rPr>
                <w:lang w:val="en-AU"/>
              </w:rPr>
              <w:t>Staff training &amp; onboarding</w:t>
            </w:r>
          </w:p>
        </w:tc>
        <w:tc>
          <w:tcPr>
            <w:tcW w:w="1288" w:type="dxa"/>
          </w:tcPr>
          <w:p w14:paraId="531E43B4" w14:textId="508714DE" w:rsidR="00F46788" w:rsidRDefault="00F46788" w:rsidP="00F46788">
            <w:pPr>
              <w:spacing w:after="18"/>
              <w:rPr>
                <w:lang w:val="en-AU"/>
              </w:rPr>
            </w:pPr>
            <w:r>
              <w:rPr>
                <w:lang w:val="en-AU"/>
              </w:rPr>
              <w:t>8000</w:t>
            </w:r>
          </w:p>
        </w:tc>
      </w:tr>
    </w:tbl>
    <w:p w14:paraId="14CF770A" w14:textId="77777777" w:rsidR="00F46788" w:rsidRPr="00D606CD" w:rsidRDefault="00F46788" w:rsidP="00F46788">
      <w:pPr>
        <w:spacing w:line="240" w:lineRule="auto"/>
        <w:rPr>
          <w:lang w:val="en-AU"/>
        </w:rPr>
      </w:pPr>
    </w:p>
    <w:sectPr w:rsidR="00F46788" w:rsidRPr="00D606CD" w:rsidSect="001E3DB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9DC0987"/>
    <w:multiLevelType w:val="hybridMultilevel"/>
    <w:tmpl w:val="1D2C72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5E66FB8"/>
    <w:multiLevelType w:val="hybridMultilevel"/>
    <w:tmpl w:val="0EA054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90402013">
    <w:abstractNumId w:val="0"/>
  </w:num>
  <w:num w:numId="2" w16cid:durableId="120686882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6CD"/>
    <w:rsid w:val="000C0E2F"/>
    <w:rsid w:val="00186899"/>
    <w:rsid w:val="001E3DB0"/>
    <w:rsid w:val="00217033"/>
    <w:rsid w:val="002E324A"/>
    <w:rsid w:val="00485CF5"/>
    <w:rsid w:val="00526BE3"/>
    <w:rsid w:val="00AC026D"/>
    <w:rsid w:val="00AD294D"/>
    <w:rsid w:val="00D606CD"/>
    <w:rsid w:val="00E26FB7"/>
    <w:rsid w:val="00E40DFB"/>
    <w:rsid w:val="00F46788"/>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BC1EE"/>
  <w15:chartTrackingRefBased/>
  <w15:docId w15:val="{AC20D44C-37BD-884D-9F46-A696A85EC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6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6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6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6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6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6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6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6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6CD"/>
    <w:rPr>
      <w:rFonts w:eastAsiaTheme="majorEastAsia" w:cstheme="majorBidi"/>
      <w:color w:val="272727" w:themeColor="text1" w:themeTint="D8"/>
    </w:rPr>
  </w:style>
  <w:style w:type="paragraph" w:styleId="Title">
    <w:name w:val="Title"/>
    <w:basedOn w:val="Normal"/>
    <w:next w:val="Normal"/>
    <w:link w:val="TitleChar"/>
    <w:uiPriority w:val="10"/>
    <w:qFormat/>
    <w:rsid w:val="00D60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6CD"/>
    <w:pPr>
      <w:spacing w:before="160"/>
      <w:jc w:val="center"/>
    </w:pPr>
    <w:rPr>
      <w:i/>
      <w:iCs/>
      <w:color w:val="404040" w:themeColor="text1" w:themeTint="BF"/>
    </w:rPr>
  </w:style>
  <w:style w:type="character" w:customStyle="1" w:styleId="QuoteChar">
    <w:name w:val="Quote Char"/>
    <w:basedOn w:val="DefaultParagraphFont"/>
    <w:link w:val="Quote"/>
    <w:uiPriority w:val="29"/>
    <w:rsid w:val="00D606CD"/>
    <w:rPr>
      <w:i/>
      <w:iCs/>
      <w:color w:val="404040" w:themeColor="text1" w:themeTint="BF"/>
    </w:rPr>
  </w:style>
  <w:style w:type="paragraph" w:styleId="ListParagraph">
    <w:name w:val="List Paragraph"/>
    <w:basedOn w:val="Normal"/>
    <w:uiPriority w:val="34"/>
    <w:qFormat/>
    <w:rsid w:val="00D606CD"/>
    <w:pPr>
      <w:ind w:left="720"/>
      <w:contextualSpacing/>
    </w:pPr>
  </w:style>
  <w:style w:type="character" w:styleId="IntenseEmphasis">
    <w:name w:val="Intense Emphasis"/>
    <w:basedOn w:val="DefaultParagraphFont"/>
    <w:uiPriority w:val="21"/>
    <w:qFormat/>
    <w:rsid w:val="00D606CD"/>
    <w:rPr>
      <w:i/>
      <w:iCs/>
      <w:color w:val="0F4761" w:themeColor="accent1" w:themeShade="BF"/>
    </w:rPr>
  </w:style>
  <w:style w:type="paragraph" w:styleId="IntenseQuote">
    <w:name w:val="Intense Quote"/>
    <w:basedOn w:val="Normal"/>
    <w:next w:val="Normal"/>
    <w:link w:val="IntenseQuoteChar"/>
    <w:uiPriority w:val="30"/>
    <w:qFormat/>
    <w:rsid w:val="00D60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6CD"/>
    <w:rPr>
      <w:i/>
      <w:iCs/>
      <w:color w:val="0F4761" w:themeColor="accent1" w:themeShade="BF"/>
    </w:rPr>
  </w:style>
  <w:style w:type="character" w:styleId="IntenseReference">
    <w:name w:val="Intense Reference"/>
    <w:basedOn w:val="DefaultParagraphFont"/>
    <w:uiPriority w:val="32"/>
    <w:qFormat/>
    <w:rsid w:val="00D606CD"/>
    <w:rPr>
      <w:b/>
      <w:bCs/>
      <w:smallCaps/>
      <w:color w:val="0F4761" w:themeColor="accent1" w:themeShade="BF"/>
      <w:spacing w:val="5"/>
    </w:rPr>
  </w:style>
  <w:style w:type="character" w:styleId="Emphasis">
    <w:name w:val="Emphasis"/>
    <w:basedOn w:val="DefaultParagraphFont"/>
    <w:uiPriority w:val="20"/>
    <w:qFormat/>
    <w:rsid w:val="001E3DB0"/>
    <w:rPr>
      <w:i/>
      <w:iCs/>
    </w:rPr>
  </w:style>
  <w:style w:type="table" w:styleId="TableGrid">
    <w:name w:val="Table Grid"/>
    <w:basedOn w:val="TableNormal"/>
    <w:uiPriority w:val="39"/>
    <w:rsid w:val="00AC02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547</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Bonnie Lin</dc:creator>
  <cp:keywords/>
  <dc:description/>
  <cp:lastModifiedBy>Bonnie Lin</cp:lastModifiedBy>
  <cp:revision>2</cp:revision>
  <dcterms:created xsi:type="dcterms:W3CDTF">2026-07-31T03:29:00Z</dcterms:created>
  <dcterms:modified xsi:type="dcterms:W3CDTF">2026-08-11T06:55:00Z</dcterms:modified>
</cp:coreProperties>
</file>