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rPr>
          <w:rFonts w:ascii="Georgia" w:cs="Georgia" w:eastAsia="Georgia" w:hAnsi="Georgia"/>
          <w:color w:val="8B6914"/>
          <w:sz w:val="48"/>
          <w:szCs w:val="48"/>
        </w:rPr>
        <w:t xml:space="preserve">✦</w:t>
      </w:r>
    </w:p>
    <w:p>
      <w:pPr>
        <w:spacing w:after="240" w:before="0"/>
        <w:jc w:val="center"/>
      </w:pPr>
      <w:r>
        <w:rPr>
          <w:rFonts w:ascii="Georgia" w:cs="Georgia" w:eastAsia="Georgia" w:hAnsi="Georgia"/>
          <w:b/>
          <w:bCs/>
          <w:color w:val="7C4A1E"/>
          <w:sz w:val="42"/>
          <w:szCs w:val="42"/>
        </w:rPr>
        <w:t xml:space="preserve">TRACTATUS DE ELECTRO-CULTURA</w:t>
      </w:r>
    </w:p>
    <w:p>
      <w:pPr>
        <w:spacing w:after="480" w:before="0"/>
        <w:jc w:val="center"/>
      </w:pPr>
      <w:r>
        <w:rPr>
          <w:rFonts w:ascii="Georgia" w:cs="Georgia" w:eastAsia="Georgia" w:hAnsi="Georgia"/>
          <w:i/>
          <w:iCs/>
          <w:color w:val="5C4033"/>
          <w:sz w:val="28"/>
          <w:szCs w:val="28"/>
        </w:rPr>
        <w:t xml:space="preserve">Physis, Techné e as Forças Invisíveis da Vida</w:t>
      </w:r>
    </w:p>
    <w:p>
      <w:pPr>
        <w:spacing w:after="960" w:before="0"/>
        <w:jc w:val="center"/>
      </w:pPr>
      <w:r>
        <w:rPr>
          <w:rFonts w:ascii="Georgia" w:cs="Georgia" w:eastAsia="Georgia" w:hAnsi="Georgia"/>
          <w:i/>
          <w:iCs/>
          <w:color w:val="8B6914"/>
          <w:sz w:val="20"/>
          <w:szCs w:val="20"/>
        </w:rPr>
        <w:t xml:space="preserve">⸻ Manuscrito Filosófico — Fragmentos Reunidos ⸻</w:t>
      </w:r>
    </w:p>
    <w:p>
      <w:pPr>
        <w:spacing w:after="80" w:before="240"/>
        <w:ind w:left="1440" w:right="1440"/>
        <w:jc w:val="center"/>
      </w:pPr>
      <w:r>
        <w:rPr>
          <w:rFonts w:ascii="Georgia" w:cs="Georgia" w:eastAsia="Georgia" w:hAnsi="Georgia"/>
          <w:i/>
          <w:iCs/>
          <w:color w:val="5C4033"/>
          <w:sz w:val="21"/>
          <w:szCs w:val="21"/>
        </w:rPr>
        <w:t xml:space="preserve">"Aquilo que se oculta à visão pode ser o que mais profundamente age sobre o mundo visível."</w:t>
      </w:r>
    </w:p>
    <w:p>
      <w:pPr>
        <w:spacing w:after="240" w:before="0"/>
        <w:jc w:val="center"/>
      </w:pPr>
      <w:r>
        <w:rPr>
          <w:rFonts w:ascii="Georgia" w:cs="Georgia" w:eastAsia="Georgia" w:hAnsi="Georgia"/>
          <w:color w:val="8B6914"/>
          <w:sz w:val="19"/>
          <w:szCs w:val="19"/>
        </w:rPr>
        <w:t xml:space="preserve">— Adaptado de Heráclito, fr. 123</w:t>
      </w:r>
    </w:p>
    <w:p>
      <w:pPr>
        <w:spacing w:after="120" w:before="480"/>
        <w:jc w:val="center"/>
      </w:pPr>
      <w:r>
        <w:rPr>
          <w:rFonts w:ascii="Georgia" w:cs="Georgia" w:eastAsia="Georgia" w:hAnsi="Georgia"/>
          <w:b/>
          <w:bCs/>
          <w:color w:val="8B6914"/>
          <w:sz w:val="20"/>
          <w:szCs w:val="20"/>
        </w:rPr>
        <w:t xml:space="preserve">Nota do Compilador</w:t>
      </w:r>
    </w:p>
    <w:p>
      <w:pPr>
        <w:spacing w:after="120" w:before="120" w:line="320"/>
        <w:jc w:val="both"/>
      </w:pPr>
      <w:r>
        <w:rPr>
          <w:rFonts w:ascii="Georgia" w:cs="Georgia" w:eastAsia="Georgia" w:hAnsi="Georgia"/>
          <w:b w:val="false"/>
          <w:bCs w:val="false"/>
          <w:i w:val="false"/>
          <w:iCs w:val="false"/>
          <w:color w:val="2C1810"/>
          <w:sz w:val="22"/>
          <w:szCs w:val="22"/>
        </w:rPr>
        <w:t xml:space="preserve">O texto que se segue foi reunido a partir de anotações dispersas — algumas encontradas entre folhas de um herbário do século XVIII, outras em cadernos que lembram os diários de campo dos primeiros galvanistas, outras ainda com a caligrafia nervosa e visionária de quem se sabe incompreendido pelo seu tempo. Nenhum autor único reivindica estas páginas. Elas pertencem a uma linhagem de pensadores que ousaram perguntar, antes de responder.</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Proêmio — A Questão que Precede Todas as Questões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Há saberes que chegam à humanidade não pelo canal luminoso da demonstração, mas pela via sombria da percepção antecipada — intuições que a razão, num segundo momento, procura justificar ou refutar. A eletrocultura pertence a essa categoria incômoda de conhecimentos: nem plenamente reconhecida pela ciência institucional, nem completamente destituída de fundamento empírico; habitando, como num limiar, o espaço entre a physis e a techné, entre o que pode ser medido e o que apenas pode ser sentido.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Antes de interrogar se a eletrocultura é verdadeira ou falsa — pergunta que supõe critérios já previamente determinados — cumpre perguntar: que tipo de verdade ela almeja? A verdade da geometria euclidiana, demonstrável por necessidade lógica? A verdade empírica do experimento repetível? Ou uma terceira espécie de verdade, que os antigos chamavam de aletheia — desvelamento, retirada do véu — e que diz respeito não à prova, mas à revelação?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É com este espírito de inquirição honesta, sem capitulação ao entusiasmo acrítico nem ao ceticismo prematuro, que se propõe o presente tratado.</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I — Da Natureza da Eletrocultura: Uma Tentativa de Definição</w:t>
      </w:r>
    </w:p>
    <w:p>
      <w:pPr>
        <w:pStyle w:val="Heading2"/>
        <w:spacing w:after="160" w:before="400"/>
      </w:pPr>
      <w:r>
        <w:rPr>
          <w:rFonts w:ascii="Georgia" w:cs="Georgia" w:eastAsia="Georgia" w:hAnsi="Georgia"/>
          <w:b/>
          <w:bCs/>
          <w:i/>
          <w:iCs/>
          <w:color w:val="5C4033"/>
          <w:sz w:val="24"/>
          <w:szCs w:val="24"/>
        </w:rPr>
        <w:t xml:space="preserve">§ 1. A Arte de Interrogar a Physis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Aristóteles entendia a physis — a natureza — não como um mecanismo inerte sujeito a leis externas, mas como princípio interno de movimento e repouso. Cada ser vivo carrega em si mesmo a causa de seu crescimento e de seu fim. Interrogar a natureza, portanto, não é observá-la de fora como um estranho, mas participar do mesmo princípio que a anima.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eletrocultura, em sua forma mais reflexiva, pode ser entendida como uma tentativa de compreender e de interagir com esses princípios sutis — forças que, embora não visíveis ao olho desarmado, revelariam sua presença nos padrões de crescimento das plantas, nas correntes silenciosas do solo, nas descargas atmosféricas que precedem a chuva fertilizadora.</w:t>
      </w:r>
    </w:p>
    <w:p>
      <w:pPr>
        <w:spacing w:after="80" w:before="80"/>
        <w:ind w:left="4320"/>
        <w:jc w:val="right"/>
      </w:pPr>
      <w:r>
        <w:rPr>
          <w:rFonts w:ascii="Georgia" w:cs="Georgia" w:eastAsia="Georgia" w:hAnsi="Georgia"/>
          <w:i/>
          <w:iCs/>
          <w:color w:val="8B6914"/>
          <w:sz w:val="18"/>
          <w:szCs w:val="18"/>
        </w:rPr>
        <w:t xml:space="preserve">[ Nota manuscrita: «a planta não cresce para nós — cresce para si» ]</w:t>
      </w:r>
    </w:p>
    <w:p>
      <w:pPr>
        <w:pStyle w:val="Heading2"/>
        <w:spacing w:after="160" w:before="400"/>
      </w:pPr>
      <w:r>
        <w:rPr>
          <w:rFonts w:ascii="Georgia" w:cs="Georgia" w:eastAsia="Georgia" w:hAnsi="Georgia"/>
          <w:b/>
          <w:bCs/>
          <w:i/>
          <w:iCs/>
          <w:color w:val="5C4033"/>
          <w:sz w:val="24"/>
          <w:szCs w:val="24"/>
        </w:rPr>
        <w:t xml:space="preserve">§ 2. As Quatro Causas e a Questão do Crescimento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Se aplicarmos ao fenômeno do crescimento vegetal o esquema aristotélico das quatro causas, obtemos um quadro que ilumina o lugar que a eletrocultura busca ocupar. A causa material é a matéria do solo, a água, os sais minerais. A causa formal é a organização interna do ser vivo — aquilo que faz de uma semente de trigo algo distinto de uma pedra de sílica, ainda que materialmente próximas. A causa eficiente inclui o calor solar, a água, e — segundo os praticantes da eletrocultura — as correntes elétricas e magnéticas que atravessam solo e atmosfera. A causa final é o pleno desenvolvimento do ser: a planta tornada ela mesma.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Neste esquema, a eletrocultura intervém sobretudo ao nível da causa eficiente: propõe-se a potencializar as forças que impulsionam o ser em direção à sua forma plena. Que tais forças existam, a ciência moderna não disputa — debate-se, antes, se a intervenção humana por meio de dispositivos de cobre ou de antenas específicas consegue orientá-las de modo mensurável e benéfico.</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II — O Cobre como Organon: O Instrumento que Revela</w:t>
      </w:r>
    </w:p>
    <w:p>
      <w:pPr>
        <w:pStyle w:val="Heading2"/>
        <w:spacing w:after="160" w:before="400"/>
      </w:pPr>
      <w:r>
        <w:rPr>
          <w:rFonts w:ascii="Georgia" w:cs="Georgia" w:eastAsia="Georgia" w:hAnsi="Georgia"/>
          <w:b/>
          <w:bCs/>
          <w:i/>
          <w:iCs/>
          <w:color w:val="5C4033"/>
          <w:sz w:val="24"/>
          <w:szCs w:val="24"/>
        </w:rPr>
        <w:t xml:space="preserve">§ 3. O Metal que Conduz e Medeia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Aristóteles chamou de organon — instrumento — aquilo que serve de meio para uma finalidade que o ultrapassa. O olho é organon da visão; a mão, organon da ação. Neste sentido, os praticantes da eletrocultura atribuem ao cobre uma função mediadora singular: a de instrumento que, por suas propriedades condutivas e sua relação histórica com o domínio do invisível, permitiria tornar disponíveis para a planta correntes que de outro modo fluiriam dispersas.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cobre ocupa lugar privilegiado no imaginário de várias tradições. Para os alquimistas medievais, era o metal associado a Vênus — à fertilidade, ao amor, à geração —, e sua cor avermelhada sugeria a vitalidade do sangue. Para os metalúrgicos antigos, era o primeiro metal amplamente trabalhado pela humanidade, como se a natureza o tivesse disposto próximo da superfície, acessível, comunicativo. Para a física moderna, é um condutor de primeira ordem: sua estrutura cristalina permite que elétrons migrem com mínima resistência.</w:t>
      </w:r>
    </w:p>
    <w:p>
      <w:pPr>
        <w:pStyle w:val="Heading2"/>
        <w:spacing w:after="160" w:before="400"/>
      </w:pPr>
      <w:r>
        <w:rPr>
          <w:rFonts w:ascii="Georgia" w:cs="Georgia" w:eastAsia="Georgia" w:hAnsi="Georgia"/>
          <w:b/>
          <w:bCs/>
          <w:i/>
          <w:iCs/>
          <w:color w:val="5C4033"/>
          <w:sz w:val="24"/>
          <w:szCs w:val="24"/>
        </w:rPr>
        <w:t xml:space="preserve">§ 4. Entre Símbolo e Instrumento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Importa distinguir, neste ponto, dois registros possíveis para a função do cobre. No primeiro registro — o da tradição interpretativa e simbólica —, o cobre atua como mediador entre o macrocosmo e o microcosmo, captando energias difusas e concentrando-as na raiz ou na folha. Este registro pertence ao domínio da hermenêutica: não requer demonstração experimental, mas integra um sistema de correspondências com sua própria coerência interna.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No segundo registro — o da investigação empírica —, o cobre seria um condutor físico de cargas elétricas atmosféricas e telúricas, cuja presença alteraria gradientes eletroquímicos do solo ou modificaria o potencial de membrana das células vegetais. Este registro exige medição, repetibilidade, controle de variáveis. Ambos os registros habitam, frequentemente misturados, os manuais práticos de eletrocultura — e é tarefa filosófica, antes de ser científica, distingui-los sem por isso descartá-los.</w:t>
      </w:r>
    </w:p>
    <w:p>
      <w:pPr>
        <w:spacing w:after="200" w:before="200"/>
        <w:jc w:val="center"/>
      </w:pPr>
      <w:r>
        <w:rPr>
          <w:rFonts w:ascii="Georgia" w:cs="Georgia" w:eastAsia="Georgia" w:hAnsi="Georgia"/>
          <w:i/>
          <w:iCs/>
          <w:color w:val="8B6914"/>
          <w:sz w:val="22"/>
          <w:szCs w:val="22"/>
        </w:rPr>
        <w:t xml:space="preserve">⊕ — O cobre: nem apenas símbolo, nem apenas fio — mas a dobra onde ambos se tocam</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III — As Forças Naturais: Eletricidade, Magnetismo e Energia Telúrica</w:t>
      </w:r>
    </w:p>
    <w:p>
      <w:pPr>
        <w:pStyle w:val="Heading2"/>
        <w:spacing w:after="160" w:before="400"/>
      </w:pPr>
      <w:r>
        <w:rPr>
          <w:rFonts w:ascii="Georgia" w:cs="Georgia" w:eastAsia="Georgia" w:hAnsi="Georgia"/>
          <w:b/>
          <w:bCs/>
          <w:i/>
          <w:iCs/>
          <w:color w:val="5C4033"/>
          <w:sz w:val="24"/>
          <w:szCs w:val="24"/>
        </w:rPr>
        <w:t xml:space="preserve">§ 5. A Ordem Cósmica e suas Manifestações Sutis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Platão, no Timeu, descrevia o cosmos como um ser vivo ordenado pela Alma do Mundo — uma força intermediária entre as Ideias imutáveis e a matéria em eterno devir. Esta alma cósmica permearia toda a realidade, produzindo harmonia onde a desproporção ameaça instalar-se. Não seria excessivo sugerir que a eletricidade atmosférica, o magnetismo terrestre e as correntes telúricas foram, por séculos, intuídas como manifestações desta ordem profunda antes de receberem seu nome científico.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eletricidade atmosférica é hoje mensurada com precisão: o campo elétrico vertical entre solo e ionosfera mantém em equilíbrio dinâmico um potencial da ordem de 300.000 volts, com correntes de tempestade e de bom tempo que formam um circuito global. A vida emergiu e evoluiu banhada por este campo. É razoável supor que os organismos vivos, especialmente as plantas com suas extensas superfícies expostas, interagem com ele de modos ainda não completamente mapeados.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magnetismo terrestre, por seu turno, é reconhecidamente utilizado por diversas espécies animais para orientação. Experimentos com plantas revelam respostas — embora modestas e contestadas — à variação de campos magnéticos. A energia telúrica, categoria menos precisa, designa correntes elétricas naturais do solo — as chamadas correntes telúricas ou Correntes de Terra —, cuja interação com o enraizamento das plantas constitui hipótese ainda em estudo.</w:t>
      </w:r>
    </w:p>
    <w:p>
      <w:pPr>
        <w:pStyle w:val="Heading2"/>
        <w:spacing w:after="160" w:before="400"/>
      </w:pPr>
      <w:r>
        <w:rPr>
          <w:rFonts w:ascii="Georgia" w:cs="Georgia" w:eastAsia="Georgia" w:hAnsi="Georgia"/>
          <w:b/>
          <w:bCs/>
          <w:i/>
          <w:iCs/>
          <w:color w:val="5C4033"/>
          <w:sz w:val="24"/>
          <w:szCs w:val="24"/>
        </w:rPr>
        <w:t xml:space="preserve">§ 6. Harmonia Universal e Interconexão: o Fio Platônico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que une estas três forças — atmosférica, magnética, telúrica — é a ideia de que a realidade não é uma coleção de objetos isolados, mas um sistema de relações em que cada parte responde às variações das demais. Esta intuição, presente no pensamento platônico como harmonia das esferas, reaparece na física de campos de Faraday, na teoria dos sistemas de Bertalanffy e, mais recentemente, nas pesquisas sobre comunicação eletroquímica entre plantas.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eletrocultura, em sua hipótese central, pressupõe exatamente esta interconexão: que a planta não é um sistema fechado, mas uma interface sensível entre o solo e o céu, entre as correntes da terra e as descargas do ar. Tornar esta interface mais eficiente — aumentar a captação, reduzir interferências — seria o objetivo dos dispositivos que ela propõe.</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IV — Dimensão Histórica: Os Precursores e a Alma da Matéria Viva</w:t>
      </w:r>
    </w:p>
    <w:p>
      <w:pPr>
        <w:pStyle w:val="Heading2"/>
        <w:spacing w:after="160" w:before="400"/>
      </w:pPr>
      <w:r>
        <w:rPr>
          <w:rFonts w:ascii="Georgia" w:cs="Georgia" w:eastAsia="Georgia" w:hAnsi="Georgia"/>
          <w:b/>
          <w:bCs/>
          <w:i/>
          <w:iCs/>
          <w:color w:val="5C4033"/>
          <w:sz w:val="24"/>
          <w:szCs w:val="24"/>
        </w:rPr>
        <w:t xml:space="preserve">§ 7. O Galvanismo: Quando o Raio Entrou no Laboratório</w:t>
      </w:r>
    </w:p>
    <w:p>
      <w:pPr>
        <w:spacing w:after="80" w:before="240"/>
        <w:ind w:left="1440" w:right="1440"/>
        <w:jc w:val="center"/>
      </w:pPr>
      <w:r>
        <w:rPr>
          <w:rFonts w:ascii="Georgia" w:cs="Georgia" w:eastAsia="Georgia" w:hAnsi="Georgia"/>
          <w:i/>
          <w:iCs/>
          <w:color w:val="5C4033"/>
          <w:sz w:val="21"/>
          <w:szCs w:val="21"/>
        </w:rPr>
        <w:t xml:space="preserve">"A faísca que fez a perna da rã contrair-se era a mesma que rasgava o céu — ou assim nos pareceu, por um instante de vertigem."</w:t>
      </w:r>
    </w:p>
    <w:p>
      <w:pPr>
        <w:spacing w:after="240" w:before="0"/>
        <w:jc w:val="center"/>
      </w:pPr>
      <w:r>
        <w:rPr>
          <w:rFonts w:ascii="Georgia" w:cs="Georgia" w:eastAsia="Georgia" w:hAnsi="Georgia"/>
          <w:color w:val="8B6914"/>
          <w:sz w:val="19"/>
          <w:szCs w:val="19"/>
        </w:rPr>
        <w:t xml:space="preserve">— Anotação anônima à margem de um exemplar do Comentarius de Viribus Electricitatis, século XVIII</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Luigi Galvani, ao observar em 1780 a contração de membros de rãs mortas quando tocados por metais distintos, não realizou apenas um experimento de física. Ele abriu uma fenda no horizonte do pensamento europeu: a vida e a eletricidade poderiam ser expressões de um mesmo princípio. O fluido elétrico, tão misterioso quanto o éter dos antigos, parecia habitar os próprios tecidos vivos — o que Galvani chamou de eletricidade animal.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Seu contemporâneo Volta objetaria: não havia fluido animal, apenas contato de metais diferentes produzindo corrente. Mas esta disputa, que fundou a eletroquímica e levou à pilha voltaica, não esgotou a pergunta mais funda: que relação há entre eletricidade e vida? Esta pergunta, que os galvanistas formularam com instrumentos primitivos e vocabulário metafísico, permanece, em versões mais sofisticadas, nos debates contemporâneos sobre bioeletricidade.</w:t>
      </w:r>
    </w:p>
    <w:p>
      <w:pPr>
        <w:pStyle w:val="Heading2"/>
        <w:spacing w:after="160" w:before="400"/>
      </w:pPr>
      <w:r>
        <w:rPr>
          <w:rFonts w:ascii="Georgia" w:cs="Georgia" w:eastAsia="Georgia" w:hAnsi="Georgia"/>
          <w:b/>
          <w:bCs/>
          <w:i/>
          <w:iCs/>
          <w:color w:val="5C4033"/>
          <w:sz w:val="24"/>
          <w:szCs w:val="24"/>
        </w:rPr>
        <w:t xml:space="preserve">§ 8. O Vitalismo e a Hipótese da Força Vital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Paralelamente ao galvanismo, o vitalismo — corrente filosófica e científica que percorreu o século XVIII e o XIX — sustentava que os seres vivos eram irredutíveis às leis da química e da física inorgânicas. Havia neles uma vis vitalis, uma força vital que organizava a matéria de baixo para cima, imprimindo-lhe forma, finalidade e sensibilidade.</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vitalismo foi progressivamente refutado pela bioquímica — a síntese da ureia por Wöhler em 1828 demoliu a ideia de que compostos orgânicos só podiam ser produzidos por organismos vivos. Porém, algo da intuição vitalista sobreviveu sob nova forma: não como princípio sobrenatural, mas como reconhecimento de que os sistemas vivos exibem propriedades emergentes que não se deduzem linearmente de seus componentes. A bioeletricidade, a morfogênese elétrica descrita por Harold Saxton Burr e mais recentemente o campo de pesquisa sobre comunicação vegetal preservam, em linguagem científica contemporânea, a pergunta que os vitalistas formularam em termos mais especulativos.</w:t>
      </w:r>
    </w:p>
    <w:p>
      <w:pPr>
        <w:pStyle w:val="Heading2"/>
        <w:spacing w:after="160" w:before="400"/>
      </w:pPr>
      <w:r>
        <w:rPr>
          <w:rFonts w:ascii="Georgia" w:cs="Georgia" w:eastAsia="Georgia" w:hAnsi="Georgia"/>
          <w:b/>
          <w:bCs/>
          <w:i/>
          <w:iCs/>
          <w:color w:val="5C4033"/>
          <w:sz w:val="24"/>
          <w:szCs w:val="24"/>
        </w:rPr>
        <w:t xml:space="preserve">§ 9. Os Primeiros Estudos sobre Bioeletricidade: Tesla como Figura de Fronteira</w:t>
      </w:r>
    </w:p>
    <w:p>
      <w:pPr>
        <w:spacing w:after="200" w:before="200"/>
        <w:jc w:val="center"/>
      </w:pPr>
      <w:r>
        <w:rPr>
          <w:rFonts w:ascii="Georgia" w:cs="Georgia" w:eastAsia="Georgia" w:hAnsi="Georgia"/>
          <w:i/>
          <w:iCs/>
          <w:color w:val="8B6914"/>
          <w:sz w:val="22"/>
          <w:szCs w:val="22"/>
        </w:rPr>
        <w:t xml:space="preserve">⚡ — Tesla: o homem que ouvia a Terra falar em frequências que nenhum outro ear alcançava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Nikola Tesla ocupa, neste panorama histórico, uma posição singular e perturbadora. Inventor de sistemas que alimentam o mundo moderno, era simultaneamente um pensador que concebia a Terra como ressonador elétrico e que acreditava poder transmitir energia sem fios por meio da ressonância entre a superfície terrestre e a ionosfera — o que hoje se denomina modo Schumann-Tesla. Seu laboratório de Colorado Springs, na virada do século XIX para o XX, era um espaço onde a fronteira entre experimento científico e intuição quase hermética se dissolvia.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Tesla escreveu, com a convicção de quem transcreve mais do que inventa: «Se você quiser encontrar os segredos do universo, pense em termos de energia, frequência e vibração.» Esta frase, frequentemente citada em contextos que vão da física teórica ao esoterismo de mercado, contém — despida de suas apropriações — uma hipótese filosófica legítima: a de que os fenômenos fundamentais da realidade são relacionais e dinâmicos, não substanciais e estáticos.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conexão entre o pensamento tesleriano e a eletrocultura não é meramente anedótica. A hipótese de que antenas de geometria específica — em espiral, em proporção áurea, em forma de cone — poderiam captar e concentrar oscilações do campo eletromagnético natural ressoa diretamente com a ideia de ressonância que Tesla explorou sistematicamente. Não se afirma aqui que tal hipótese seja correta; afirma-se que ela tem uma genealogia intelectual respeitável que merece ser examinada, não apenas descartada.</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V — Eletrocultura e Vida: A Alma Vegetativa Revisitada</w:t>
      </w:r>
    </w:p>
    <w:p>
      <w:pPr>
        <w:pStyle w:val="Heading2"/>
        <w:spacing w:after="160" w:before="400"/>
      </w:pPr>
      <w:r>
        <w:rPr>
          <w:rFonts w:ascii="Georgia" w:cs="Georgia" w:eastAsia="Georgia" w:hAnsi="Georgia"/>
          <w:b/>
          <w:bCs/>
          <w:i/>
          <w:iCs/>
          <w:color w:val="5C4033"/>
          <w:sz w:val="24"/>
          <w:szCs w:val="24"/>
        </w:rPr>
        <w:t xml:space="preserve">§ 10. A Planta como Ser Sensível a Campos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Aristóteles distinguia três modalidades de alma: a vegetativa, compartilhada por todas as plantas e animais, responsável pela nutrição e reprodução; a sensitiva, presente nos animais, que permite sensação e movimento; e a racional, própria do homem. A alma vegetativa não era, para ele, metáfora: era princípio real de organização biológica, anterior ao pensamento e à sensação, mas não por isso menos real.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As pesquisas contemporâneas sobre comportamento vegetal — desde os estudos pioneiros de Jagadish Chandra Bose sobre respostas elétricas das plantas no início do século XX, passando pela polêmica obra de Cleve Backster nos anos 1960, até os trabalhos mais rigorosos de Stefano Mancuso sobre neurobiologia vegetal — sugerem que as plantas respondem a estímulos elétricos, acústicos e químicos de formas que, sem antropomorfizar, revelam uma sensitividade funcional inesperadamente sofisticada.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Se plantas geram e transmitem sinais elétricos — como os chamados potenciais de ação verificados em espécies como a Mimosa pudica e a Dionaea muscipula —, a hipótese de que campos elétricos externos modulam seu metabolismo torna-se biologicamente plausível, mesmo que os mecanismos precisos permaneçam em investigação.</w:t>
      </w:r>
    </w:p>
    <w:p>
      <w:pPr>
        <w:pStyle w:val="Heading2"/>
        <w:spacing w:after="160" w:before="400"/>
      </w:pPr>
      <w:r>
        <w:rPr>
          <w:rFonts w:ascii="Georgia" w:cs="Georgia" w:eastAsia="Georgia" w:hAnsi="Georgia"/>
          <w:b/>
          <w:bCs/>
          <w:i/>
          <w:iCs/>
          <w:color w:val="5C4033"/>
          <w:sz w:val="24"/>
          <w:szCs w:val="24"/>
        </w:rPr>
        <w:t xml:space="preserve">§ 11. A Hipótese do Princípio Vital como Questão Aberta</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Reformulemos, então, a questão aristotélica em termos contemporâneos: a alma vegetativa — o princípio que organiza a matéria viva em direção à sua forma — seria sensível a estímulos eletromagnéticos do ambiente? A eletrocultura responde afirmativamente; a ciência institucional mantém suspensão de julgamento, aguardando evidências mais robustas e replicáveis. Entre a afirmação entusiasta e a recusa cautelosa, há um espaço de investigação que este tratado não pretende ocupar com conclusões, mas habitar com perguntas.</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VI — Das Aplicações em Práticas Humanas: Uma Reflexão Crítica</w:t>
      </w:r>
    </w:p>
    <w:p>
      <w:pPr>
        <w:pStyle w:val="Heading2"/>
        <w:spacing w:after="160" w:before="400"/>
      </w:pPr>
      <w:r>
        <w:rPr>
          <w:rFonts w:ascii="Georgia" w:cs="Georgia" w:eastAsia="Georgia" w:hAnsi="Georgia"/>
          <w:b/>
          <w:bCs/>
          <w:i/>
          <w:iCs/>
          <w:color w:val="5C4033"/>
          <w:sz w:val="24"/>
          <w:szCs w:val="24"/>
        </w:rPr>
        <w:t xml:space="preserve">§ 12. O Homem como Ser Imerso em Campos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extensão dos princípios da eletrocultura ao ser humano — a ideia de que campos elétricos, magnéticos e o uso de metais condutores poderiam influenciar processos fisiológicos ou estados de bem-estar — ocupa espaço considerável em certas tradições práticas. Importa, aqui mais do que em qualquer outro ponto, distinguir com rigor os três registros do conhecimento.</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conhecimento empírico — adquirido pela observação sistemática, mas sem controle experimental — diz que certas culturas relatam efeitos de metais, campos e instrumentos sobre estados corporais. O domínio da tradição interpretativa — que inclui a acupuntura, a radiestesia, o uso terapêutico de metais em tradições ayurvédica e alquímica — oferece sistemas explicativos coerentes internamente, mas não diretamente verificáveis pelos critérios da medicina baseada em evidências. A evidência científica validada exige ensaios clínicos controlados, grupo placebo, análise estatística e replicação independente.</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Afirmar que campos elétricos curam doenças, que o cobre transmite energia vital ao organismo humano ou que antenas de eletrocultura protegem contra males não definidos seria, neste tratado, um erro filosófico antes de ser um erro científico: confundiria tradição com prova, correlação com causalidade, esperança com demonstração.</w:t>
      </w:r>
    </w:p>
    <w:p>
      <w:pPr>
        <w:pStyle w:val="Heading2"/>
        <w:spacing w:after="160" w:before="400"/>
      </w:pPr>
      <w:r>
        <w:rPr>
          <w:rFonts w:ascii="Georgia" w:cs="Georgia" w:eastAsia="Georgia" w:hAnsi="Georgia"/>
          <w:b/>
          <w:bCs/>
          <w:i/>
          <w:iCs/>
          <w:color w:val="5C4033"/>
          <w:sz w:val="24"/>
          <w:szCs w:val="24"/>
        </w:rPr>
        <w:t xml:space="preserve">§ 13. O que Pode ser Dito com Honestidade</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que pode ser dito, com honestidade filosófica e sem desrespeito à tradição nem à ciência: há fenômenos biofísicos — como a magnetoterapia em processos de cicatrização óssea, os efeitos de campos elétricos sobre proliferação celular in vitro, a estimulação transcraniana por corrente contínua em neurologia — que demonstram que campos eletromagnéticos exercem efeitos mensuráveis sobre tecidos vivos. Estes fenômenos são reconhecidos pela medicina convencional em aplicações específicas e controladas.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Se estes princípios podem ser generalizados, simplificados e tornados acessíveis por meio de dispositivos artesanais de cobre ou de configurações geométricas específicas de antenas é pergunta que permanece aberta — não porque seja absurda, mas porque a evidência disponível é, até o momento, insuficiente para respondê-la de forma definitiva em qualquer direção.</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VII — Crítica Epistemológica: Por que Tais Saberes Não São Aceitos</w:t>
      </w:r>
    </w:p>
    <w:p>
      <w:pPr>
        <w:pStyle w:val="Heading2"/>
        <w:spacing w:after="160" w:before="400"/>
      </w:pPr>
      <w:r>
        <w:rPr>
          <w:rFonts w:ascii="Georgia" w:cs="Georgia" w:eastAsia="Georgia" w:hAnsi="Georgia"/>
          <w:b/>
          <w:bCs/>
          <w:i/>
          <w:iCs/>
          <w:color w:val="5C4033"/>
          <w:sz w:val="24"/>
          <w:szCs w:val="24"/>
        </w:rPr>
        <w:t xml:space="preserve">§ 14. A Exigência da Prova e seus Fundamentos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ciência moderna — herdeira do programa cartesiano de certeza e do método baconiano de indução — estabeleceu como critério de verdade factual a reprodutibilidade experimental e a falsificabilidade lógica. Estes critérios não são arbitrários: foram forjados como resposta à proliferação de saberes imaginários, à autoridade não questionada e à confusão entre desejo e observação. São conquistas intelectuais de primeira ordem.</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problema surge quando tais critérios são aplicados como filtro absoluto, excluindo a priori fenômenos que, por sua natureza sutil, sua variabilidade contextual ou sua dependência de condições difíceis de controlar, resistem ao laboratório clássico. A história da ciência está repleta de fenômenos que foram descartados antes de serem compreendidos — desde a meteorologia (pedras não caem do céu, dizia Lavoisier sobre os meteoritos) até a teoria dos germes (ideia inicialmente ridicularizada) e os próprios bioelétricos de Galvani.</w:t>
      </w:r>
    </w:p>
    <w:p>
      <w:pPr>
        <w:pStyle w:val="Heading2"/>
        <w:spacing w:after="160" w:before="400"/>
      </w:pPr>
      <w:r>
        <w:rPr>
          <w:rFonts w:ascii="Georgia" w:cs="Georgia" w:eastAsia="Georgia" w:hAnsi="Georgia"/>
          <w:b/>
          <w:bCs/>
          <w:i/>
          <w:iCs/>
          <w:color w:val="5C4033"/>
          <w:sz w:val="24"/>
          <w:szCs w:val="24"/>
        </w:rPr>
        <w:t xml:space="preserve">§ 15. A Dificuldade de Medir o Sutil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Há uma questão metodológica profunda: o instrumento de medição sempre pertence ao mesmo paradigma que define o que é medível. Um termômetro mede temperatura porque temperatura foi definida operacionalmente de modo a ser mensurável por termômetros. Se há fenômenos que envolvem padrões de coerência eletromagnética, campos de baixíssima intensidade ou efeitos que dependem de configurações holísticas de organismos vivos, é possível que os instrumentos disponíveis — calibrados para medir variáveis isoladas em sistemas controlados — sejam simplesmente inadequados para capturá-los.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Esta não é uma defesa do irracionalismo: é uma observação epistemológica que o próprio Thomas Kuhn formalizou em sua teoria das revoluções científicas. Os paradigmas dominantes não apenas orientam a pesquisa — eles determinam o que conta como dado relevante e o que é descartado como ruído.</w:t>
      </w:r>
    </w:p>
    <w:p>
      <w:pPr>
        <w:spacing w:after="80" w:before="80"/>
        <w:ind w:left="4320"/>
        <w:jc w:val="right"/>
      </w:pPr>
      <w:r>
        <w:rPr>
          <w:rFonts w:ascii="Georgia" w:cs="Georgia" w:eastAsia="Georgia" w:hAnsi="Georgia"/>
          <w:i/>
          <w:iCs/>
          <w:color w:val="8B6914"/>
          <w:sz w:val="18"/>
          <w:szCs w:val="18"/>
        </w:rPr>
        <w:t xml:space="preserve">[ cf. Kuhn, «A Estrutura das Revoluções Científicas», 1962 ]</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Parte VIII — Reflexão Filosófica Central: O que é Conhecimento Verdadeiro?</w:t>
      </w:r>
    </w:p>
    <w:p>
      <w:pPr>
        <w:spacing w:after="80" w:before="240"/>
        <w:ind w:left="1440" w:right="1440"/>
        <w:jc w:val="center"/>
      </w:pPr>
      <w:r>
        <w:rPr>
          <w:rFonts w:ascii="Georgia" w:cs="Georgia" w:eastAsia="Georgia" w:hAnsi="Georgia"/>
          <w:i/>
          <w:iCs/>
          <w:color w:val="5C4033"/>
          <w:sz w:val="21"/>
          <w:szCs w:val="21"/>
        </w:rPr>
        <w:t xml:space="preserve">"O que os olhos veem e os ouvidos ouvem, isso eu creio."</w:t>
      </w:r>
    </w:p>
    <w:p>
      <w:pPr>
        <w:spacing w:after="240" w:before="0"/>
        <w:jc w:val="center"/>
      </w:pPr>
      <w:r>
        <w:rPr>
          <w:rFonts w:ascii="Georgia" w:cs="Georgia" w:eastAsia="Georgia" w:hAnsi="Georgia"/>
          <w:color w:val="8B6914"/>
          <w:sz w:val="19"/>
          <w:szCs w:val="19"/>
        </w:rPr>
        <w:t xml:space="preserve">— Adaptado de Hipócrates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A questão que atravessa todo este tratado pode ser formulada com precisão: o conhecimento verdadeiro é definido por sua mensurabilidade ou por sua capacidade de orientar a ação de modo adequado à realidade? Estas duas definições divergem com frequência maior do que se supõe.</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Um camponês que, por gerações de observação, aprendeu que certas plantas crescem melhor próximas de afloramentos de minério de cobre possui um conhecimento empírico — não formalizado, não testado em laboratório, mas funcionalmente eficaz. Que tipo de epistemólogo diria que este camponês não sabe nada? A sabedoria prática — a phronesis aristotélica — é conhecimento legítimo, ainda que de natureza diferente do conhecimento científico formal.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 risco, em ambas as direções, é o dogmatismo: o cientificismo que descarta todo saber não formalizado e o misticismo que eleva toda intuição ao estatuto de revelação. Entre estes dois extremos, habita a filosofia natural na sua melhor expressão: disposta a medir quando pode, a observar quando a medição não alcança, e a permanecer em suspensão de julgamento quando nem uma nem outra se mostram suficientes.</w:t>
      </w:r>
    </w:p>
    <w:p>
      <w:pPr>
        <w:spacing w:after="320" w:before="320"/>
        <w:jc w:val="center"/>
      </w:pPr>
      <w:r>
        <w:rPr>
          <w:rFonts w:ascii="Georgia" w:cs="Georgia" w:eastAsia="Georgia" w:hAnsi="Georgia"/>
          <w:color w:val="8B6914"/>
          <w:sz w:val="20"/>
          <w:szCs w:val="20"/>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Conclusão — Diálogo Final: A Ponte Entre o Mensurável e o Ainda Não Compreendido</w:t>
      </w:r>
    </w:p>
    <w:p>
      <w:pPr>
        <w:spacing w:after="200" w:before="200"/>
        <w:jc w:val="center"/>
      </w:pPr>
      <w:r>
        <w:rPr>
          <w:rFonts w:ascii="Georgia" w:cs="Georgia" w:eastAsia="Georgia" w:hAnsi="Georgia"/>
          <w:i/>
          <w:iCs/>
          <w:color w:val="8B6914"/>
          <w:sz w:val="22"/>
          <w:szCs w:val="22"/>
        </w:rPr>
        <w:t xml:space="preserve">🔺 — In figura trianguli: base na terra, vértice no invisível</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Retornemos, no modo do diálogo platônico, às perguntas que abrimos. A eletrocultura é apenas uma ilusão dos sentidos — uma projeção de desejos humanos sobre a indiferença da matéria? Não se pode excluir esta hipótese. Mas tampouco se pode afirmá-la sem injustiça para com a extensão e a consistência das observações acumuladas ao longo de séculos.</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É um conhecimento ainda em estado potencial — como a semente que guarda em si a árvore inteira, aguardando as condições de germinação? Esta metáfora parece mais justa. Há aqui um corpo de hipóteses, de observações, de práticas e de intuições que aguarda os instrumentos adequados para ser avaliado — instrumentos que podem ainda não existir.</w:t>
      </w:r>
    </w:p>
    <w:p>
      <w:pPr>
        <w:spacing w:after="120" w:before="120" w:line="320"/>
        <w:ind w:firstLine="720"/>
        <w:jc w:val="both"/>
      </w:pPr>
      <w:r>
        <w:rPr>
          <w:rFonts w:ascii="Georgia" w:cs="Georgia" w:eastAsia="Georgia" w:hAnsi="Georgia"/>
          <w:b w:val="false"/>
          <w:bCs w:val="false"/>
          <w:i w:val="false"/>
          <w:iCs w:val="false"/>
          <w:color w:val="2C1810"/>
          <w:sz w:val="22"/>
          <w:szCs w:val="22"/>
        </w:rPr>
        <w:t xml:space="preserve">Ou é uma ponte — não entre a ciência e a superstição, como os detratores sugerem, mas entre dois modos complementares de acesso à realidade: o analítico e o sintético, o mensurável e o perceptível, o que pode ser provado e o que ainda não pode ser plenamente explicado mas que, enquanto isso, orienta ações e produz resultados que pedem explicação?</w:t>
      </w:r>
    </w:p>
    <w:p>
      <w:pPr>
        <w:spacing w:after="240" w:before="240" w:line="360"/>
        <w:ind w:left="720" w:right="720"/>
        <w:jc w:val="both"/>
      </w:pPr>
      <w:r>
        <w:rPr>
          <w:rFonts w:ascii="Georgia" w:cs="Georgia" w:eastAsia="Georgia" w:hAnsi="Georgia"/>
          <w:i/>
          <w:iCs/>
          <w:color w:val="2C1810"/>
          <w:sz w:val="22"/>
          <w:szCs w:val="22"/>
        </w:rPr>
        <w:t xml:space="preserve">Esta última hipótese é a que este tratado, sem afirmá-la como verdade, escolhe como mais fecunda — no sentido em que a fertilidade de uma hipótese não se mede apenas por sua verdade estabelecida, mas pela qualidade das perguntas que ela torna possível formular.</w:t>
      </w:r>
    </w:p>
    <w:p>
      <w:pPr>
        <w:spacing w:after="320" w:before="320"/>
        <w:jc w:val="center"/>
      </w:pPr>
      <w:r>
        <w:rPr>
          <w:rFonts w:ascii="Georgia" w:cs="Georgia" w:eastAsia="Georgia" w:hAnsi="Georgia"/>
          <w:color w:val="8B6914"/>
          <w:sz w:val="20"/>
          <w:szCs w:val="20"/>
        </w:rPr>
        <w:t xml:space="preserve">⸻ ✦ ⸻</w:t>
      </w:r>
    </w:p>
    <w:p>
      <w:pPr>
        <w:spacing w:after="80" w:before="240"/>
        <w:ind w:left="1440" w:right="1440"/>
        <w:jc w:val="center"/>
      </w:pPr>
      <w:r>
        <w:rPr>
          <w:rFonts w:ascii="Georgia" w:cs="Georgia" w:eastAsia="Georgia" w:hAnsi="Georgia"/>
          <w:i/>
          <w:iCs/>
          <w:color w:val="5C4033"/>
          <w:sz w:val="21"/>
          <w:szCs w:val="21"/>
        </w:rPr>
        <w:t xml:space="preserve">"Natura non nisi parendo vincitur — A natureza só se vence obedecendo-a."</w:t>
      </w:r>
    </w:p>
    <w:p>
      <w:pPr>
        <w:spacing w:after="240" w:before="0"/>
        <w:jc w:val="center"/>
      </w:pPr>
      <w:r>
        <w:rPr>
          <w:rFonts w:ascii="Georgia" w:cs="Georgia" w:eastAsia="Georgia" w:hAnsi="Georgia"/>
          <w:color w:val="8B6914"/>
          <w:sz w:val="19"/>
          <w:szCs w:val="19"/>
        </w:rPr>
        <w:t xml:space="preserve">— Francis Bacon, Novum Organum, 1620</w:t>
      </w:r>
    </w:p>
    <w:p>
      <w:pPr>
        <w:spacing w:after="160" w:before="480"/>
        <w:jc w:val="center"/>
      </w:pPr>
      <w:r>
        <w:rPr>
          <w:rFonts w:ascii="Georgia" w:cs="Georgia" w:eastAsia="Georgia" w:hAnsi="Georgia"/>
          <w:i/>
          <w:iCs/>
          <w:color w:val="8B6914"/>
          <w:sz w:val="20"/>
          <w:szCs w:val="20"/>
        </w:rPr>
        <w:t xml:space="preserve">Finis Tractatus</w:t>
      </w:r>
    </w:p>
    <w:p>
      <w:pPr>
        <w:spacing w:after="480" w:before="0"/>
        <w:jc w:val="center"/>
      </w:pPr>
      <w:r>
        <w:rPr>
          <w:rFonts w:ascii="Georgia" w:cs="Georgia" w:eastAsia="Georgia" w:hAnsi="Georgia"/>
          <w:color w:val="8B6914"/>
          <w:sz w:val="24"/>
          <w:szCs w:val="24"/>
        </w:rPr>
        <w:t xml:space="preserve">✦  ✦  ✦</w:t>
      </w:r>
    </w:p>
    <w:p>
      <w:pPr>
        <w:pStyle w:val="Heading1"/>
        <w:pBdr>
          <w:bottom w:val="single" w:color="8B6914" w:sz="6" w:space="6"/>
        </w:pBdr>
        <w:spacing w:after="200" w:before="560"/>
      </w:pPr>
      <w:r>
        <w:rPr>
          <w:rFonts w:ascii="Georgia" w:cs="Georgia" w:eastAsia="Georgia" w:hAnsi="Georgia"/>
          <w:b/>
          <w:bCs/>
          <w:color w:val="7C4A1E"/>
          <w:sz w:val="30"/>
          <w:szCs w:val="30"/>
        </w:rPr>
        <w:t xml:space="preserve">Apêndice — Fragmentos do Manuscrito Encontrado</w:t>
      </w:r>
    </w:p>
    <w:p>
      <w:pPr>
        <w:spacing w:after="320" w:before="240"/>
        <w:ind w:left="720" w:right="720"/>
        <w:jc w:val="center"/>
      </w:pPr>
      <w:r>
        <w:rPr>
          <w:rFonts w:ascii="Georgia" w:cs="Georgia" w:eastAsia="Georgia" w:hAnsi="Georgia"/>
          <w:i/>
          <w:iCs/>
          <w:color w:val="5C4033"/>
          <w:sz w:val="18"/>
          <w:szCs w:val="18"/>
        </w:rPr>
        <w:t xml:space="preserve">[ Os seguintes fragmentos foram encontrados entre as páginas deste manuscrito, escritos em tinta diferente e caligrafia irregular. Reproduzem-se sem edição. ]</w:t>
      </w:r>
    </w:p>
    <w:p>
      <w:pPr>
        <w:spacing w:after="120" w:before="240"/>
      </w:pPr>
      <w:r>
        <w:rPr>
          <w:rFonts w:ascii="Georgia" w:cs="Georgia" w:eastAsia="Georgia" w:hAnsi="Georgia"/>
          <w:b/>
          <w:bCs/>
          <w:color w:val="8B6914"/>
          <w:sz w:val="20"/>
          <w:szCs w:val="20"/>
        </w:rPr>
        <w:t xml:space="preserve">Fragmento I — Sem data</w:t>
      </w:r>
    </w:p>
    <w:p>
      <w:pPr>
        <w:spacing w:after="80" w:before="80" w:line="320"/>
        <w:ind w:left="720" w:right="720"/>
        <w:jc w:val="both"/>
      </w:pPr>
      <w:r>
        <w:rPr>
          <w:rFonts w:ascii="Georgia" w:cs="Georgia" w:eastAsia="Georgia" w:hAnsi="Georgia"/>
          <w:i/>
          <w:iCs/>
          <w:color w:val="5C4033"/>
          <w:sz w:val="21"/>
          <w:szCs w:val="21"/>
        </w:rPr>
        <w:t xml:space="preserve">«Enterrei quatro hastes de cobre nos cantos do campo ao crepúsculo. Pela manhã os grãos tinham um brilho diferente. Não sei se foi o cobre, o sono ou a esperança — mas o brilho estava lá.»</w:t>
      </w:r>
    </w:p>
    <w:p>
      <w:pPr>
        <w:spacing w:after="120" w:before="280"/>
      </w:pPr>
      <w:r>
        <w:rPr>
          <w:rFonts w:ascii="Georgia" w:cs="Georgia" w:eastAsia="Georgia" w:hAnsi="Georgia"/>
          <w:b/>
          <w:bCs/>
          <w:color w:val="8B6914"/>
          <w:sz w:val="20"/>
          <w:szCs w:val="20"/>
        </w:rPr>
        <w:t xml:space="preserve">Fragmento II — Anotado à margem de um esboço técnico</w:t>
      </w:r>
    </w:p>
    <w:p>
      <w:pPr>
        <w:spacing w:after="80" w:before="80" w:line="320"/>
        <w:ind w:left="720" w:right="720"/>
        <w:jc w:val="both"/>
      </w:pPr>
      <w:r>
        <w:rPr>
          <w:rFonts w:ascii="Georgia" w:cs="Georgia" w:eastAsia="Georgia" w:hAnsi="Georgia"/>
          <w:i/>
          <w:iCs/>
          <w:color w:val="5C4033"/>
          <w:sz w:val="21"/>
          <w:szCs w:val="21"/>
        </w:rPr>
        <w:t xml:space="preserve">«Tesla dizia que a Terra ressoa. Que frequência ressoa a raiz? Que frequência ressoa o grão antes de germinar? Ninguém perguntou ainda. Alguém deveria.»</w:t>
      </w:r>
    </w:p>
    <w:p>
      <w:pPr>
        <w:spacing w:after="120" w:before="280"/>
      </w:pPr>
      <w:r>
        <w:rPr>
          <w:rFonts w:ascii="Georgia" w:cs="Georgia" w:eastAsia="Georgia" w:hAnsi="Georgia"/>
          <w:b/>
          <w:bCs/>
          <w:color w:val="8B6914"/>
          <w:sz w:val="20"/>
          <w:szCs w:val="20"/>
        </w:rPr>
        <w:t xml:space="preserve">Fragmento III — Aparentemente inacabado</w:t>
      </w:r>
    </w:p>
    <w:p>
      <w:pPr>
        <w:spacing w:after="80" w:before="80" w:line="320"/>
        <w:ind w:left="720" w:right="720"/>
        <w:jc w:val="both"/>
      </w:pPr>
      <w:r>
        <w:rPr>
          <w:rFonts w:ascii="Georgia" w:cs="Georgia" w:eastAsia="Georgia" w:hAnsi="Georgia"/>
          <w:i/>
          <w:iCs/>
          <w:color w:val="5C4033"/>
          <w:sz w:val="21"/>
          <w:szCs w:val="21"/>
        </w:rPr>
        <w:t xml:space="preserve">«Os alquimistas não buscavam ouro. Buscavam o princípio que faz o chumbo desejar ser ouro — o princípio que faz a semente desejar ser árvore. Se encontramos esse princípio, o ouro e a árvore vêm por acréscimo. Se não o encontramos...»</w:t>
      </w:r>
    </w:p>
    <w:p>
      <w:pPr>
        <w:spacing w:after="480" w:before="240"/>
        <w:jc w:val="center"/>
      </w:pPr>
      <w:r>
        <w:rPr>
          <w:rFonts w:ascii="Georgia" w:cs="Georgia" w:eastAsia="Georgia" w:hAnsi="Georgia"/>
          <w:i/>
          <w:iCs/>
          <w:color w:val="8B6914"/>
          <w:sz w:val="18"/>
          <w:szCs w:val="18"/>
        </w:rPr>
        <w:t xml:space="preserve">[ O fragmento termina aqui. A página seguinte está em branco. ]</w:t>
      </w:r>
    </w:p>
    <w:p>
      <w:pPr>
        <w:spacing w:after="480" w:before="0"/>
        <w:jc w:val="center"/>
      </w:pPr>
      <w:r>
        <w:rPr>
          <w:rFonts w:ascii="Georgia" w:cs="Georgia" w:eastAsia="Georgia" w:hAnsi="Georgia"/>
          <w:color w:val="8B6914"/>
          <w:sz w:val="36"/>
          <w:szCs w:val="36"/>
        </w:rPr>
        <w:t xml:space="preserve">✦</w:t>
      </w:r>
    </w:p>
    <w:sectPr>
      <w:headerReference w:type="default" r:id="rId7"/>
      <w:footerReference w:type="default" r:id="rId8"/>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4" w:space="4"/>
      </w:pBdr>
      <w:jc w:val="center"/>
    </w:pPr>
    <w:r>
      <w:rPr>
        <w:rFonts w:ascii="Georgia" w:cs="Georgia" w:eastAsia="Georgia" w:hAnsi="Georgia"/>
        <w:color w:val="8B6914"/>
        <w:sz w:val="16"/>
        <w:szCs w:val="16"/>
      </w:rPr>
      <w:t xml:space="preserve">⸻   </w:t>
    </w:r>
    <w:r>
      <w:rPr>
        <w:rFonts w:ascii="Georgia" w:cs="Georgia" w:eastAsia="Georgia" w:hAnsi="Georgia"/>
        <w:color w:val="8B6914"/>
        <w:sz w:val="16"/>
        <w:szCs w:val="16"/>
      </w:rPr>
      <w:fldChar w:fldCharType="begin"/>
      <w:instrText xml:space="preserve">PAGE</w:instrText>
      <w:fldChar w:fldCharType="separate"/>
      <w:fldChar w:fldCharType="end"/>
    </w:r>
    <w:r>
      <w:rPr>
        <w:rFonts w:ascii="Georgia" w:cs="Georgia" w:eastAsia="Georgia" w:hAnsi="Georgia"/>
        <w:color w:val="8B6914"/>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jc w:val="center"/>
    </w:pPr>
    <w:r>
      <w:rPr>
        <w:rFonts w:ascii="Georgia" w:cs="Georgia" w:eastAsia="Georgia" w:hAnsi="Georgia"/>
        <w:i/>
        <w:iCs/>
        <w:color w:val="8B6914"/>
        <w:sz w:val="16"/>
        <w:szCs w:val="16"/>
      </w:rPr>
      <w:t xml:space="preserve">Tractatus de Electro-Cultura — Manuscriptum Philosophicum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Georgia" w:cs="Georgia" w:eastAsia="Georgia" w:hAnsi="Georgia"/>
      <w:b/>
      <w:bCs/>
      <w:color w:val="7C4A1E"/>
      <w:sz w:val="30"/>
      <w:szCs w:val="30"/>
    </w:rPr>
  </w:style>
  <w:style w:type="paragraph" w:styleId="Heading2">
    <w:name w:val="Heading 2"/>
    <w:basedOn w:val="Normal"/>
    <w:next w:val="Normal"/>
    <w:qFormat/>
    <w:pPr>
      <w:spacing w:after="160" w:before="400"/>
      <w:outlineLvl w:val="1"/>
    </w:pPr>
    <w:rPr>
      <w:rFonts w:ascii="Georgia" w:cs="Georgia" w:eastAsia="Georgia" w:hAnsi="Georgia"/>
      <w:b/>
      <w:bCs/>
      <w:i/>
      <w:iCs/>
      <w:color w:val="5C40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2026-05-01T22:21:35.022Z</dcterms:created>
  <dcterms:modified xsi:type="dcterms:W3CDTF">2026-05-01T22:21:35.022Z</dcterms:modified>
</cp:coreProperties>
</file>

<file path=docProps/custom.xml><?xml version="1.0" encoding="utf-8"?>
<Properties xmlns="http://schemas.openxmlformats.org/officeDocument/2006/custom-properties" xmlns:vt="http://schemas.openxmlformats.org/officeDocument/2006/docPropsVTypes"/>
</file>