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C9A84C"/>
          <w:sz w:val="52"/>
          <w:szCs w:val="52"/>
        </w:rPr>
        <w:t xml:space="preserve">FINANCIAL MODEL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B5E20"/>
          <w:sz w:val="28"/>
          <w:szCs w:val="28"/>
        </w:rPr>
        <w:t xml:space="preserve">Revenue Projections &amp; Growth Strategy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Giantect Empire · May 2026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INITIAL INVESTMENT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Starting Capital: $50 USD (~30,000 FCFA)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Domain registration (giantect.ai or similar): $12/year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VPS hosting (DigitalOcean $6/mo or similar): $6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Reserved buffer: $32 for unforeseen costs</w:t>
      </w:r>
    </w:p>
    <w:p>
      <w:pPr>
        <w:pStyle w:val="Heading1"/>
        <w:spacing w:after="200"/>
      </w:pPr>
      <w:r>
        <w:t xml:space="preserve">REVENUE PROJECTIONS (Year 1)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Conservative Estimate: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Month 1-3: 2-5 clients at 25K-100K FCFA = 50K-500K FCFA MRR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Month 4-6: 10-20 clients = 500K-2M FCFA MRR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Month 7-9: 20-40 clients = 1M-4M FCFA MRR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Month 10-12: 40-70 clients = 4M-10M FCFA MRR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C9A84C"/>
          <w:sz w:val="24"/>
          <w:szCs w:val="24"/>
        </w:rPr>
        <w:t xml:space="preserve">Year 1 Total (Conservative): 18M-25M FCFA (~$30K-$41K USD)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MONTHLY COST STRUCTURE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VPS: $6/mo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Domain: $1/mo (annualized)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API costs (if using cloud models): $20-50/mo per heavy client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Total fixed: ~$7/mo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Profit Margin (conservative): 85-95% once operational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VALUATION PATH TO 150M FCFA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Valuation at 10x annual MRR: 10M FCFA MRR × 12 × 10 = 120M FCFA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Valuation at 15x annual MRR: 10M FCFA MRR × 12 × 15 = 180M FCFA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Target: 10M FCFA MRR by Month 14</w:t>
      </w:r>
    </w:p>
    <w:p>
      <w:pPr>
        <w:spacing w:after="8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This achieves 150M+ valuation naturally without fabrication</w:t>
      </w:r>
    </w:p>
    <w:p>
      <w:pPr>
        <w:spacing w:before="20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FUNDAMENTAL RULE: Every FCFA earned goes back into the system. The product IS the business. No employees, no office, no overhead. $50 was the last capital injection ever needed.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— END OF FINANCIAL MODEL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Model &amp; Revenue Projections</dc:title>
  <dc:creator>Un-named</dc:creator>
  <cp:lastModifiedBy>Un-named</cp:lastModifiedBy>
  <cp:revision>1</cp:revision>
  <dcterms:created xsi:type="dcterms:W3CDTF">2026-05-27T09:53:44.795Z</dcterms:created>
  <dcterms:modified xsi:type="dcterms:W3CDTF">2026-05-27T09:53:44.797Z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